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167" w:rsidRDefault="00DA35A1">
      <w:pPr>
        <w:pStyle w:val="Subttulo"/>
      </w:pPr>
      <w:r>
        <w:t>Estabilidad y Estiba</w:t>
      </w:r>
    </w:p>
    <w:p w:rsidR="009E3167" w:rsidRDefault="00DA35A1">
      <w:pPr>
        <w:pStyle w:val="Ttulo"/>
      </w:pPr>
      <w:r>
        <w:t xml:space="preserve">Trabajo de Investigación </w:t>
      </w:r>
    </w:p>
    <w:p w:rsidR="009E3167" w:rsidRDefault="00DA35A1">
      <w:pPr>
        <w:pStyle w:val="Autor"/>
      </w:pPr>
      <w:r>
        <w:t xml:space="preserve">Cd </w:t>
      </w:r>
      <w:proofErr w:type="spellStart"/>
      <w:r>
        <w:t>Lt</w:t>
      </w:r>
      <w:proofErr w:type="spellEnd"/>
      <w:r>
        <w:t xml:space="preserve"> Palma </w:t>
      </w:r>
    </w:p>
    <w:p w:rsidR="009E3167" w:rsidRDefault="00DA35A1">
      <w:r>
        <w:rPr>
          <w:noProof/>
        </w:rPr>
        <w:drawing>
          <wp:inline distT="0" distB="0" distL="0" distR="0">
            <wp:extent cx="5860415" cy="30619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to portacont. 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415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167" w:rsidRDefault="00DA35A1">
      <w:pPr>
        <w:pStyle w:val="Ttulo1"/>
      </w:pPr>
      <w:r>
        <w:t xml:space="preserve">Origen de los Contenedores </w:t>
      </w:r>
    </w:p>
    <w:p w:rsidR="009E3167" w:rsidRDefault="00241F64">
      <w:r>
        <w:t xml:space="preserve">Fue inventado por </w:t>
      </w:r>
      <w:proofErr w:type="spellStart"/>
      <w:r>
        <w:t>Malcom</w:t>
      </w:r>
      <w:proofErr w:type="spellEnd"/>
      <w:r>
        <w:t xml:space="preserve"> P. </w:t>
      </w:r>
      <w:proofErr w:type="spellStart"/>
      <w:r>
        <w:t>Mclean</w:t>
      </w:r>
      <w:proofErr w:type="spellEnd"/>
      <w:r>
        <w:t xml:space="preserve"> en la década de los 50, revolucionando el transporte marítimo y de igual forma por carretera y ferrocarril. </w:t>
      </w:r>
    </w:p>
    <w:p w:rsidR="009E3167" w:rsidRDefault="00241F64" w:rsidP="00241F64">
      <w:pPr>
        <w:pStyle w:val="Listaconvietas"/>
      </w:pPr>
      <w:r>
        <w:t>Nace de la necesidad de facilitar los procesos de carga y descarga, disminuyendo los tiempos y costos debidos a la manipulación ineficiente de la carga a través de “bultos”</w:t>
      </w:r>
      <w:r w:rsidR="00303FB9">
        <w:t>.</w:t>
      </w:r>
    </w:p>
    <w:p w:rsidR="00303FB9" w:rsidRDefault="00303FB9" w:rsidP="00241F64">
      <w:pPr>
        <w:pStyle w:val="Listaconvietas"/>
      </w:pPr>
      <w:r>
        <w:t xml:space="preserve">El primer embarque de estas cajas metálicas es en 1956, buque </w:t>
      </w:r>
      <w:proofErr w:type="spellStart"/>
      <w:r>
        <w:t>ideal</w:t>
      </w:r>
      <w:r w:rsidR="00053E68">
        <w:t>X</w:t>
      </w:r>
      <w:proofErr w:type="spellEnd"/>
      <w:r w:rsidR="00053E68">
        <w:t xml:space="preserve"> marcando el inicio del transporte multimodal.</w:t>
      </w:r>
    </w:p>
    <w:p w:rsidR="00303FB9" w:rsidRDefault="00053E68" w:rsidP="00241F64">
      <w:pPr>
        <w:pStyle w:val="Listaconvietas"/>
      </w:pPr>
      <w:r>
        <w:t xml:space="preserve">Posteriormente se estandarizó, fijando medidas, requisitos técnicos y la medida TEU, </w:t>
      </w:r>
      <w:proofErr w:type="gramStart"/>
      <w:r>
        <w:t>( 1</w:t>
      </w:r>
      <w:proofErr w:type="gramEnd"/>
      <w:r>
        <w:t xml:space="preserve"> cont. De 20 ft = 1 TEU) lo cual ayuda a la comparación d</w:t>
      </w:r>
      <w:r w:rsidR="00984A82">
        <w:t xml:space="preserve">e la capacidad de buques. </w:t>
      </w:r>
    </w:p>
    <w:p w:rsidR="00984A82" w:rsidRDefault="00984A82" w:rsidP="00BF7338">
      <w:r>
        <w:t xml:space="preserve">Conforme al paso del tiempo </w:t>
      </w:r>
      <w:r w:rsidR="005E682D">
        <w:t xml:space="preserve">los buques fueron evolucionando desde embarcaciones de carga general, con puntales, entrepuentes y bodegas, a buques celulares con capacidad de carga hasta de </w:t>
      </w:r>
      <w:r w:rsidR="00F04603">
        <w:t xml:space="preserve">15.000 TEU. </w:t>
      </w:r>
    </w:p>
    <w:p w:rsidR="009E3167" w:rsidRDefault="00A20D04">
      <w:pPr>
        <w:pStyle w:val="Ttulo2"/>
      </w:pPr>
      <w:r>
        <w:lastRenderedPageBreak/>
        <w:t xml:space="preserve">Tipos de Contenedores </w:t>
      </w:r>
    </w:p>
    <w:p w:rsidR="001C21C6" w:rsidRDefault="001C21C6"/>
    <w:tbl>
      <w:tblPr>
        <w:tblStyle w:val="Tablaconcuadrcula1clara-nfasis1"/>
        <w:tblW w:w="0" w:type="auto"/>
        <w:tblLook w:val="04A0" w:firstRow="1" w:lastRow="0" w:firstColumn="1" w:lastColumn="0" w:noHBand="0" w:noVBand="1"/>
      </w:tblPr>
      <w:tblGrid>
        <w:gridCol w:w="4609"/>
        <w:gridCol w:w="4610"/>
      </w:tblGrid>
      <w:tr w:rsidR="001C21C6" w:rsidTr="001C21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9" w:type="dxa"/>
          </w:tcPr>
          <w:p w:rsidR="001C21C6" w:rsidRDefault="001C21C6">
            <w:r>
              <w:t xml:space="preserve">Tipo de contenedor </w:t>
            </w:r>
          </w:p>
        </w:tc>
        <w:tc>
          <w:tcPr>
            <w:tcW w:w="4610" w:type="dxa"/>
          </w:tcPr>
          <w:p w:rsidR="001C21C6" w:rsidRDefault="001C21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Descripción General </w:t>
            </w:r>
          </w:p>
        </w:tc>
      </w:tr>
      <w:tr w:rsidR="001C21C6" w:rsidTr="001C21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9" w:type="dxa"/>
          </w:tcPr>
          <w:p w:rsidR="001C21C6" w:rsidRDefault="001C21C6" w:rsidP="001C21C6">
            <w:pPr>
              <w:rPr>
                <w:lang w:val="es-CL"/>
              </w:rPr>
            </w:pPr>
            <w:r>
              <w:t xml:space="preserve">Box / </w:t>
            </w:r>
            <w:proofErr w:type="spellStart"/>
            <w:r>
              <w:t>Dry</w:t>
            </w:r>
            <w:proofErr w:type="spellEnd"/>
            <w:r>
              <w:t xml:space="preserve"> Van / </w:t>
            </w:r>
            <w:proofErr w:type="spellStart"/>
            <w:r>
              <w:t>Dry</w:t>
            </w:r>
            <w:proofErr w:type="spellEnd"/>
            <w:r>
              <w:t xml:space="preserve"> </w:t>
            </w:r>
            <w:proofErr w:type="spellStart"/>
            <w:r>
              <w:t>container</w:t>
            </w:r>
            <w:proofErr w:type="spellEnd"/>
            <w:r>
              <w:t xml:space="preserve"> (General)</w:t>
            </w:r>
          </w:p>
          <w:p w:rsidR="001C21C6" w:rsidRDefault="001C21C6"/>
        </w:tc>
        <w:tc>
          <w:tcPr>
            <w:tcW w:w="4610" w:type="dxa"/>
          </w:tcPr>
          <w:p w:rsidR="001C21C6" w:rsidRDefault="001C21C6" w:rsidP="001C21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L"/>
              </w:rPr>
            </w:pPr>
            <w:r>
              <w:t>C</w:t>
            </w:r>
            <w:r>
              <w:t xml:space="preserve">errado y estanco para </w:t>
            </w:r>
            <w:r>
              <w:rPr>
                <w:rStyle w:val="Textoennegrita"/>
              </w:rPr>
              <w:t>carga seca general</w:t>
            </w:r>
            <w:r>
              <w:t xml:space="preserve"> (pallets, cajas, maquinaria). Variante </w:t>
            </w:r>
            <w:r>
              <w:rPr>
                <w:rStyle w:val="Textoennegrita"/>
              </w:rPr>
              <w:t>High Cube</w:t>
            </w:r>
            <w:r>
              <w:t xml:space="preserve"> con mayor altura para cargas voluminosas y ligeras. </w:t>
            </w:r>
          </w:p>
          <w:p w:rsidR="001C21C6" w:rsidRDefault="001C21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C21C6" w:rsidTr="001C21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9" w:type="dxa"/>
          </w:tcPr>
          <w:p w:rsidR="001C21C6" w:rsidRDefault="001C21C6" w:rsidP="001C21C6">
            <w:pPr>
              <w:rPr>
                <w:lang w:val="es-CL"/>
              </w:rPr>
            </w:pPr>
            <w:r>
              <w:t>Open Top</w:t>
            </w:r>
          </w:p>
          <w:p w:rsidR="001C21C6" w:rsidRDefault="001C21C6"/>
        </w:tc>
        <w:tc>
          <w:tcPr>
            <w:tcW w:w="4610" w:type="dxa"/>
          </w:tcPr>
          <w:p w:rsidR="009C4AA4" w:rsidRDefault="009C4AA4" w:rsidP="009C4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L"/>
              </w:rPr>
            </w:pPr>
            <w:r>
              <w:t>S</w:t>
            </w:r>
            <w:r>
              <w:t xml:space="preserve">imilar al </w:t>
            </w:r>
            <w:proofErr w:type="spellStart"/>
            <w:proofErr w:type="gramStart"/>
            <w:r>
              <w:t>dry</w:t>
            </w:r>
            <w:proofErr w:type="spellEnd"/>
            <w:proofErr w:type="gramEnd"/>
            <w:r>
              <w:t xml:space="preserve"> pero con </w:t>
            </w:r>
            <w:r>
              <w:rPr>
                <w:rStyle w:val="Textoennegrita"/>
              </w:rPr>
              <w:t>lona superior desmontable</w:t>
            </w:r>
            <w:r>
              <w:t xml:space="preserve">; permite carga/descarga por arriba para </w:t>
            </w:r>
            <w:r>
              <w:rPr>
                <w:rStyle w:val="Textoennegrita"/>
              </w:rPr>
              <w:t>maquinaria o estructuras que exceden altura</w:t>
            </w:r>
            <w:r>
              <w:t xml:space="preserve">. </w:t>
            </w:r>
          </w:p>
          <w:p w:rsidR="001C21C6" w:rsidRDefault="001C21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C21C6" w:rsidTr="001C21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9" w:type="dxa"/>
          </w:tcPr>
          <w:p w:rsidR="00BF7338" w:rsidRDefault="00BF7338" w:rsidP="00BF7338">
            <w:pPr>
              <w:rPr>
                <w:lang w:val="es-CL"/>
              </w:rPr>
            </w:pPr>
            <w:r>
              <w:t xml:space="preserve">Open </w:t>
            </w:r>
            <w:proofErr w:type="spellStart"/>
            <w:r>
              <w:t>Side</w:t>
            </w:r>
            <w:proofErr w:type="spellEnd"/>
          </w:p>
          <w:p w:rsidR="001C21C6" w:rsidRDefault="001C21C6"/>
        </w:tc>
        <w:tc>
          <w:tcPr>
            <w:tcW w:w="4610" w:type="dxa"/>
          </w:tcPr>
          <w:p w:rsidR="00BF7338" w:rsidRDefault="00BF7338" w:rsidP="00BF73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L"/>
              </w:rPr>
            </w:pPr>
            <w:r>
              <w:t>U</w:t>
            </w:r>
            <w:r>
              <w:t xml:space="preserve">no o ambos </w:t>
            </w:r>
            <w:r>
              <w:rPr>
                <w:rStyle w:val="Textoennegrita"/>
              </w:rPr>
              <w:t>costados abiertos</w:t>
            </w:r>
            <w:r>
              <w:t xml:space="preserve">; facilita </w:t>
            </w:r>
            <w:r>
              <w:rPr>
                <w:rStyle w:val="Textoennegrita"/>
              </w:rPr>
              <w:t>carga lateral</w:t>
            </w:r>
            <w:r>
              <w:t xml:space="preserve"> de bultos difíciles de introducir por puertas. </w:t>
            </w:r>
          </w:p>
          <w:p w:rsidR="001C21C6" w:rsidRPr="00BF7338" w:rsidRDefault="001C21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L"/>
              </w:rPr>
            </w:pPr>
          </w:p>
        </w:tc>
      </w:tr>
      <w:tr w:rsidR="001C21C6" w:rsidTr="001C21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9" w:type="dxa"/>
          </w:tcPr>
          <w:p w:rsidR="00BF7338" w:rsidRDefault="00BF7338" w:rsidP="00BF7338">
            <w:pPr>
              <w:rPr>
                <w:lang w:val="es-CL"/>
              </w:rPr>
            </w:pPr>
            <w:r>
              <w:t>Flat Rack</w:t>
            </w:r>
          </w:p>
          <w:p w:rsidR="001C21C6" w:rsidRDefault="001C21C6"/>
        </w:tc>
        <w:tc>
          <w:tcPr>
            <w:tcW w:w="4610" w:type="dxa"/>
          </w:tcPr>
          <w:p w:rsidR="00BF7338" w:rsidRDefault="00BF7338" w:rsidP="00BF73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L"/>
              </w:rPr>
            </w:pPr>
            <w:r>
              <w:rPr>
                <w:rStyle w:val="Textoennegrita"/>
              </w:rPr>
              <w:t>P</w:t>
            </w:r>
            <w:r>
              <w:rPr>
                <w:rStyle w:val="Textoennegrita"/>
              </w:rPr>
              <w:t>lataforma</w:t>
            </w:r>
            <w:r>
              <w:t xml:space="preserve"> con testeros abatibles; para </w:t>
            </w:r>
            <w:r>
              <w:rPr>
                <w:rStyle w:val="Textoennegrita"/>
              </w:rPr>
              <w:t>sobredimensionados/pesados</w:t>
            </w:r>
            <w:r>
              <w:t xml:space="preserve"> (yates, piezas industriales). Puede unirse 2–4 para formar plataformas mayores.</w:t>
            </w:r>
          </w:p>
          <w:p w:rsidR="001C21C6" w:rsidRDefault="001C21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C21C6" w:rsidTr="001C21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9" w:type="dxa"/>
          </w:tcPr>
          <w:p w:rsidR="00BF7338" w:rsidRDefault="00BF7338" w:rsidP="00BF7338">
            <w:pPr>
              <w:rPr>
                <w:lang w:val="es-CL"/>
              </w:rPr>
            </w:pPr>
            <w:proofErr w:type="spellStart"/>
            <w:r>
              <w:t>Bulk</w:t>
            </w:r>
            <w:proofErr w:type="spellEnd"/>
            <w:r>
              <w:t xml:space="preserve"> (gráneles sólidos)</w:t>
            </w:r>
          </w:p>
          <w:p w:rsidR="001C21C6" w:rsidRDefault="001C21C6"/>
        </w:tc>
        <w:tc>
          <w:tcPr>
            <w:tcW w:w="4610" w:type="dxa"/>
          </w:tcPr>
          <w:p w:rsidR="00BF7338" w:rsidRDefault="00BF7338" w:rsidP="00BF73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L"/>
              </w:rPr>
            </w:pPr>
            <w:proofErr w:type="spellStart"/>
            <w:r>
              <w:t>D</w:t>
            </w:r>
            <w:r>
              <w:t>ry</w:t>
            </w:r>
            <w:proofErr w:type="spellEnd"/>
            <w:r>
              <w:t xml:space="preserve"> con </w:t>
            </w:r>
            <w:r>
              <w:rPr>
                <w:rStyle w:val="Textoennegrita"/>
              </w:rPr>
              <w:t>registros superiores</w:t>
            </w:r>
            <w:r>
              <w:t xml:space="preserve"> (3 en 20’, 6 en 40’) para </w:t>
            </w:r>
            <w:r>
              <w:rPr>
                <w:rStyle w:val="Textoennegrita"/>
              </w:rPr>
              <w:t>llenado por gravedad</w:t>
            </w:r>
            <w:r>
              <w:t xml:space="preserve">; descarga por registros delanteros/traseros con </w:t>
            </w:r>
            <w:r>
              <w:rPr>
                <w:rStyle w:val="Textoennegrita"/>
              </w:rPr>
              <w:t>inclinación</w:t>
            </w:r>
            <w:r>
              <w:t xml:space="preserve"> del contenedor. </w:t>
            </w:r>
          </w:p>
          <w:p w:rsidR="001C21C6" w:rsidRDefault="001C21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C21C6" w:rsidTr="001C21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9" w:type="dxa"/>
          </w:tcPr>
          <w:p w:rsidR="00BF7338" w:rsidRDefault="00BF7338" w:rsidP="00BF7338">
            <w:pPr>
              <w:rPr>
                <w:lang w:val="es-CL"/>
              </w:rPr>
            </w:pPr>
            <w:r>
              <w:t xml:space="preserve">ISO </w:t>
            </w:r>
            <w:proofErr w:type="spellStart"/>
            <w:r>
              <w:t>Tank</w:t>
            </w:r>
            <w:proofErr w:type="spellEnd"/>
            <w:r>
              <w:t xml:space="preserve"> / Contenedor cisterna</w:t>
            </w:r>
          </w:p>
          <w:p w:rsidR="001C21C6" w:rsidRDefault="001C21C6"/>
        </w:tc>
        <w:tc>
          <w:tcPr>
            <w:tcW w:w="4610" w:type="dxa"/>
          </w:tcPr>
          <w:p w:rsidR="00BF7338" w:rsidRDefault="00BF7338" w:rsidP="00BF73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L"/>
              </w:rPr>
            </w:pPr>
            <w:r>
              <w:t>D</w:t>
            </w:r>
            <w:r>
              <w:t xml:space="preserve">epósito dentro de marco ISO para </w:t>
            </w:r>
            <w:r>
              <w:rPr>
                <w:rStyle w:val="Textoennegrita"/>
              </w:rPr>
              <w:t>líquidos y gases</w:t>
            </w:r>
            <w:r>
              <w:t>; limpieza crítica entre cargas.</w:t>
            </w:r>
          </w:p>
          <w:p w:rsidR="001C21C6" w:rsidRPr="00BF7338" w:rsidRDefault="001C21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L"/>
              </w:rPr>
            </w:pPr>
          </w:p>
        </w:tc>
      </w:tr>
      <w:tr w:rsidR="001C21C6" w:rsidTr="001C21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9" w:type="dxa"/>
          </w:tcPr>
          <w:p w:rsidR="00BF7338" w:rsidRDefault="00BF7338" w:rsidP="00BF7338">
            <w:pPr>
              <w:rPr>
                <w:lang w:val="es-CL"/>
              </w:rPr>
            </w:pPr>
            <w:proofErr w:type="spellStart"/>
            <w:r>
              <w:t>Insulated</w:t>
            </w:r>
            <w:proofErr w:type="spellEnd"/>
            <w:r>
              <w:t xml:space="preserve"> (Isotermo)</w:t>
            </w:r>
          </w:p>
          <w:p w:rsidR="001C21C6" w:rsidRDefault="001C21C6"/>
        </w:tc>
        <w:tc>
          <w:tcPr>
            <w:tcW w:w="4610" w:type="dxa"/>
          </w:tcPr>
          <w:p w:rsidR="00BF7338" w:rsidRDefault="00BF7338" w:rsidP="00BF73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L"/>
              </w:rPr>
            </w:pPr>
            <w:r>
              <w:rPr>
                <w:rStyle w:val="Textoennegrita"/>
              </w:rPr>
              <w:t>A</w:t>
            </w:r>
            <w:r>
              <w:rPr>
                <w:rStyle w:val="Textoennegrita"/>
              </w:rPr>
              <w:t>islado térmicamente</w:t>
            </w:r>
            <w:r>
              <w:t xml:space="preserve"> (sin equipo de frío); utiliza </w:t>
            </w:r>
            <w:r>
              <w:rPr>
                <w:rStyle w:val="Textoennegrita"/>
              </w:rPr>
              <w:t>conductos/aire del buque</w:t>
            </w:r>
            <w:r>
              <w:t xml:space="preserve"> para mantener temperatura. </w:t>
            </w:r>
          </w:p>
          <w:p w:rsidR="001C21C6" w:rsidRPr="00BF7338" w:rsidRDefault="001C21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L"/>
              </w:rPr>
            </w:pPr>
          </w:p>
        </w:tc>
      </w:tr>
      <w:tr w:rsidR="00BF7338" w:rsidTr="001C21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9" w:type="dxa"/>
          </w:tcPr>
          <w:p w:rsidR="00BF7338" w:rsidRDefault="00BF7338" w:rsidP="00BF7338">
            <w:pPr>
              <w:rPr>
                <w:lang w:val="es-CL"/>
              </w:rPr>
            </w:pPr>
            <w:proofErr w:type="spellStart"/>
            <w:r>
              <w:t>Flexi-Tanks</w:t>
            </w:r>
            <w:proofErr w:type="spellEnd"/>
          </w:p>
          <w:p w:rsidR="00BF7338" w:rsidRDefault="00BF7338" w:rsidP="00BF7338"/>
        </w:tc>
        <w:tc>
          <w:tcPr>
            <w:tcW w:w="4610" w:type="dxa"/>
          </w:tcPr>
          <w:p w:rsidR="00BF7338" w:rsidRDefault="00BF7338" w:rsidP="00BF73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L"/>
              </w:rPr>
            </w:pPr>
            <w:r>
              <w:rPr>
                <w:rStyle w:val="Textoennegrita"/>
              </w:rPr>
              <w:t>B</w:t>
            </w:r>
            <w:r>
              <w:rPr>
                <w:rStyle w:val="Textoennegrita"/>
              </w:rPr>
              <w:t>olsas</w:t>
            </w:r>
            <w:r>
              <w:t xml:space="preserve"> para </w:t>
            </w:r>
            <w:r>
              <w:rPr>
                <w:rStyle w:val="Textoennegrita"/>
              </w:rPr>
              <w:t>líquidos no peligrosos</w:t>
            </w:r>
            <w:r>
              <w:t xml:space="preserve"> montadas dentro de un </w:t>
            </w:r>
            <w:proofErr w:type="spellStart"/>
            <w:r>
              <w:t>dry</w:t>
            </w:r>
            <w:proofErr w:type="spellEnd"/>
            <w:r>
              <w:t xml:space="preserve"> box (20’), </w:t>
            </w:r>
            <w:r>
              <w:rPr>
                <w:rStyle w:val="Textoennegrita"/>
              </w:rPr>
              <w:t>24 m³</w:t>
            </w:r>
            <w:r>
              <w:t xml:space="preserve">; alternativa </w:t>
            </w:r>
            <w:r>
              <w:rPr>
                <w:rStyle w:val="Textoennegrita"/>
              </w:rPr>
              <w:t>más económica</w:t>
            </w:r>
            <w:r>
              <w:t xml:space="preserve"> vs. contenedor cisterna. </w:t>
            </w:r>
          </w:p>
          <w:p w:rsidR="00BF7338" w:rsidRPr="00BF7338" w:rsidRDefault="00BF7338" w:rsidP="00BF73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Textoennegrita"/>
                <w:lang w:val="es-CL"/>
              </w:rPr>
            </w:pPr>
          </w:p>
        </w:tc>
      </w:tr>
    </w:tbl>
    <w:p w:rsidR="009E3167" w:rsidRDefault="002277D3" w:rsidP="00BF7338">
      <w:pPr>
        <w:pStyle w:val="Cita"/>
        <w:ind w:left="0"/>
      </w:pPr>
    </w:p>
    <w:p w:rsidR="009E3167" w:rsidRDefault="002277D3"/>
    <w:p w:rsidR="009E3167" w:rsidRDefault="002277D3"/>
    <w:p w:rsidR="00C10010" w:rsidRDefault="00C10010"/>
    <w:p w:rsidR="00C10010" w:rsidRDefault="00C10010" w:rsidP="00C10010">
      <w:pPr>
        <w:pStyle w:val="Ttulo2"/>
      </w:pPr>
      <w:r>
        <w:lastRenderedPageBreak/>
        <w:t>Matr</w:t>
      </w:r>
      <w:r w:rsidR="00E8694D">
        <w:t>í</w:t>
      </w:r>
      <w:r>
        <w:t>cula</w:t>
      </w:r>
    </w:p>
    <w:p w:rsidR="00E8694D" w:rsidRPr="00E8694D" w:rsidRDefault="00C10010" w:rsidP="00E8694D">
      <w:pPr>
        <w:jc w:val="both"/>
        <w:rPr>
          <w:rFonts w:eastAsia="Times New Roman" w:cstheme="minorHAnsi"/>
          <w:color w:val="auto"/>
          <w:lang w:val="es-CL" w:eastAsia="es-ES_tradnl"/>
        </w:rPr>
      </w:pPr>
      <w:r w:rsidRPr="00E8694D">
        <w:rPr>
          <w:rFonts w:cstheme="minorHAnsi"/>
        </w:rPr>
        <w:t xml:space="preserve">La principal forma de identificar un contenedor y diferenciarlo de otros, </w:t>
      </w:r>
      <w:r w:rsidR="00E8694D" w:rsidRPr="00E8694D">
        <w:rPr>
          <w:rFonts w:cstheme="minorHAnsi"/>
        </w:rPr>
        <w:t xml:space="preserve">es a través de la </w:t>
      </w:r>
      <w:proofErr w:type="spellStart"/>
      <w:r w:rsidR="00E8694D" w:rsidRPr="00E8694D">
        <w:rPr>
          <w:rFonts w:cstheme="minorHAnsi"/>
        </w:rPr>
        <w:t>matrícul</w:t>
      </w:r>
      <w:proofErr w:type="spellEnd"/>
      <w:r w:rsidR="00E8694D" w:rsidRPr="00E8694D">
        <w:rPr>
          <w:rFonts w:cstheme="minorHAnsi"/>
        </w:rPr>
        <w:t xml:space="preserve">, la cual esta compuesta por: 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>4 letras + 7 números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>. E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>j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 xml:space="preserve">: 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 xml:space="preserve"> </w:t>
      </w:r>
      <w:r w:rsidR="00E8694D" w:rsidRPr="00E8694D">
        <w:rPr>
          <w:rFonts w:eastAsia="Times New Roman" w:cstheme="minorHAnsi"/>
          <w:bCs/>
          <w:color w:val="auto"/>
          <w:lang w:val="es-CL" w:eastAsia="es-ES_tradnl"/>
        </w:rPr>
        <w:t>ATHU 837465 3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 xml:space="preserve">. Las </w:t>
      </w:r>
      <w:r w:rsidR="00E8694D" w:rsidRPr="00E8694D">
        <w:rPr>
          <w:rFonts w:eastAsia="Times New Roman" w:cstheme="minorHAnsi"/>
          <w:bCs/>
          <w:color w:val="auto"/>
          <w:lang w:val="es-CL" w:eastAsia="es-ES_tradnl"/>
        </w:rPr>
        <w:t>3 primeras letras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 xml:space="preserve"> identifican al </w:t>
      </w:r>
      <w:r w:rsidR="00E8694D" w:rsidRPr="00E8694D">
        <w:rPr>
          <w:rFonts w:eastAsia="Times New Roman" w:cstheme="minorHAnsi"/>
          <w:bCs/>
          <w:color w:val="auto"/>
          <w:lang w:val="es-CL" w:eastAsia="es-ES_tradnl"/>
        </w:rPr>
        <w:t>propietario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 xml:space="preserve">, la </w:t>
      </w:r>
      <w:r w:rsidR="00E8694D" w:rsidRPr="00E8694D">
        <w:rPr>
          <w:rFonts w:eastAsia="Times New Roman" w:cstheme="minorHAnsi"/>
          <w:bCs/>
          <w:color w:val="auto"/>
          <w:lang w:val="es-CL" w:eastAsia="es-ES_tradnl"/>
        </w:rPr>
        <w:t>4ª es “U”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 xml:space="preserve"> (equipo/estándar ISO), los </w:t>
      </w:r>
      <w:r w:rsidR="00E8694D" w:rsidRPr="00E8694D">
        <w:rPr>
          <w:rFonts w:eastAsia="Times New Roman" w:cstheme="minorHAnsi"/>
          <w:bCs/>
          <w:color w:val="auto"/>
          <w:lang w:val="es-CL" w:eastAsia="es-ES_tradnl"/>
        </w:rPr>
        <w:t>6 números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 xml:space="preserve"> son el </w:t>
      </w:r>
      <w:r w:rsidR="00E8694D" w:rsidRPr="00E8694D">
        <w:rPr>
          <w:rFonts w:eastAsia="Times New Roman" w:cstheme="minorHAnsi"/>
          <w:bCs/>
          <w:color w:val="auto"/>
          <w:lang w:val="es-CL" w:eastAsia="es-ES_tradnl"/>
        </w:rPr>
        <w:t>nº de serie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 xml:space="preserve"> y el </w:t>
      </w:r>
      <w:r w:rsidR="00E8694D" w:rsidRPr="00E8694D">
        <w:rPr>
          <w:rFonts w:eastAsia="Times New Roman" w:cstheme="minorHAnsi"/>
          <w:bCs/>
          <w:color w:val="auto"/>
          <w:lang w:val="es-CL" w:eastAsia="es-ES_tradnl"/>
        </w:rPr>
        <w:t>último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 xml:space="preserve"> es el </w:t>
      </w:r>
      <w:r w:rsidR="00E8694D" w:rsidRPr="00E8694D">
        <w:rPr>
          <w:rFonts w:eastAsia="Times New Roman" w:cstheme="minorHAnsi"/>
          <w:bCs/>
          <w:color w:val="auto"/>
          <w:lang w:val="es-CL" w:eastAsia="es-ES_tradnl"/>
        </w:rPr>
        <w:t>dígito de control</w:t>
      </w:r>
      <w:r w:rsidR="00E8694D" w:rsidRPr="00E8694D">
        <w:rPr>
          <w:rFonts w:eastAsia="Times New Roman" w:cstheme="minorHAnsi"/>
          <w:color w:val="auto"/>
          <w:lang w:val="es-CL" w:eastAsia="es-ES_tradnl"/>
        </w:rPr>
        <w:t xml:space="preserve"> calculado por algoritmo. </w:t>
      </w:r>
    </w:p>
    <w:p w:rsidR="00E8694D" w:rsidRPr="00E8694D" w:rsidRDefault="00E8694D" w:rsidP="00E8694D">
      <w:pPr>
        <w:jc w:val="both"/>
        <w:rPr>
          <w:rFonts w:eastAsia="Times New Roman" w:cstheme="minorHAnsi"/>
          <w:color w:val="auto"/>
          <w:lang w:val="es-CL" w:eastAsia="es-ES_tradnl"/>
        </w:rPr>
      </w:pPr>
      <w:r w:rsidRPr="00E8694D">
        <w:rPr>
          <w:rFonts w:eastAsia="Times New Roman" w:cstheme="minorHAnsi"/>
          <w:color w:val="auto"/>
          <w:lang w:val="es-CL" w:eastAsia="es-ES_tradnl"/>
        </w:rPr>
        <w:t xml:space="preserve">Sin embargo, debe contar con las siguientes marcas obligatoriamente visibles en los cuatros costados: </w:t>
      </w:r>
      <w:r w:rsidRPr="00E8694D">
        <w:rPr>
          <w:rFonts w:eastAsia="Times New Roman" w:cstheme="minorHAnsi"/>
          <w:bCs/>
          <w:color w:val="auto"/>
          <w:lang w:val="es-CL" w:eastAsia="es-ES_tradnl"/>
        </w:rPr>
        <w:t>P</w:t>
      </w:r>
      <w:r w:rsidRPr="00E8694D">
        <w:rPr>
          <w:rFonts w:eastAsia="Times New Roman" w:cstheme="minorHAnsi"/>
          <w:bCs/>
          <w:color w:val="auto"/>
          <w:lang w:val="es-CL" w:eastAsia="es-ES_tradnl"/>
        </w:rPr>
        <w:t>eso máximo bruto</w:t>
      </w:r>
      <w:r w:rsidRPr="00E8694D">
        <w:rPr>
          <w:rFonts w:eastAsia="Times New Roman" w:cstheme="minorHAnsi"/>
          <w:color w:val="auto"/>
          <w:lang w:val="es-CL" w:eastAsia="es-ES_tradnl"/>
        </w:rPr>
        <w:t xml:space="preserve">, </w:t>
      </w:r>
      <w:r w:rsidRPr="00E8694D">
        <w:rPr>
          <w:rFonts w:eastAsia="Times New Roman" w:cstheme="minorHAnsi"/>
          <w:bCs/>
          <w:color w:val="auto"/>
          <w:lang w:val="es-CL" w:eastAsia="es-ES_tradnl"/>
        </w:rPr>
        <w:t>tara</w:t>
      </w:r>
      <w:r w:rsidRPr="00E8694D">
        <w:rPr>
          <w:rFonts w:eastAsia="Times New Roman" w:cstheme="minorHAnsi"/>
          <w:color w:val="auto"/>
          <w:lang w:val="es-CL" w:eastAsia="es-ES_tradnl"/>
        </w:rPr>
        <w:t xml:space="preserve">, </w:t>
      </w:r>
      <w:r w:rsidRPr="00E8694D">
        <w:rPr>
          <w:rFonts w:eastAsia="Times New Roman" w:cstheme="minorHAnsi"/>
          <w:bCs/>
          <w:color w:val="auto"/>
          <w:lang w:val="es-CL" w:eastAsia="es-ES_tradnl"/>
        </w:rPr>
        <w:t>volumen</w:t>
      </w:r>
      <w:r w:rsidRPr="00E8694D">
        <w:rPr>
          <w:rFonts w:eastAsia="Times New Roman" w:cstheme="minorHAnsi"/>
          <w:color w:val="auto"/>
          <w:lang w:val="es-CL" w:eastAsia="es-ES_tradnl"/>
        </w:rPr>
        <w:t xml:space="preserve"> y, según el material, </w:t>
      </w:r>
      <w:r w:rsidRPr="00E8694D">
        <w:rPr>
          <w:rFonts w:eastAsia="Times New Roman" w:cstheme="minorHAnsi"/>
          <w:bCs/>
          <w:color w:val="auto"/>
          <w:lang w:val="es-CL" w:eastAsia="es-ES_tradnl"/>
        </w:rPr>
        <w:t>logotipo de la sociedad clasificadora</w:t>
      </w:r>
      <w:r w:rsidRPr="00E8694D">
        <w:rPr>
          <w:rFonts w:eastAsia="Times New Roman" w:cstheme="minorHAnsi"/>
          <w:color w:val="auto"/>
          <w:lang w:val="es-CL" w:eastAsia="es-ES_tradnl"/>
        </w:rPr>
        <w:t xml:space="preserve">. </w:t>
      </w:r>
    </w:p>
    <w:p w:rsidR="00E8694D" w:rsidRPr="00E8694D" w:rsidRDefault="00E8694D" w:rsidP="00E8694D">
      <w:pPr>
        <w:pStyle w:val="NormalWeb"/>
        <w:jc w:val="both"/>
        <w:rPr>
          <w:rFonts w:asciiTheme="minorHAnsi" w:hAnsiTheme="minorHAnsi" w:cstheme="minorHAnsi"/>
        </w:rPr>
      </w:pPr>
      <w:r w:rsidRPr="00E8694D">
        <w:rPr>
          <w:rFonts w:asciiTheme="minorHAnsi" w:hAnsiTheme="minorHAnsi" w:cstheme="minorHAnsi"/>
        </w:rPr>
        <w:t>C</w:t>
      </w:r>
      <w:r w:rsidRPr="00E8694D">
        <w:rPr>
          <w:rStyle w:val="Textoennegrita"/>
          <w:rFonts w:asciiTheme="minorHAnsi" w:hAnsiTheme="minorHAnsi" w:cstheme="minorHAnsi"/>
          <w:b w:val="0"/>
        </w:rPr>
        <w:t>ódigos adicionales bajo la matrícula:</w:t>
      </w:r>
      <w:r w:rsidRPr="00E8694D">
        <w:rPr>
          <w:rFonts w:asciiTheme="minorHAnsi" w:hAnsiTheme="minorHAnsi" w:cstheme="minorHAnsi"/>
        </w:rPr>
        <w:t xml:space="preserve"> en el material se indica </w:t>
      </w:r>
      <w:r w:rsidRPr="00E8694D">
        <w:rPr>
          <w:rStyle w:val="Textoennegrita"/>
          <w:rFonts w:asciiTheme="minorHAnsi" w:hAnsiTheme="minorHAnsi" w:cstheme="minorHAnsi"/>
          <w:b w:val="0"/>
        </w:rPr>
        <w:t>código de país (2 letras)</w:t>
      </w:r>
      <w:r w:rsidRPr="00E8694D">
        <w:rPr>
          <w:rFonts w:asciiTheme="minorHAnsi" w:hAnsiTheme="minorHAnsi" w:cstheme="minorHAnsi"/>
        </w:rPr>
        <w:t xml:space="preserve"> y </w:t>
      </w:r>
      <w:r w:rsidRPr="00E8694D">
        <w:rPr>
          <w:rStyle w:val="Textoennegrita"/>
          <w:rFonts w:asciiTheme="minorHAnsi" w:hAnsiTheme="minorHAnsi" w:cstheme="minorHAnsi"/>
          <w:b w:val="0"/>
        </w:rPr>
        <w:t>cuatro números</w:t>
      </w:r>
      <w:r w:rsidRPr="00E8694D">
        <w:rPr>
          <w:rFonts w:asciiTheme="minorHAnsi" w:hAnsiTheme="minorHAnsi" w:cstheme="minorHAnsi"/>
        </w:rPr>
        <w:t xml:space="preserve"> con </w:t>
      </w:r>
      <w:r w:rsidRPr="00E8694D">
        <w:rPr>
          <w:rStyle w:val="Textoennegrita"/>
          <w:rFonts w:asciiTheme="minorHAnsi" w:hAnsiTheme="minorHAnsi" w:cstheme="minorHAnsi"/>
          <w:b w:val="0"/>
        </w:rPr>
        <w:t>características físicas</w:t>
      </w:r>
      <w:r w:rsidRPr="00E8694D">
        <w:rPr>
          <w:rFonts w:asciiTheme="minorHAnsi" w:hAnsiTheme="minorHAnsi" w:cstheme="minorHAnsi"/>
        </w:rPr>
        <w:t xml:space="preserve"> del contenedor. </w:t>
      </w:r>
    </w:p>
    <w:p w:rsidR="00E8694D" w:rsidRPr="00E8694D" w:rsidRDefault="00E8694D" w:rsidP="00E8694D">
      <w:pPr>
        <w:pStyle w:val="NormalWeb"/>
        <w:jc w:val="both"/>
        <w:rPr>
          <w:rFonts w:asciiTheme="minorHAnsi" w:hAnsiTheme="minorHAnsi" w:cstheme="minorHAnsi"/>
        </w:rPr>
      </w:pPr>
      <w:r w:rsidRPr="00E8694D">
        <w:rPr>
          <w:rStyle w:val="Textoennegrita"/>
          <w:rFonts w:asciiTheme="minorHAnsi" w:hAnsiTheme="minorHAnsi" w:cstheme="minorHAnsi"/>
          <w:b w:val="0"/>
        </w:rPr>
        <w:t>Precintos de seguridad numerados:</w:t>
      </w:r>
      <w:r w:rsidRPr="00E8694D">
        <w:rPr>
          <w:rFonts w:asciiTheme="minorHAnsi" w:hAnsiTheme="minorHAnsi" w:cstheme="minorHAnsi"/>
        </w:rPr>
        <w:t xml:space="preserve"> se colocan al </w:t>
      </w:r>
      <w:r w:rsidRPr="00E8694D">
        <w:rPr>
          <w:rStyle w:val="Textoennegrita"/>
          <w:rFonts w:asciiTheme="minorHAnsi" w:hAnsiTheme="minorHAnsi" w:cstheme="minorHAnsi"/>
          <w:b w:val="0"/>
        </w:rPr>
        <w:t>cerrar</w:t>
      </w:r>
      <w:r w:rsidRPr="00E8694D">
        <w:rPr>
          <w:rFonts w:asciiTheme="minorHAnsi" w:hAnsiTheme="minorHAnsi" w:cstheme="minorHAnsi"/>
        </w:rPr>
        <w:t xml:space="preserve">; su </w:t>
      </w:r>
      <w:r w:rsidRPr="00E8694D">
        <w:rPr>
          <w:rStyle w:val="Textoennegrita"/>
          <w:rFonts w:asciiTheme="minorHAnsi" w:hAnsiTheme="minorHAnsi" w:cstheme="minorHAnsi"/>
          <w:b w:val="0"/>
        </w:rPr>
        <w:t>número</w:t>
      </w:r>
      <w:r w:rsidRPr="00E8694D">
        <w:rPr>
          <w:rFonts w:asciiTheme="minorHAnsi" w:hAnsiTheme="minorHAnsi" w:cstheme="minorHAnsi"/>
        </w:rPr>
        <w:t xml:space="preserve"> va en la documentación y se </w:t>
      </w:r>
      <w:r w:rsidRPr="00E8694D">
        <w:rPr>
          <w:rStyle w:val="Textoennegrita"/>
          <w:rFonts w:asciiTheme="minorHAnsi" w:hAnsiTheme="minorHAnsi" w:cstheme="minorHAnsi"/>
          <w:b w:val="0"/>
        </w:rPr>
        <w:t>verifica</w:t>
      </w:r>
      <w:r w:rsidRPr="00E8694D">
        <w:rPr>
          <w:rFonts w:asciiTheme="minorHAnsi" w:hAnsiTheme="minorHAnsi" w:cstheme="minorHAnsi"/>
        </w:rPr>
        <w:t xml:space="preserve"> a la llegada para detectar manipulaciones. </w:t>
      </w:r>
    </w:p>
    <w:p w:rsidR="00E8694D" w:rsidRDefault="00E8694D" w:rsidP="00E8694D">
      <w:pPr>
        <w:pStyle w:val="NormalWeb"/>
        <w:jc w:val="both"/>
        <w:rPr>
          <w:rFonts w:asciiTheme="minorHAnsi" w:hAnsiTheme="minorHAnsi" w:cstheme="minorHAnsi"/>
        </w:rPr>
      </w:pPr>
      <w:r w:rsidRPr="00E8694D">
        <w:rPr>
          <w:rStyle w:val="Textoennegrita"/>
          <w:rFonts w:asciiTheme="minorHAnsi" w:hAnsiTheme="minorHAnsi" w:cstheme="minorHAnsi"/>
          <w:b w:val="0"/>
        </w:rPr>
        <w:t>Uso operativo del código:</w:t>
      </w:r>
      <w:r w:rsidRPr="00E8694D">
        <w:rPr>
          <w:rFonts w:asciiTheme="minorHAnsi" w:hAnsiTheme="minorHAnsi" w:cstheme="minorHAnsi"/>
        </w:rPr>
        <w:t xml:space="preserve"> el </w:t>
      </w:r>
      <w:r w:rsidRPr="00E8694D">
        <w:rPr>
          <w:rStyle w:val="Textoennegrita"/>
          <w:rFonts w:asciiTheme="minorHAnsi" w:hAnsiTheme="minorHAnsi" w:cstheme="minorHAnsi"/>
          <w:b w:val="0"/>
        </w:rPr>
        <w:t>plano de estiba</w:t>
      </w:r>
      <w:r w:rsidRPr="00E8694D">
        <w:rPr>
          <w:rFonts w:asciiTheme="minorHAnsi" w:hAnsiTheme="minorHAnsi" w:cstheme="minorHAnsi"/>
        </w:rPr>
        <w:t xml:space="preserve"> registra el </w:t>
      </w:r>
      <w:r w:rsidRPr="00E8694D">
        <w:rPr>
          <w:rStyle w:val="Textoennegrita"/>
          <w:rFonts w:asciiTheme="minorHAnsi" w:hAnsiTheme="minorHAnsi" w:cstheme="minorHAnsi"/>
          <w:b w:val="0"/>
        </w:rPr>
        <w:t>número/código de identificación</w:t>
      </w:r>
      <w:r w:rsidRPr="00E8694D">
        <w:rPr>
          <w:rFonts w:asciiTheme="minorHAnsi" w:hAnsiTheme="minorHAnsi" w:cstheme="minorHAnsi"/>
        </w:rPr>
        <w:t xml:space="preserve"> del contenedor, su </w:t>
      </w:r>
      <w:r w:rsidRPr="00E8694D">
        <w:rPr>
          <w:rStyle w:val="Textoennegrita"/>
          <w:rFonts w:asciiTheme="minorHAnsi" w:hAnsiTheme="minorHAnsi" w:cstheme="minorHAnsi"/>
          <w:b w:val="0"/>
        </w:rPr>
        <w:t>tipo, peso, destino y ubicación</w:t>
      </w:r>
      <w:r w:rsidRPr="00E8694D">
        <w:rPr>
          <w:rFonts w:asciiTheme="minorHAnsi" w:hAnsiTheme="minorHAnsi" w:cstheme="minorHAnsi"/>
        </w:rPr>
        <w:t xml:space="preserve"> a bordo.</w:t>
      </w:r>
      <w:r w:rsidR="00760986">
        <w:rPr>
          <w:rFonts w:asciiTheme="minorHAnsi" w:hAnsiTheme="minorHAnsi" w:cstheme="minorHAnsi"/>
        </w:rPr>
        <w:t xml:space="preserve"> </w:t>
      </w:r>
    </w:p>
    <w:p w:rsidR="00340C4F" w:rsidRDefault="00340C4F" w:rsidP="00340C4F">
      <w:pPr>
        <w:pStyle w:val="Ttulo2"/>
      </w:pPr>
      <w:r>
        <w:t>Trinca de contenedores.</w:t>
      </w:r>
    </w:p>
    <w:p w:rsidR="00396C79" w:rsidRDefault="00396C79" w:rsidP="00396C79">
      <w:pPr>
        <w:pStyle w:val="NormalWeb"/>
        <w:rPr>
          <w:rFonts w:asciiTheme="minorHAnsi" w:hAnsiTheme="minorHAnsi" w:cstheme="minorHAnsi"/>
        </w:rPr>
      </w:pPr>
      <w:r>
        <w:rPr>
          <w:rStyle w:val="Textoennegrita"/>
        </w:rPr>
        <w:t>En bodega (bajo cubierta):</w:t>
      </w:r>
      <w:r>
        <w:t xml:space="preserve"> </w:t>
      </w:r>
      <w:r w:rsidRPr="00396C79">
        <w:rPr>
          <w:rFonts w:asciiTheme="minorHAnsi" w:hAnsiTheme="minorHAnsi" w:cstheme="minorHAnsi"/>
        </w:rPr>
        <w:t xml:space="preserve">Los contenedores van guiados dentro de </w:t>
      </w:r>
      <w:r w:rsidRPr="00396C79">
        <w:rPr>
          <w:rStyle w:val="Textoennegrita"/>
          <w:rFonts w:asciiTheme="minorHAnsi" w:hAnsiTheme="minorHAnsi" w:cstheme="minorHAnsi"/>
          <w:b w:val="0"/>
        </w:rPr>
        <w:t>células</w:t>
      </w:r>
      <w:r w:rsidRPr="00396C79">
        <w:rPr>
          <w:rFonts w:asciiTheme="minorHAnsi" w:hAnsiTheme="minorHAnsi" w:cstheme="minorHAnsi"/>
        </w:rPr>
        <w:t xml:space="preserve"> (cell guides) que los mantienen alineados y confinados lateral y longitudinalmente. En las bases y entre unidades se usan </w:t>
      </w:r>
      <w:r w:rsidRPr="00396C79">
        <w:rPr>
          <w:rStyle w:val="Textoennegrita"/>
          <w:rFonts w:asciiTheme="minorHAnsi" w:hAnsiTheme="minorHAnsi" w:cstheme="minorHAnsi"/>
          <w:b w:val="0"/>
        </w:rPr>
        <w:t>conos</w:t>
      </w:r>
      <w:r w:rsidRPr="00396C79">
        <w:rPr>
          <w:rFonts w:asciiTheme="minorHAnsi" w:hAnsiTheme="minorHAnsi" w:cstheme="minorHAnsi"/>
        </w:rPr>
        <w:t xml:space="preserve"> (de estiba o autoposicionadores) que encajan en las </w:t>
      </w:r>
      <w:r w:rsidRPr="00396C79">
        <w:rPr>
          <w:rStyle w:val="Textoennegrita"/>
          <w:rFonts w:asciiTheme="minorHAnsi" w:hAnsiTheme="minorHAnsi" w:cstheme="minorHAnsi"/>
          <w:b w:val="0"/>
        </w:rPr>
        <w:t>cantoneras</w:t>
      </w:r>
      <w:r w:rsidRPr="00396C79">
        <w:rPr>
          <w:rFonts w:asciiTheme="minorHAnsi" w:hAnsiTheme="minorHAnsi" w:cstheme="minorHAnsi"/>
        </w:rPr>
        <w:t xml:space="preserve"> para evitar movimientos relativos verticales y facilitar el apilado.</w:t>
      </w:r>
    </w:p>
    <w:p w:rsidR="00396C79" w:rsidRDefault="00396C79" w:rsidP="00396C79">
      <w:pPr>
        <w:pStyle w:val="NormalWeb"/>
      </w:pPr>
      <w:r>
        <w:rPr>
          <w:rStyle w:val="Textoennegrita"/>
        </w:rPr>
        <w:t>En cubierta:</w:t>
      </w:r>
    </w:p>
    <w:p w:rsidR="00396C79" w:rsidRDefault="00396C79" w:rsidP="00396C79">
      <w:pPr>
        <w:pStyle w:val="NormalWeb"/>
        <w:numPr>
          <w:ilvl w:val="0"/>
          <w:numId w:val="17"/>
        </w:numPr>
      </w:pPr>
      <w:r>
        <w:t xml:space="preserve">Entre contenedor y contenedor (y sobre tapas de escotilla) se emplean </w:t>
      </w:r>
      <w:r w:rsidRPr="00396C79">
        <w:rPr>
          <w:rStyle w:val="Textoennegrita"/>
          <w:b w:val="0"/>
        </w:rPr>
        <w:t>twistlocks</w:t>
      </w:r>
      <w:r w:rsidRPr="00396C79">
        <w:rPr>
          <w:b/>
        </w:rPr>
        <w:t>:</w:t>
      </w:r>
      <w:r>
        <w:t xml:space="preserve"> pueden ser </w:t>
      </w:r>
      <w:r w:rsidRPr="00396C79">
        <w:rPr>
          <w:rStyle w:val="Textoennegrita"/>
          <w:b w:val="0"/>
        </w:rPr>
        <w:t>manuales</w:t>
      </w:r>
      <w:r w:rsidRPr="00396C79">
        <w:rPr>
          <w:b/>
        </w:rPr>
        <w:t xml:space="preserve"> </w:t>
      </w:r>
      <w:r>
        <w:t xml:space="preserve">(se cierran/abren con palanca) o </w:t>
      </w:r>
      <w:r w:rsidRPr="00396C79">
        <w:rPr>
          <w:rStyle w:val="Textoennegrita"/>
          <w:b w:val="0"/>
        </w:rPr>
        <w:t>automáticos</w:t>
      </w:r>
      <w:r>
        <w:t xml:space="preserve"> (se activan con la carga del superior y se liberan al izar). En apilados altos se alterna su orientación </w:t>
      </w:r>
      <w:r w:rsidRPr="00396C79">
        <w:rPr>
          <w:rStyle w:val="Textoennegrita"/>
          <w:b w:val="0"/>
        </w:rPr>
        <w:t>proa/popa</w:t>
      </w:r>
      <w:r w:rsidRPr="00396C79">
        <w:rPr>
          <w:b/>
        </w:rPr>
        <w:t xml:space="preserve"> </w:t>
      </w:r>
      <w:r>
        <w:t>para evitar agarrotamientos al destrincar.</w:t>
      </w:r>
    </w:p>
    <w:p w:rsidR="00396C79" w:rsidRPr="00396C79" w:rsidRDefault="00396C79" w:rsidP="00396C79">
      <w:pPr>
        <w:pStyle w:val="NormalWeb"/>
        <w:numPr>
          <w:ilvl w:val="0"/>
          <w:numId w:val="17"/>
        </w:numPr>
      </w:pPr>
      <w:r>
        <w:t xml:space="preserve">Para contener esfuerzos de balance/cabeceo se añaden </w:t>
      </w:r>
      <w:r w:rsidRPr="00396C79">
        <w:rPr>
          <w:rStyle w:val="Textoennegrita"/>
          <w:b w:val="0"/>
        </w:rPr>
        <w:t>barras de trinca (lashing rods)</w:t>
      </w:r>
      <w:r>
        <w:t xml:space="preserve"> que van desde las </w:t>
      </w:r>
      <w:r w:rsidRPr="00396C79">
        <w:rPr>
          <w:rStyle w:val="Textoennegrita"/>
          <w:b w:val="0"/>
        </w:rPr>
        <w:t>cantoneras inferiores</w:t>
      </w:r>
      <w:r>
        <w:t xml:space="preserve"> del contenedor hacia </w:t>
      </w:r>
      <w:r w:rsidRPr="00396C79">
        <w:rPr>
          <w:rStyle w:val="Textoennegrita"/>
          <w:b w:val="0"/>
        </w:rPr>
        <w:t>puntos de amarre</w:t>
      </w:r>
      <w:r>
        <w:t xml:space="preserve"> en cubierta. Estas barras se </w:t>
      </w:r>
      <w:r w:rsidRPr="00396C79">
        <w:rPr>
          <w:rStyle w:val="Textoennegrita"/>
          <w:b w:val="0"/>
        </w:rPr>
        <w:t>tensionan</w:t>
      </w:r>
      <w:r>
        <w:t xml:space="preserve"> mediante </w:t>
      </w:r>
      <w:r w:rsidRPr="00396C79">
        <w:rPr>
          <w:rStyle w:val="Textoennegrita"/>
          <w:b w:val="0"/>
        </w:rPr>
        <w:t>tensores</w:t>
      </w:r>
      <w:r w:rsidRPr="00396C79">
        <w:rPr>
          <w:b/>
        </w:rPr>
        <w:t xml:space="preserve"> (</w:t>
      </w:r>
      <w:r w:rsidRPr="00396C79">
        <w:rPr>
          <w:rStyle w:val="Textoennegrita"/>
          <w:b w:val="0"/>
        </w:rPr>
        <w:t>turnbuckles/bottle screws</w:t>
      </w:r>
      <w:r w:rsidRPr="00396C79">
        <w:rPr>
          <w:b/>
        </w:rPr>
        <w:t>),</w:t>
      </w:r>
      <w:r>
        <w:t xml:space="preserve"> ajustados con </w:t>
      </w:r>
      <w:r w:rsidRPr="00396C79">
        <w:t xml:space="preserve">su </w:t>
      </w:r>
      <w:r w:rsidRPr="00396C79">
        <w:rPr>
          <w:rStyle w:val="Textoennegrita"/>
          <w:b w:val="0"/>
        </w:rPr>
        <w:t>llave</w:t>
      </w:r>
      <w:r w:rsidRPr="00396C79">
        <w:t xml:space="preserve"> hasta lograr la precarga indicada en el plan de trinca.</w:t>
      </w:r>
    </w:p>
    <w:p w:rsidR="00396C79" w:rsidRDefault="00396C79" w:rsidP="00396C79">
      <w:pPr>
        <w:pStyle w:val="NormalWeb"/>
        <w:numPr>
          <w:ilvl w:val="0"/>
          <w:numId w:val="17"/>
        </w:numPr>
      </w:pPr>
      <w:r w:rsidRPr="00396C79">
        <w:t xml:space="preserve">En </w:t>
      </w:r>
      <w:r w:rsidRPr="00396C79">
        <w:rPr>
          <w:rStyle w:val="Textoennegrita"/>
          <w:b w:val="0"/>
        </w:rPr>
        <w:t>bays de 40’</w:t>
      </w:r>
      <w:r w:rsidRPr="00396C79">
        <w:t xml:space="preserve"> que alojan</w:t>
      </w:r>
      <w:r>
        <w:t xml:space="preserve"> </w:t>
      </w:r>
      <w:r w:rsidRPr="00396C79">
        <w:rPr>
          <w:rStyle w:val="Textoennegrita"/>
          <w:b w:val="0"/>
        </w:rPr>
        <w:t>20’</w:t>
      </w:r>
      <w:r>
        <w:t>, se colocan accesorios de centrado (p</w:t>
      </w:r>
      <w:r>
        <w:t xml:space="preserve">or ejemplo </w:t>
      </w:r>
      <w:r w:rsidRPr="00396C79">
        <w:rPr>
          <w:b/>
        </w:rPr>
        <w:t>“</w:t>
      </w:r>
      <w:r w:rsidRPr="00396C79">
        <w:rPr>
          <w:rStyle w:val="Textoennegrita"/>
          <w:b w:val="0"/>
        </w:rPr>
        <w:t>pico de loro</w:t>
      </w:r>
      <w:r w:rsidRPr="00396C79">
        <w:rPr>
          <w:b/>
        </w:rPr>
        <w:t>”</w:t>
      </w:r>
      <w:r>
        <w:t xml:space="preserve"> o adaptadores) para asegurar el posicionamiento y transmitir correctamente las cargas.</w:t>
      </w:r>
    </w:p>
    <w:p w:rsidR="00340C4F" w:rsidRDefault="00340C4F" w:rsidP="00340C4F">
      <w:pPr>
        <w:rPr>
          <w:lang w:val="es-CL"/>
        </w:rPr>
      </w:pPr>
    </w:p>
    <w:p w:rsidR="00DC2A77" w:rsidRDefault="00DC2A77" w:rsidP="00DC2A77">
      <w:pPr>
        <w:pStyle w:val="Ttulo2"/>
        <w:rPr>
          <w:rFonts w:asciiTheme="minorHAnsi" w:eastAsiaTheme="minorHAnsi" w:hAnsiTheme="minorHAnsi" w:cstheme="minorBidi"/>
          <w:sz w:val="24"/>
          <w:szCs w:val="24"/>
          <w:lang w:val="es-CL"/>
        </w:rPr>
      </w:pPr>
    </w:p>
    <w:p w:rsidR="00DC2A77" w:rsidRDefault="00DC2A77" w:rsidP="00DC2A77">
      <w:pPr>
        <w:rPr>
          <w:lang w:val="es-CL"/>
        </w:rPr>
      </w:pPr>
    </w:p>
    <w:p w:rsidR="00DC2A77" w:rsidRDefault="00DC2A77" w:rsidP="00DC2A77">
      <w:pPr>
        <w:pStyle w:val="Ttulo2"/>
        <w:rPr>
          <w:lang w:val="es-CL"/>
        </w:rPr>
      </w:pPr>
      <w:r>
        <w:rPr>
          <w:lang w:val="es-CL"/>
        </w:rPr>
        <w:lastRenderedPageBreak/>
        <w:t xml:space="preserve">Ejemplos </w:t>
      </w:r>
      <w:r w:rsidR="00F31275">
        <w:rPr>
          <w:lang w:val="es-CL"/>
        </w:rPr>
        <w:t>de accidentes</w:t>
      </w:r>
    </w:p>
    <w:p w:rsidR="006F5FC0" w:rsidRDefault="00133D43" w:rsidP="006F5FC0">
      <w:pPr>
        <w:pStyle w:val="Prrafodelista"/>
        <w:numPr>
          <w:ilvl w:val="0"/>
          <w:numId w:val="19"/>
        </w:numPr>
        <w:rPr>
          <w:rFonts w:ascii="Times New Roman" w:eastAsia="Times New Roman" w:hAnsi="Times New Roman" w:cs="Times New Roman"/>
          <w:color w:val="auto"/>
          <w:lang w:val="es-CL" w:eastAsia="es-ES_tradnl"/>
        </w:rPr>
      </w:pPr>
      <w:r w:rsidRPr="006F5FC0">
        <w:rPr>
          <w:lang w:val="es-CL"/>
        </w:rPr>
        <w:t>APL</w:t>
      </w:r>
      <w:r w:rsidR="006F5FC0" w:rsidRPr="006F5FC0">
        <w:rPr>
          <w:lang w:val="es-CL"/>
        </w:rPr>
        <w:t xml:space="preserve"> England </w:t>
      </w:r>
      <w:r w:rsidR="006F5FC0"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(24-may-2020, costa E de Australia):</w:t>
      </w:r>
      <w:r w:rsidR="006F5FC0"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el buque sufrió </w:t>
      </w:r>
      <w:r w:rsidR="006F5FC0"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rodadas fuertes</w:t>
      </w:r>
      <w:r w:rsidR="006F5FC0"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y perdió </w:t>
      </w:r>
      <w:r w:rsidR="006F5FC0"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50 contenedores</w:t>
      </w:r>
      <w:r w:rsidR="006F5FC0"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(otros 63 dañados). La investigación del </w:t>
      </w:r>
      <w:r w:rsidR="006F5FC0"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ATSB</w:t>
      </w:r>
      <w:r w:rsidR="006F5FC0"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halló </w:t>
      </w:r>
      <w:r w:rsidR="006F5FC0"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corrosión y mal estado</w:t>
      </w:r>
      <w:r w:rsidR="006F5FC0"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en elementos </w:t>
      </w:r>
      <w:r w:rsidR="006F5FC0"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fijos de trinca</w:t>
      </w:r>
      <w:r w:rsidR="006F5FC0"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en cubierta</w:t>
      </w:r>
      <w:r w:rsidR="000D152A">
        <w:rPr>
          <w:rFonts w:ascii="Times New Roman" w:eastAsia="Times New Roman" w:hAnsi="Times New Roman" w:cs="Times New Roman"/>
          <w:color w:val="auto"/>
          <w:lang w:val="es-CL" w:eastAsia="es-ES_tradnl"/>
        </w:rPr>
        <w:t>.</w:t>
      </w:r>
    </w:p>
    <w:p w:rsidR="000D152A" w:rsidRDefault="000D152A" w:rsidP="000D152A">
      <w:pPr>
        <w:pStyle w:val="Prrafodelista"/>
        <w:rPr>
          <w:rFonts w:ascii="Times New Roman" w:eastAsia="Times New Roman" w:hAnsi="Times New Roman" w:cs="Times New Roman"/>
          <w:color w:val="auto"/>
          <w:lang w:val="es-CL" w:eastAsia="es-ES_tradnl"/>
        </w:rPr>
      </w:pPr>
      <w:r>
        <w:rPr>
          <w:rFonts w:ascii="Times New Roman" w:eastAsia="Times New Roman" w:hAnsi="Times New Roman" w:cs="Times New Roman"/>
          <w:noProof/>
          <w:color w:val="auto"/>
          <w:lang w:val="es-CL" w:eastAsia="es-ES_tradnl"/>
        </w:rPr>
        <w:drawing>
          <wp:inline distT="0" distB="0" distL="0" distR="0">
            <wp:extent cx="5860415" cy="222631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ptura de Pantalla 2025-10-09 a la(s) 17.12.5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415" cy="222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auto"/>
          <w:lang w:val="es-CL" w:eastAsia="es-ES_tradnl"/>
        </w:rPr>
        <w:drawing>
          <wp:inline distT="0" distB="0" distL="0" distR="0">
            <wp:extent cx="5860415" cy="441007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ura de Pantalla 2025-10-09 a la(s) 17.13.1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41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52A" w:rsidRDefault="000D152A" w:rsidP="000D152A">
      <w:pPr>
        <w:pStyle w:val="Prrafodelista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0D152A" w:rsidRDefault="000D152A" w:rsidP="000D152A">
      <w:pPr>
        <w:pStyle w:val="Prrafodelista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F53BDE" w:rsidRDefault="00F53BDE" w:rsidP="000D152A">
      <w:pPr>
        <w:pStyle w:val="Prrafodelista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0D152A" w:rsidRPr="006F5FC0" w:rsidRDefault="000D152A" w:rsidP="000D152A">
      <w:pPr>
        <w:pStyle w:val="Prrafodelista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0D152A" w:rsidRDefault="006F5FC0" w:rsidP="000D152A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auto"/>
          <w:lang w:val="es-CL" w:eastAsia="es-ES_tradnl"/>
        </w:rPr>
      </w:pPr>
      <w:r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lastRenderedPageBreak/>
        <w:t>ONE Apus (30-nov/1-dic-2020, N Pacífico):</w:t>
      </w:r>
      <w:r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perdió </w:t>
      </w:r>
      <w:r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1.841 contenedores</w:t>
      </w:r>
      <w:r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y </w:t>
      </w:r>
      <w:r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983</w:t>
      </w:r>
      <w:r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resultaron dañados; arribó de emergencia a Hanshin (Kobe). El informe final de </w:t>
      </w:r>
      <w:r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JTSB</w:t>
      </w:r>
      <w:r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detalla la secuencia y los daños</w:t>
      </w:r>
      <w:r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. </w:t>
      </w:r>
      <w:r w:rsidR="00B45C45">
        <w:rPr>
          <w:rFonts w:eastAsia="Times New Roman"/>
          <w:noProof/>
          <w:lang w:val="es-CL" w:eastAsia="es-ES_tradnl"/>
        </w:rPr>
        <w:drawing>
          <wp:inline distT="0" distB="0" distL="0" distR="0">
            <wp:extent cx="4749800" cy="375920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a de Pantalla 2025-10-09 a la(s) 21.07.1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375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5C45">
        <w:rPr>
          <w:rFonts w:eastAsia="Times New Roman"/>
          <w:noProof/>
          <w:lang w:val="es-CL" w:eastAsia="es-ES_tradnl"/>
        </w:rPr>
        <w:drawing>
          <wp:inline distT="0" distB="0" distL="0" distR="0">
            <wp:extent cx="5860415" cy="1703705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ptura de Pantalla 2025-10-09 a la(s) 21.06.19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415" cy="170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3BDE">
        <w:rPr>
          <w:rFonts w:eastAsia="Times New Roman"/>
          <w:noProof/>
          <w:lang w:val="es-CL" w:eastAsia="es-ES_tradn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2789335</wp:posOffset>
            </wp:positionH>
            <wp:positionV relativeFrom="paragraph">
              <wp:posOffset>5713264</wp:posOffset>
            </wp:positionV>
            <wp:extent cx="3629937" cy="2594337"/>
            <wp:effectExtent l="0" t="0" r="254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aptura de Pantalla 2025-10-09 a la(s) 21.06.5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937" cy="2594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C45">
        <w:rPr>
          <w:rFonts w:eastAsia="Times New Roman"/>
          <w:noProof/>
          <w:lang w:val="es-CL" w:eastAsia="es-ES_tradnl"/>
        </w:rPr>
        <w:drawing>
          <wp:inline distT="0" distB="0" distL="0" distR="0">
            <wp:extent cx="2103170" cy="1651569"/>
            <wp:effectExtent l="0" t="0" r="508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aptura de Pantalla 2025-10-09 a la(s) 21.07.00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9473" cy="1656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BDE" w:rsidRDefault="00F53BDE" w:rsidP="00F53BDE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F53BDE" w:rsidRDefault="00F53BDE" w:rsidP="00F53BDE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F53BDE" w:rsidRDefault="00F53BDE" w:rsidP="00F53BDE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F53BDE" w:rsidRDefault="00F53BDE" w:rsidP="00F53BDE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F53BDE" w:rsidRDefault="00F53BDE" w:rsidP="00F53BDE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F53BDE" w:rsidRDefault="00F53BDE" w:rsidP="00F53BDE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F53BDE" w:rsidRDefault="00F53BDE" w:rsidP="00F53BDE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F53BDE" w:rsidRPr="00F53BDE" w:rsidRDefault="00F53BDE" w:rsidP="00F53BDE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6F5FC0" w:rsidRDefault="006F5FC0" w:rsidP="0002408B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auto"/>
          <w:lang w:val="es-CL" w:eastAsia="es-ES_tradnl"/>
        </w:rPr>
      </w:pPr>
      <w:r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Yantian Express (3-ene-2019, N Atlántico):</w:t>
      </w:r>
      <w:r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</w:t>
      </w:r>
      <w:r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incendio en cubierta</w:t>
      </w:r>
      <w:r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con evacuación; la </w:t>
      </w:r>
      <w:r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BSU</w:t>
      </w:r>
      <w:r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indica como </w:t>
      </w:r>
      <w:r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probable</w:t>
      </w:r>
      <w:r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un contenedor con </w:t>
      </w:r>
      <w:r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carbón de coco</w:t>
      </w:r>
      <w:r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</w:t>
      </w:r>
      <w:r w:rsidRPr="006F5FC0">
        <w:rPr>
          <w:rFonts w:ascii="Times New Roman" w:eastAsia="Times New Roman" w:hAnsi="Times New Roman" w:cs="Times New Roman"/>
          <w:b/>
          <w:bCs/>
          <w:color w:val="auto"/>
          <w:lang w:val="es-CL" w:eastAsia="es-ES_tradnl"/>
        </w:rPr>
        <w:t>mal declarado</w:t>
      </w:r>
      <w:r w:rsidRPr="006F5FC0">
        <w:rPr>
          <w:rFonts w:ascii="Times New Roman" w:eastAsia="Times New Roman" w:hAnsi="Times New Roman" w:cs="Times New Roman"/>
          <w:color w:val="auto"/>
          <w:lang w:val="es-CL" w:eastAsia="es-ES_tradnl"/>
        </w:rPr>
        <w:t xml:space="preserve"> (como “pellets”). </w:t>
      </w:r>
    </w:p>
    <w:p w:rsidR="006F5FC0" w:rsidRPr="006F5FC0" w:rsidRDefault="006F5FC0" w:rsidP="006F5FC0">
      <w:pPr>
        <w:pStyle w:val="Prrafodelista"/>
        <w:spacing w:after="0" w:line="240" w:lineRule="auto"/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6F5FC0" w:rsidRPr="006F5FC0" w:rsidRDefault="00F53BDE" w:rsidP="006F5FC0">
      <w:pPr>
        <w:rPr>
          <w:rFonts w:ascii="Times New Roman" w:eastAsia="Times New Roman" w:hAnsi="Times New Roman" w:cs="Times New Roman"/>
          <w:color w:val="auto"/>
          <w:lang w:val="es-CL" w:eastAsia="es-ES_tradnl"/>
        </w:rPr>
      </w:pPr>
      <w:r>
        <w:rPr>
          <w:rFonts w:ascii="Times New Roman" w:eastAsia="Times New Roman" w:hAnsi="Times New Roman" w:cs="Times New Roman"/>
          <w:noProof/>
          <w:color w:val="auto"/>
          <w:lang w:val="es-CL" w:eastAsia="es-ES_tradnl"/>
        </w:rPr>
        <w:drawing>
          <wp:inline distT="0" distB="0" distL="0" distR="0">
            <wp:extent cx="2783305" cy="1746464"/>
            <wp:effectExtent l="0" t="0" r="0" b="635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aptura de Pantalla 2025-10-09 a la(s) 21.21.2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1343" cy="1770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auto"/>
          <w:lang w:val="es-CL" w:eastAsia="es-ES_tradnl"/>
        </w:rPr>
        <w:drawing>
          <wp:inline distT="0" distB="0" distL="0" distR="0">
            <wp:extent cx="2652665" cy="1756180"/>
            <wp:effectExtent l="0" t="0" r="1905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ptura de Pantalla 2025-10-09 a la(s) 21.21.49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877" cy="1766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auto"/>
          <w:lang w:val="es-CL" w:eastAsia="es-ES_tradnl"/>
        </w:rPr>
        <w:drawing>
          <wp:inline distT="0" distB="0" distL="0" distR="0">
            <wp:extent cx="2841129" cy="2187601"/>
            <wp:effectExtent l="0" t="0" r="381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aptura de Pantalla 2025-10-09 a la(s) 21.23.55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026" cy="2221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auto"/>
          <w:lang w:val="es-CL" w:eastAsia="es-ES_tradnl"/>
        </w:rPr>
        <w:drawing>
          <wp:inline distT="0" distB="0" distL="0" distR="0">
            <wp:extent cx="2783205" cy="2371167"/>
            <wp:effectExtent l="0" t="0" r="0" b="381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aptura de Pantalla 2025-10-09 a la(s) 21.24.1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756" cy="2378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D43" w:rsidRDefault="000763E9" w:rsidP="000763E9">
      <w:pPr>
        <w:pStyle w:val="Subttulo"/>
        <w:rPr>
          <w:rFonts w:eastAsiaTheme="minorHAnsi"/>
          <w:lang w:val="es-CL"/>
        </w:rPr>
      </w:pPr>
      <w:r>
        <w:rPr>
          <w:rFonts w:eastAsiaTheme="minorHAnsi"/>
          <w:lang w:val="es-CL"/>
        </w:rPr>
        <w:t>Opinion Personal del Futuro</w:t>
      </w:r>
    </w:p>
    <w:p w:rsidR="000763E9" w:rsidRPr="00133D43" w:rsidRDefault="000763E9" w:rsidP="000763E9">
      <w:pPr>
        <w:rPr>
          <w:lang w:val="es-CL"/>
        </w:rPr>
      </w:pPr>
      <w:r>
        <w:rPr>
          <w:lang w:val="es-CL"/>
        </w:rPr>
        <w:t xml:space="preserve">En mi opinion, no creo que se siga buscando hacer más masivo y grande </w:t>
      </w:r>
      <w:r w:rsidR="00900D26">
        <w:rPr>
          <w:lang w:val="es-CL"/>
        </w:rPr>
        <w:t>los buques/contenedores</w:t>
      </w:r>
      <w:r>
        <w:rPr>
          <w:lang w:val="es-CL"/>
        </w:rPr>
        <w:t>, sino que m</w:t>
      </w:r>
      <w:r w:rsidR="00900D26">
        <w:rPr>
          <w:lang w:val="es-CL"/>
        </w:rPr>
        <w:t>á</w:t>
      </w:r>
      <w:r>
        <w:rPr>
          <w:lang w:val="es-CL"/>
        </w:rPr>
        <w:t>s inteligente</w:t>
      </w:r>
      <w:r w:rsidR="00900D26">
        <w:rPr>
          <w:lang w:val="es-CL"/>
        </w:rPr>
        <w:t xml:space="preserve">s </w:t>
      </w:r>
      <w:r>
        <w:rPr>
          <w:lang w:val="es-CL"/>
        </w:rPr>
        <w:t>y dinámico</w:t>
      </w:r>
      <w:r w:rsidR="00900D26">
        <w:rPr>
          <w:lang w:val="es-CL"/>
        </w:rPr>
        <w:t>s</w:t>
      </w:r>
      <w:r>
        <w:rPr>
          <w:lang w:val="es-CL"/>
        </w:rPr>
        <w:t xml:space="preserve">, poniendo inteligencia artificial y sistemas avanzados para la estiba del buque que sean completamente automáticos, cosa que solo lleguen los contenedores, y los sistemas sean capaces de cargarlos y acomodarlos de acuerdo a todas las normativas que hemos visto, incluso agregando ruedas y piloto automático a cada contenedor, asi estos solo bajarían de los camiones y sabrían inmediatamente hasta que parte del buque “conducir”. </w:t>
      </w:r>
      <w:r w:rsidR="00900D26">
        <w:rPr>
          <w:lang w:val="es-CL"/>
        </w:rPr>
        <w:t>También los contenedores podrían tener sus propios sistemas de seguridad, como un mecanimos para combatir un incendio dependiendo de lo que lleve, o quizás que sea capaz de reacomodarse al autodetectar un cambio en su posición</w:t>
      </w:r>
      <w:bookmarkStart w:id="0" w:name="_GoBack"/>
      <w:bookmarkEnd w:id="0"/>
    </w:p>
    <w:p w:rsidR="00E8694D" w:rsidRPr="00E8694D" w:rsidRDefault="00E8694D" w:rsidP="00E8694D">
      <w:pPr>
        <w:rPr>
          <w:rFonts w:ascii="Times New Roman" w:eastAsia="Times New Roman" w:hAnsi="Times New Roman" w:cs="Times New Roman"/>
          <w:color w:val="auto"/>
          <w:lang w:val="es-CL" w:eastAsia="es-ES_tradnl"/>
        </w:rPr>
      </w:pPr>
    </w:p>
    <w:p w:rsidR="00C10010" w:rsidRPr="00E8694D" w:rsidRDefault="00C10010" w:rsidP="00C10010">
      <w:pPr>
        <w:rPr>
          <w:lang w:val="es-CL"/>
        </w:rPr>
      </w:pPr>
    </w:p>
    <w:sectPr w:rsidR="00C10010" w:rsidRPr="00E8694D">
      <w:footerReference w:type="default" r:id="rId18"/>
      <w:pgSz w:w="11907" w:h="16839"/>
      <w:pgMar w:top="1267" w:right="1339" w:bottom="1339" w:left="133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77D3" w:rsidRDefault="002277D3">
      <w:pPr>
        <w:spacing w:after="0" w:line="240" w:lineRule="auto"/>
      </w:pPr>
      <w:r>
        <w:separator/>
      </w:r>
    </w:p>
  </w:endnote>
  <w:endnote w:type="continuationSeparator" w:id="0">
    <w:p w:rsidR="002277D3" w:rsidRDefault="00227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95635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3167" w:rsidRDefault="002277D3">
        <w:pPr>
          <w:pStyle w:val="Piedepgin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77D3" w:rsidRDefault="002277D3">
      <w:pPr>
        <w:spacing w:after="0" w:line="240" w:lineRule="auto"/>
      </w:pPr>
      <w:r>
        <w:separator/>
      </w:r>
    </w:p>
  </w:footnote>
  <w:footnote w:type="continuationSeparator" w:id="0">
    <w:p w:rsidR="002277D3" w:rsidRDefault="00227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002936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270B25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996E9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1B4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82E4BF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3B4E4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683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629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4C23A14"/>
    <w:lvl w:ilvl="0">
      <w:start w:val="1"/>
      <w:numFmt w:val="decimal"/>
      <w:lvlText w:val="%1."/>
      <w:lvlJc w:val="left"/>
      <w:pPr>
        <w:tabs>
          <w:tab w:val="num" w:pos="749"/>
        </w:tabs>
        <w:ind w:left="749" w:hanging="259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BD1421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5D5D91"/>
    <w:multiLevelType w:val="hybridMultilevel"/>
    <w:tmpl w:val="CB20175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957834"/>
    <w:multiLevelType w:val="hybridMultilevel"/>
    <w:tmpl w:val="64709B02"/>
    <w:lvl w:ilvl="0" w:tplc="8A94C864">
      <w:start w:val="1"/>
      <w:numFmt w:val="bullet"/>
      <w:lvlText w:val=""/>
      <w:lvlJc w:val="left"/>
      <w:pPr>
        <w:ind w:left="749" w:hanging="259"/>
      </w:pPr>
      <w:rPr>
        <w:rFonts w:ascii="Symbol" w:hAnsi="Symbol" w:hint="default"/>
        <w:color w:val="000000" w:themeColor="text1"/>
        <w:w w:val="100"/>
      </w:rPr>
    </w:lvl>
    <w:lvl w:ilvl="1" w:tplc="1FF8C5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A080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7CF2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1A23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E24B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AC21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70CF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F4CC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B031BE"/>
    <w:multiLevelType w:val="multilevel"/>
    <w:tmpl w:val="05F62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C82C9A"/>
    <w:multiLevelType w:val="hybridMultilevel"/>
    <w:tmpl w:val="63F07864"/>
    <w:lvl w:ilvl="0" w:tplc="1E9C878E">
      <w:start w:val="1"/>
      <w:numFmt w:val="bullet"/>
      <w:lvlText w:val=""/>
      <w:lvlJc w:val="left"/>
      <w:pPr>
        <w:tabs>
          <w:tab w:val="num" w:pos="662"/>
        </w:tabs>
        <w:ind w:left="173" w:firstLine="317"/>
      </w:pPr>
      <w:rPr>
        <w:rFonts w:ascii="Symbol" w:hAnsi="Symbol" w:hint="default"/>
      </w:rPr>
    </w:lvl>
    <w:lvl w:ilvl="1" w:tplc="DA3478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1008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58C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904C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14EF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5EF2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7E42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94CB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BC0320"/>
    <w:multiLevelType w:val="hybridMultilevel"/>
    <w:tmpl w:val="DC3C7298"/>
    <w:lvl w:ilvl="0" w:tplc="3162E85C">
      <w:start w:val="1"/>
      <w:numFmt w:val="bullet"/>
      <w:lvlText w:val=""/>
      <w:lvlJc w:val="left"/>
      <w:pPr>
        <w:ind w:left="662" w:hanging="172"/>
      </w:pPr>
      <w:rPr>
        <w:rFonts w:ascii="Symbol" w:hAnsi="Symbol" w:hint="default"/>
        <w:color w:val="000000" w:themeColor="text1"/>
        <w:w w:val="100"/>
      </w:rPr>
    </w:lvl>
    <w:lvl w:ilvl="1" w:tplc="C27A55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4624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D0A4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0CB5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062A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E62E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7EB2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26F6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452040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2083510"/>
    <w:multiLevelType w:val="hybridMultilevel"/>
    <w:tmpl w:val="BE6E19F6"/>
    <w:lvl w:ilvl="0" w:tplc="AEBE4240">
      <w:start w:val="1"/>
      <w:numFmt w:val="bullet"/>
      <w:pStyle w:val="Listaconvietas"/>
      <w:lvlText w:val=""/>
      <w:lvlJc w:val="left"/>
      <w:pPr>
        <w:tabs>
          <w:tab w:val="num" w:pos="749"/>
        </w:tabs>
        <w:ind w:left="749" w:hanging="259"/>
      </w:pPr>
      <w:rPr>
        <w:rFonts w:ascii="Symbol" w:hAnsi="Symbol" w:hint="default"/>
        <w:color w:val="000000" w:themeColor="text1"/>
        <w:w w:val="100"/>
      </w:rPr>
    </w:lvl>
    <w:lvl w:ilvl="1" w:tplc="22E4030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3601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EB8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F0A7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72B0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5655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94EA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C836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226C1F"/>
    <w:multiLevelType w:val="hybridMultilevel"/>
    <w:tmpl w:val="49ACD974"/>
    <w:lvl w:ilvl="0" w:tplc="64601FB8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  <w:color w:val="000000" w:themeColor="text1"/>
        <w:w w:val="100"/>
      </w:rPr>
    </w:lvl>
    <w:lvl w:ilvl="1" w:tplc="27762E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509E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D459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2421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4EB0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3627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FA30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2C3E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901CF9"/>
    <w:multiLevelType w:val="hybridMultilevel"/>
    <w:tmpl w:val="2F4A75D8"/>
    <w:lvl w:ilvl="0" w:tplc="C2305896">
      <w:start w:val="1"/>
      <w:numFmt w:val="decimal"/>
      <w:pStyle w:val="Listaconnmeros"/>
      <w:lvlText w:val="%1."/>
      <w:lvlJc w:val="left"/>
      <w:pPr>
        <w:ind w:left="720" w:hanging="360"/>
      </w:pPr>
    </w:lvl>
    <w:lvl w:ilvl="1" w:tplc="CDCE0F22">
      <w:start w:val="1"/>
      <w:numFmt w:val="lowerLetter"/>
      <w:lvlText w:val="%2."/>
      <w:lvlJc w:val="left"/>
      <w:pPr>
        <w:ind w:left="1440" w:hanging="360"/>
      </w:pPr>
    </w:lvl>
    <w:lvl w:ilvl="2" w:tplc="EAF090B8">
      <w:start w:val="1"/>
      <w:numFmt w:val="lowerRoman"/>
      <w:lvlText w:val="%3."/>
      <w:lvlJc w:val="right"/>
      <w:pPr>
        <w:ind w:left="2160" w:hanging="180"/>
      </w:pPr>
    </w:lvl>
    <w:lvl w:ilvl="3" w:tplc="5CE8CBCC">
      <w:start w:val="1"/>
      <w:numFmt w:val="decimal"/>
      <w:lvlText w:val="%4."/>
      <w:lvlJc w:val="left"/>
      <w:pPr>
        <w:ind w:left="2880" w:hanging="360"/>
      </w:pPr>
    </w:lvl>
    <w:lvl w:ilvl="4" w:tplc="CC1CFA9E" w:tentative="1">
      <w:start w:val="1"/>
      <w:numFmt w:val="lowerLetter"/>
      <w:lvlText w:val="%5."/>
      <w:lvlJc w:val="left"/>
      <w:pPr>
        <w:ind w:left="3600" w:hanging="360"/>
      </w:pPr>
    </w:lvl>
    <w:lvl w:ilvl="5" w:tplc="0D90B3B8" w:tentative="1">
      <w:start w:val="1"/>
      <w:numFmt w:val="lowerRoman"/>
      <w:lvlText w:val="%6."/>
      <w:lvlJc w:val="right"/>
      <w:pPr>
        <w:ind w:left="4320" w:hanging="180"/>
      </w:pPr>
    </w:lvl>
    <w:lvl w:ilvl="6" w:tplc="4B3E0D1E" w:tentative="1">
      <w:start w:val="1"/>
      <w:numFmt w:val="decimal"/>
      <w:lvlText w:val="%7."/>
      <w:lvlJc w:val="left"/>
      <w:pPr>
        <w:ind w:left="5040" w:hanging="360"/>
      </w:pPr>
    </w:lvl>
    <w:lvl w:ilvl="7" w:tplc="AE2C3F4A" w:tentative="1">
      <w:start w:val="1"/>
      <w:numFmt w:val="lowerLetter"/>
      <w:lvlText w:val="%8."/>
      <w:lvlJc w:val="left"/>
      <w:pPr>
        <w:ind w:left="5760" w:hanging="360"/>
      </w:pPr>
    </w:lvl>
    <w:lvl w:ilvl="8" w:tplc="4956E73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7"/>
  </w:num>
  <w:num w:numId="4">
    <w:abstractNumId w:val="14"/>
  </w:num>
  <w:num w:numId="5">
    <w:abstractNumId w:val="11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6"/>
  </w:num>
  <w:num w:numId="16">
    <w:abstractNumId w:val="18"/>
  </w:num>
  <w:num w:numId="17">
    <w:abstractNumId w:val="12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5A1"/>
    <w:rsid w:val="00053E68"/>
    <w:rsid w:val="000763E9"/>
    <w:rsid w:val="000D152A"/>
    <w:rsid w:val="00133D43"/>
    <w:rsid w:val="001C21C6"/>
    <w:rsid w:val="002277D3"/>
    <w:rsid w:val="00241F64"/>
    <w:rsid w:val="00303FB9"/>
    <w:rsid w:val="00340C4F"/>
    <w:rsid w:val="00396C79"/>
    <w:rsid w:val="00544B19"/>
    <w:rsid w:val="005E682D"/>
    <w:rsid w:val="00660AB7"/>
    <w:rsid w:val="006C72E6"/>
    <w:rsid w:val="006F5FC0"/>
    <w:rsid w:val="00760986"/>
    <w:rsid w:val="00900D26"/>
    <w:rsid w:val="00984A82"/>
    <w:rsid w:val="009C4AA4"/>
    <w:rsid w:val="00A20D04"/>
    <w:rsid w:val="00B45C45"/>
    <w:rsid w:val="00BF7338"/>
    <w:rsid w:val="00C10010"/>
    <w:rsid w:val="00DA35A1"/>
    <w:rsid w:val="00DC2A77"/>
    <w:rsid w:val="00E8694D"/>
    <w:rsid w:val="00F04603"/>
    <w:rsid w:val="00F31275"/>
    <w:rsid w:val="00F5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44A2FD3"/>
  <w15:docId w15:val="{8DD67318-AB81-5049-A161-635508678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000000" w:themeColor="text1"/>
        <w:sz w:val="24"/>
        <w:szCs w:val="24"/>
        <w:lang w:val="en-US" w:eastAsia="ja-JP" w:bidi="ar-SA"/>
      </w:rPr>
    </w:rPrDefault>
    <w:pPrDefault>
      <w:pPr>
        <w:spacing w:after="24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3DA8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00" w:line="240" w:lineRule="auto"/>
      <w:contextualSpacing/>
      <w:outlineLvl w:val="0"/>
    </w:pPr>
    <w:rPr>
      <w:rFonts w:asciiTheme="majorHAnsi" w:eastAsiaTheme="majorEastAsia" w:hAnsiTheme="majorHAnsi" w:cstheme="majorBidi"/>
      <w:sz w:val="4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400" w:line="240" w:lineRule="auto"/>
      <w:outlineLvl w:val="1"/>
    </w:pPr>
    <w:rPr>
      <w:rFonts w:asciiTheme="majorHAnsi" w:eastAsiaTheme="majorEastAsia" w:hAnsiTheme="majorHAnsi" w:cstheme="majorBidi"/>
      <w:sz w:val="3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400" w:line="240" w:lineRule="auto"/>
      <w:outlineLvl w:val="2"/>
    </w:pPr>
    <w:rPr>
      <w:rFonts w:asciiTheme="majorHAnsi" w:eastAsiaTheme="majorEastAsia" w:hAnsiTheme="majorHAnsi" w:cstheme="majorBidi"/>
      <w:sz w:val="3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400" w:line="240" w:lineRule="auto"/>
      <w:outlineLvl w:val="3"/>
    </w:pPr>
    <w:rPr>
      <w:rFonts w:asciiTheme="majorHAnsi" w:eastAsiaTheme="majorEastAsia" w:hAnsiTheme="majorHAnsi" w:cstheme="majorBidi"/>
      <w:i/>
      <w:iCs/>
      <w:sz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400" w:line="240" w:lineRule="auto"/>
      <w:contextualSpacing/>
      <w:outlineLvl w:val="4"/>
    </w:pPr>
    <w:rPr>
      <w:rFonts w:asciiTheme="majorHAnsi" w:eastAsiaTheme="majorEastAsia" w:hAnsiTheme="majorHAnsi" w:cstheme="majorBidi"/>
      <w:b/>
      <w:color w:val="595959" w:themeColor="text1" w:themeTint="A6"/>
      <w:sz w:val="3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0" w:line="240" w:lineRule="auto"/>
      <w:contextualSpacing/>
      <w:outlineLvl w:val="5"/>
    </w:pPr>
    <w:rPr>
      <w:rFonts w:asciiTheme="majorHAnsi" w:eastAsiaTheme="majorEastAsia" w:hAnsiTheme="majorHAnsi" w:cstheme="majorBidi"/>
      <w:b/>
      <w:i/>
      <w:color w:val="595959" w:themeColor="text1" w:themeTint="A6"/>
      <w:sz w:val="3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0" w:line="240" w:lineRule="auto"/>
      <w:contextualSpacing/>
      <w:outlineLvl w:val="6"/>
    </w:pPr>
    <w:rPr>
      <w:rFonts w:asciiTheme="majorHAnsi" w:eastAsiaTheme="majorEastAsia" w:hAnsiTheme="majorHAnsi" w:cstheme="majorBidi"/>
      <w:iCs/>
      <w:color w:val="595959" w:themeColor="text1" w:themeTint="A6"/>
      <w:sz w:val="3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before="4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595959" w:themeColor="text1" w:themeTint="A6"/>
      <w:sz w:val="30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before="40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 w:val="26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link w:val="SubttuloCar"/>
    <w:uiPriority w:val="2"/>
    <w:qFormat/>
    <w:pPr>
      <w:numPr>
        <w:ilvl w:val="1"/>
      </w:numPr>
      <w:spacing w:after="300" w:line="240" w:lineRule="auto"/>
      <w:contextualSpacing/>
    </w:pPr>
    <w:rPr>
      <w:rFonts w:eastAsiaTheme="minorEastAsia"/>
      <w:sz w:val="32"/>
    </w:rPr>
  </w:style>
  <w:style w:type="character" w:customStyle="1" w:styleId="SubttuloCar">
    <w:name w:val="Subtítulo Car"/>
    <w:basedOn w:val="Fuentedeprrafopredeter"/>
    <w:link w:val="Subttulo"/>
    <w:uiPriority w:val="2"/>
    <w:rPr>
      <w:rFonts w:eastAsiaTheme="minorEastAsia"/>
      <w:sz w:val="32"/>
    </w:rPr>
  </w:style>
  <w:style w:type="paragraph" w:styleId="Ttulo">
    <w:name w:val="Title"/>
    <w:basedOn w:val="Normal"/>
    <w:link w:val="TtuloCar"/>
    <w:uiPriority w:val="1"/>
    <w:qFormat/>
    <w:pPr>
      <w:spacing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"/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sz w:val="42"/>
      <w:szCs w:val="32"/>
    </w:rPr>
  </w:style>
  <w:style w:type="paragraph" w:styleId="Listaconnmeros">
    <w:name w:val="List Number"/>
    <w:basedOn w:val="Normal"/>
    <w:uiPriority w:val="13"/>
    <w:qFormat/>
    <w:pPr>
      <w:numPr>
        <w:numId w:val="16"/>
      </w:numPr>
    </w:pPr>
  </w:style>
  <w:style w:type="paragraph" w:styleId="Citadestacada">
    <w:name w:val="Intense Quote"/>
    <w:basedOn w:val="Normal"/>
    <w:next w:val="Normal"/>
    <w:link w:val="CitadestacadaCar"/>
    <w:uiPriority w:val="30"/>
    <w:semiHidden/>
    <w:unhideWhenUsed/>
    <w:qFormat/>
    <w:pPr>
      <w:spacing w:before="240"/>
      <w:ind w:left="490" w:right="490"/>
      <w:contextualSpacing/>
    </w:pPr>
    <w:rPr>
      <w:i/>
      <w:iCs/>
      <w:sz w:val="30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240"/>
      <w:ind w:left="490" w:right="490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Pr>
      <w:i/>
      <w:iCs/>
      <w:color w:val="404040" w:themeColor="text1" w:themeTint="BF"/>
    </w:rPr>
  </w:style>
  <w:style w:type="paragraph" w:styleId="Listaconvietas">
    <w:name w:val="List Bullet"/>
    <w:basedOn w:val="Normal"/>
    <w:uiPriority w:val="12"/>
    <w:qFormat/>
    <w:pPr>
      <w:numPr>
        <w:numId w:val="15"/>
      </w:numPr>
    </w:pPr>
  </w:style>
  <w:style w:type="table" w:styleId="Tablaconcuadrcula">
    <w:name w:val="Table Grid"/>
    <w:basedOn w:val="Tab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tor">
    <w:name w:val="Autor"/>
    <w:basedOn w:val="Normal"/>
    <w:uiPriority w:val="3"/>
    <w:qFormat/>
    <w:pPr>
      <w:pBdr>
        <w:bottom w:val="single" w:sz="8" w:space="17" w:color="000000" w:themeColor="text1"/>
      </w:pBdr>
      <w:spacing w:after="640" w:line="240" w:lineRule="auto"/>
      <w:contextualSpacing/>
    </w:p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ajorHAnsi" w:eastAsiaTheme="majorEastAsia" w:hAnsiTheme="majorHAnsi" w:cstheme="majorBidi"/>
      <w:b/>
      <w:color w:val="595959" w:themeColor="text1" w:themeTint="A6"/>
      <w:sz w:val="30"/>
    </w:rPr>
  </w:style>
  <w:style w:type="character" w:customStyle="1" w:styleId="Ttulo6Car">
    <w:name w:val="Título 6 Car"/>
    <w:basedOn w:val="Fuentedeprrafopredeter"/>
    <w:link w:val="Ttulo6"/>
    <w:uiPriority w:val="9"/>
    <w:semiHidden/>
    <w:rPr>
      <w:rFonts w:asciiTheme="majorHAnsi" w:eastAsiaTheme="majorEastAsia" w:hAnsiTheme="majorHAnsi" w:cstheme="majorBidi"/>
      <w:b/>
      <w:i/>
      <w:color w:val="595959" w:themeColor="text1" w:themeTint="A6"/>
      <w:sz w:val="30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ajorHAnsi" w:eastAsiaTheme="majorEastAsia" w:hAnsiTheme="majorHAnsi" w:cstheme="majorBidi"/>
      <w:iCs/>
      <w:color w:val="595959" w:themeColor="text1" w:themeTint="A6"/>
      <w:sz w:val="30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ajorHAnsi" w:eastAsiaTheme="majorEastAsia" w:hAnsiTheme="majorHAnsi" w:cstheme="majorBidi"/>
      <w:i/>
      <w:color w:val="595959" w:themeColor="text1" w:themeTint="A6"/>
      <w:sz w:val="30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b/>
      <w:iCs/>
      <w:color w:val="595959" w:themeColor="text1" w:themeTint="A6"/>
      <w:sz w:val="26"/>
      <w:szCs w:val="21"/>
    </w:rPr>
  </w:style>
  <w:style w:type="character" w:styleId="nfasissutil">
    <w:name w:val="Subtle Emphasis"/>
    <w:basedOn w:val="Fuentedeprrafopredeter"/>
    <w:uiPriority w:val="19"/>
    <w:semiHidden/>
    <w:unhideWhenUsed/>
    <w:qFormat/>
    <w:rPr>
      <w:i/>
      <w:iCs/>
      <w:color w:val="000000" w:themeColor="text1"/>
    </w:rPr>
  </w:style>
  <w:style w:type="character" w:styleId="nfasis">
    <w:name w:val="Emphasis"/>
    <w:basedOn w:val="Fuentedeprrafopredeter"/>
    <w:uiPriority w:val="20"/>
    <w:semiHidden/>
    <w:unhideWhenUsed/>
    <w:qFormat/>
    <w:rPr>
      <w:b/>
      <w:i/>
      <w:iCs/>
    </w:rPr>
  </w:style>
  <w:style w:type="character" w:styleId="nfasisintenso">
    <w:name w:val="Intense Emphasis"/>
    <w:basedOn w:val="Fuentedeprrafopredeter"/>
    <w:uiPriority w:val="21"/>
    <w:semiHidden/>
    <w:unhideWhenUsed/>
    <w:qFormat/>
    <w:rPr>
      <w:b/>
      <w:iCs/>
      <w:caps/>
      <w:smallCaps w:val="0"/>
      <w:color w:val="000000" w:themeColor="text1"/>
    </w:rPr>
  </w:style>
  <w:style w:type="character" w:styleId="Referenciasutil">
    <w:name w:val="Subtle Reference"/>
    <w:basedOn w:val="Fuentedeprrafopredeter"/>
    <w:uiPriority w:val="31"/>
    <w:semiHidden/>
    <w:unhideWhenUsed/>
    <w:qFormat/>
    <w:rPr>
      <w:caps/>
      <w:smallCaps w:val="0"/>
      <w:color w:val="000000" w:themeColor="text1"/>
    </w:rPr>
  </w:style>
  <w:style w:type="character" w:styleId="Referenciaintensa">
    <w:name w:val="Intense Reference"/>
    <w:basedOn w:val="Fuentedeprrafopredeter"/>
    <w:uiPriority w:val="32"/>
    <w:semiHidden/>
    <w:unhideWhenUsed/>
    <w:qFormat/>
    <w:rPr>
      <w:b/>
      <w:bCs/>
      <w:i/>
      <w:caps/>
      <w:smallCaps w:val="0"/>
      <w:color w:val="000000" w:themeColor="text1"/>
      <w:spacing w:val="0"/>
    </w:rPr>
  </w:style>
  <w:style w:type="character" w:styleId="Ttulodellibro">
    <w:name w:val="Book Title"/>
    <w:basedOn w:val="Fuentedeprrafopredeter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Descripci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tuloTDC">
    <w:name w:val="TOC Heading"/>
    <w:basedOn w:val="Ttulo1"/>
    <w:next w:val="Normal"/>
    <w:uiPriority w:val="39"/>
    <w:semiHidden/>
    <w:unhideWhenUsed/>
    <w:qFormat/>
    <w:pPr>
      <w:outlineLvl w:val="9"/>
    </w:pPr>
  </w:style>
  <w:style w:type="table" w:customStyle="1" w:styleId="ReportTable">
    <w:name w:val="Report Table"/>
    <w:basedOn w:val="Tablanormal"/>
    <w:uiPriority w:val="99"/>
    <w:pPr>
      <w:spacing w:after="0" w:line="240" w:lineRule="auto"/>
      <w:ind w:left="374"/>
    </w:pPr>
    <w:tblPr>
      <w:tblBorders>
        <w:bottom w:val="single" w:sz="8" w:space="0" w:color="000000" w:themeColor="text1"/>
        <w:insideH w:val="single" w:sz="8" w:space="0" w:color="000000" w:themeColor="text1"/>
      </w:tblBorders>
      <w:tblCellMar>
        <w:top w:w="216" w:type="dxa"/>
        <w:left w:w="0" w:type="dxa"/>
        <w:bottom w:w="216" w:type="dxa"/>
        <w:right w:w="0" w:type="dxa"/>
      </w:tblCellMar>
    </w:tblPr>
    <w:tblStylePr w:type="firstRow">
      <w:rPr>
        <w:sz w:val="30"/>
      </w:rPr>
      <w:tblPr/>
      <w:trPr>
        <w:tblHeader/>
      </w:trPr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ind w:leftChars="0" w:left="0" w:rightChars="0" w:right="374"/>
        <w:jc w:val="right"/>
      </w:pPr>
      <w:rPr>
        <w:b/>
        <w:i w:val="0"/>
      </w:rPr>
    </w:tblStylePr>
  </w:style>
  <w:style w:type="character" w:customStyle="1" w:styleId="CitadestacadaCar">
    <w:name w:val="Cita destacada Car"/>
    <w:basedOn w:val="Fuentedeprrafopredeter"/>
    <w:link w:val="Citadestacada"/>
    <w:uiPriority w:val="30"/>
    <w:semiHidden/>
    <w:rPr>
      <w:i/>
      <w:iCs/>
      <w:sz w:val="30"/>
    </w:rPr>
  </w:style>
  <w:style w:type="character" w:customStyle="1" w:styleId="Ttulo2Car">
    <w:name w:val="Título 2 Car"/>
    <w:basedOn w:val="Fuentedeprrafopredeter"/>
    <w:link w:val="Ttulo2"/>
    <w:uiPriority w:val="9"/>
    <w:rPr>
      <w:rFonts w:asciiTheme="majorHAnsi" w:eastAsiaTheme="majorEastAsia" w:hAnsiTheme="majorHAnsi" w:cstheme="majorBidi"/>
      <w:sz w:val="36"/>
      <w:szCs w:val="26"/>
    </w:rPr>
  </w:style>
  <w:style w:type="paragraph" w:styleId="Encabezado">
    <w:name w:val="header"/>
    <w:basedOn w:val="Normal"/>
    <w:link w:val="EncabezadoCar"/>
    <w:uiPriority w:val="99"/>
    <w:qFormat/>
    <w:pPr>
      <w:spacing w:after="0" w:line="240" w:lineRule="auto"/>
    </w:p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sz w:val="30"/>
    </w:r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ajorHAnsi" w:eastAsiaTheme="majorEastAsia" w:hAnsiTheme="majorHAnsi" w:cstheme="majorBidi"/>
      <w:i/>
      <w:iCs/>
      <w:sz w:val="30"/>
    </w:rPr>
  </w:style>
  <w:style w:type="table" w:styleId="Cuadrculavistosa-nfasis6">
    <w:name w:val="Colorful Grid Accent 6"/>
    <w:basedOn w:val="Tablanormal"/>
    <w:uiPriority w:val="73"/>
    <w:rsid w:val="001C21C6"/>
    <w:pPr>
      <w:spacing w:after="0"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F5E3" w:themeFill="accent6" w:themeFillTint="33"/>
    </w:tcPr>
    <w:tblStylePr w:type="firstRow">
      <w:rPr>
        <w:b/>
        <w:bCs/>
      </w:rPr>
      <w:tblPr/>
      <w:tcPr>
        <w:shd w:val="clear" w:color="auto" w:fill="F7ECC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ECC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1B42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1B429" w:themeFill="accent6" w:themeFillShade="BF"/>
      </w:tcPr>
    </w:tblStylePr>
    <w:tblStylePr w:type="band1Vert">
      <w:tblPr/>
      <w:tcPr>
        <w:shd w:val="clear" w:color="auto" w:fill="F5E7BB" w:themeFill="accent6" w:themeFillTint="7F"/>
      </w:tcPr>
    </w:tblStylePr>
    <w:tblStylePr w:type="band1Horz">
      <w:tblPr/>
      <w:tcPr>
        <w:shd w:val="clear" w:color="auto" w:fill="F5E7BB" w:themeFill="accent6" w:themeFillTint="7F"/>
      </w:tcPr>
    </w:tblStylePr>
  </w:style>
  <w:style w:type="table" w:styleId="Tablaconcuadrcula3-nfasis1">
    <w:name w:val="Grid Table 3 Accent 1"/>
    <w:basedOn w:val="Tablanormal"/>
    <w:uiPriority w:val="99"/>
    <w:rsid w:val="001C21C6"/>
    <w:pPr>
      <w:spacing w:after="0" w:line="240" w:lineRule="auto"/>
    </w:pPr>
    <w:tblPr>
      <w:tblStyleRowBandSize w:val="1"/>
      <w:tblStyleColBandSize w:val="1"/>
      <w:tblBorders>
        <w:top w:val="single" w:sz="4" w:space="0" w:color="92B2B5" w:themeColor="accent1" w:themeTint="99"/>
        <w:left w:val="single" w:sz="4" w:space="0" w:color="92B2B5" w:themeColor="accent1" w:themeTint="99"/>
        <w:bottom w:val="single" w:sz="4" w:space="0" w:color="92B2B5" w:themeColor="accent1" w:themeTint="99"/>
        <w:right w:val="single" w:sz="4" w:space="0" w:color="92B2B5" w:themeColor="accent1" w:themeTint="99"/>
        <w:insideH w:val="single" w:sz="4" w:space="0" w:color="92B2B5" w:themeColor="accent1" w:themeTint="99"/>
        <w:insideV w:val="single" w:sz="4" w:space="0" w:color="92B2B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5E6" w:themeFill="accent1" w:themeFillTint="33"/>
      </w:tcPr>
    </w:tblStylePr>
    <w:tblStylePr w:type="band1Horz">
      <w:tblPr/>
      <w:tcPr>
        <w:shd w:val="clear" w:color="auto" w:fill="DAE5E6" w:themeFill="accent1" w:themeFillTint="33"/>
      </w:tcPr>
    </w:tblStylePr>
    <w:tblStylePr w:type="neCell">
      <w:tblPr/>
      <w:tcPr>
        <w:tcBorders>
          <w:bottom w:val="single" w:sz="4" w:space="0" w:color="92B2B5" w:themeColor="accent1" w:themeTint="99"/>
        </w:tcBorders>
      </w:tcPr>
    </w:tblStylePr>
    <w:tblStylePr w:type="nwCell">
      <w:tblPr/>
      <w:tcPr>
        <w:tcBorders>
          <w:bottom w:val="single" w:sz="4" w:space="0" w:color="92B2B5" w:themeColor="accent1" w:themeTint="99"/>
        </w:tcBorders>
      </w:tcPr>
    </w:tblStylePr>
    <w:tblStylePr w:type="seCell">
      <w:tblPr/>
      <w:tcPr>
        <w:tcBorders>
          <w:top w:val="single" w:sz="4" w:space="0" w:color="92B2B5" w:themeColor="accent1" w:themeTint="99"/>
        </w:tcBorders>
      </w:tcPr>
    </w:tblStylePr>
    <w:tblStylePr w:type="swCell">
      <w:tblPr/>
      <w:tcPr>
        <w:tcBorders>
          <w:top w:val="single" w:sz="4" w:space="0" w:color="92B2B5" w:themeColor="accent1" w:themeTint="99"/>
        </w:tcBorders>
      </w:tcPr>
    </w:tblStylePr>
  </w:style>
  <w:style w:type="table" w:styleId="Tablaconcuadrcula2-nfasis1">
    <w:name w:val="Grid Table 2 Accent 1"/>
    <w:basedOn w:val="Tablanormal"/>
    <w:uiPriority w:val="99"/>
    <w:rsid w:val="001C21C6"/>
    <w:pPr>
      <w:spacing w:after="0" w:line="240" w:lineRule="auto"/>
    </w:pPr>
    <w:tblPr>
      <w:tblStyleRowBandSize w:val="1"/>
      <w:tblStyleColBandSize w:val="1"/>
      <w:tblBorders>
        <w:top w:val="single" w:sz="2" w:space="0" w:color="92B2B5" w:themeColor="accent1" w:themeTint="99"/>
        <w:bottom w:val="single" w:sz="2" w:space="0" w:color="92B2B5" w:themeColor="accent1" w:themeTint="99"/>
        <w:insideH w:val="single" w:sz="2" w:space="0" w:color="92B2B5" w:themeColor="accent1" w:themeTint="99"/>
        <w:insideV w:val="single" w:sz="2" w:space="0" w:color="92B2B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B2B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B2B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5E6" w:themeFill="accent1" w:themeFillTint="33"/>
      </w:tcPr>
    </w:tblStylePr>
    <w:tblStylePr w:type="band1Horz">
      <w:tblPr/>
      <w:tcPr>
        <w:shd w:val="clear" w:color="auto" w:fill="DAE5E6" w:themeFill="accent1" w:themeFillTint="33"/>
      </w:tcPr>
    </w:tblStylePr>
  </w:style>
  <w:style w:type="table" w:styleId="Tablaconcuadrcula1Claro-nfasis2">
    <w:name w:val="Grid Table 1 Light Accent 2"/>
    <w:basedOn w:val="Tablanormal"/>
    <w:uiPriority w:val="99"/>
    <w:rsid w:val="001C21C6"/>
    <w:pPr>
      <w:spacing w:after="0" w:line="240" w:lineRule="auto"/>
    </w:pPr>
    <w:tblPr>
      <w:tblStyleRowBandSize w:val="1"/>
      <w:tblStyleColBandSize w:val="1"/>
      <w:tblBorders>
        <w:top w:val="single" w:sz="4" w:space="0" w:color="D091AA" w:themeColor="accent2" w:themeTint="66"/>
        <w:left w:val="single" w:sz="4" w:space="0" w:color="D091AA" w:themeColor="accent2" w:themeTint="66"/>
        <w:bottom w:val="single" w:sz="4" w:space="0" w:color="D091AA" w:themeColor="accent2" w:themeTint="66"/>
        <w:right w:val="single" w:sz="4" w:space="0" w:color="D091AA" w:themeColor="accent2" w:themeTint="66"/>
        <w:insideH w:val="single" w:sz="4" w:space="0" w:color="D091AA" w:themeColor="accent2" w:themeTint="66"/>
        <w:insideV w:val="single" w:sz="4" w:space="0" w:color="D091AA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85B7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85B7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99"/>
    <w:rsid w:val="001C21C6"/>
    <w:pPr>
      <w:spacing w:after="0" w:line="240" w:lineRule="auto"/>
    </w:pPr>
    <w:tblPr>
      <w:tblStyleRowBandSize w:val="1"/>
      <w:tblStyleColBandSize w:val="1"/>
      <w:tblBorders>
        <w:top w:val="single" w:sz="4" w:space="0" w:color="EBA3AF" w:themeColor="accent3" w:themeTint="66"/>
        <w:left w:val="single" w:sz="4" w:space="0" w:color="EBA3AF" w:themeColor="accent3" w:themeTint="66"/>
        <w:bottom w:val="single" w:sz="4" w:space="0" w:color="EBA3AF" w:themeColor="accent3" w:themeTint="66"/>
        <w:right w:val="single" w:sz="4" w:space="0" w:color="EBA3AF" w:themeColor="accent3" w:themeTint="66"/>
        <w:insideH w:val="single" w:sz="4" w:space="0" w:color="EBA3AF" w:themeColor="accent3" w:themeTint="66"/>
        <w:insideV w:val="single" w:sz="4" w:space="0" w:color="EBA3A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1758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1758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99"/>
    <w:rsid w:val="001C21C6"/>
    <w:pPr>
      <w:spacing w:after="0" w:line="240" w:lineRule="auto"/>
    </w:pPr>
    <w:tblPr>
      <w:tblStyleRowBandSize w:val="1"/>
      <w:tblStyleColBandSize w:val="1"/>
      <w:tblBorders>
        <w:top w:val="single" w:sz="4" w:space="0" w:color="EFBCB3" w:themeColor="accent4" w:themeTint="66"/>
        <w:left w:val="single" w:sz="4" w:space="0" w:color="EFBCB3" w:themeColor="accent4" w:themeTint="66"/>
        <w:bottom w:val="single" w:sz="4" w:space="0" w:color="EFBCB3" w:themeColor="accent4" w:themeTint="66"/>
        <w:right w:val="single" w:sz="4" w:space="0" w:color="EFBCB3" w:themeColor="accent4" w:themeTint="66"/>
        <w:insideH w:val="single" w:sz="4" w:space="0" w:color="EFBCB3" w:themeColor="accent4" w:themeTint="66"/>
        <w:insideV w:val="single" w:sz="4" w:space="0" w:color="EFBCB3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89C8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89C8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99"/>
    <w:rsid w:val="001C21C6"/>
    <w:pPr>
      <w:spacing w:after="0" w:line="240" w:lineRule="auto"/>
    </w:pPr>
    <w:tblPr>
      <w:tblStyleRowBandSize w:val="1"/>
      <w:tblStyleColBandSize w:val="1"/>
      <w:tblBorders>
        <w:top w:val="single" w:sz="4" w:space="0" w:color="DFD2C2" w:themeColor="accent5" w:themeTint="66"/>
        <w:left w:val="single" w:sz="4" w:space="0" w:color="DFD2C2" w:themeColor="accent5" w:themeTint="66"/>
        <w:bottom w:val="single" w:sz="4" w:space="0" w:color="DFD2C2" w:themeColor="accent5" w:themeTint="66"/>
        <w:right w:val="single" w:sz="4" w:space="0" w:color="DFD2C2" w:themeColor="accent5" w:themeTint="66"/>
        <w:insideH w:val="single" w:sz="4" w:space="0" w:color="DFD2C2" w:themeColor="accent5" w:themeTint="66"/>
        <w:insideV w:val="single" w:sz="4" w:space="0" w:color="DFD2C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FBC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FBC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99"/>
    <w:rsid w:val="001C21C6"/>
    <w:pPr>
      <w:spacing w:after="0" w:line="240" w:lineRule="auto"/>
    </w:pPr>
    <w:tblPr>
      <w:tblStyleRowBandSize w:val="1"/>
      <w:tblStyleColBandSize w:val="1"/>
      <w:tblBorders>
        <w:top w:val="single" w:sz="4" w:space="0" w:color="B6CBCD" w:themeColor="accent1" w:themeTint="66"/>
        <w:left w:val="single" w:sz="4" w:space="0" w:color="B6CBCD" w:themeColor="accent1" w:themeTint="66"/>
        <w:bottom w:val="single" w:sz="4" w:space="0" w:color="B6CBCD" w:themeColor="accent1" w:themeTint="66"/>
        <w:right w:val="single" w:sz="4" w:space="0" w:color="B6CBCD" w:themeColor="accent1" w:themeTint="66"/>
        <w:insideH w:val="single" w:sz="4" w:space="0" w:color="B6CBCD" w:themeColor="accent1" w:themeTint="66"/>
        <w:insideV w:val="single" w:sz="4" w:space="0" w:color="B6CBC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2B2B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B2B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">
    <w:name w:val="Grid Table 1 Light"/>
    <w:basedOn w:val="Tablanormal"/>
    <w:uiPriority w:val="99"/>
    <w:rsid w:val="001C21C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Textoennegrita">
    <w:name w:val="Strong"/>
    <w:basedOn w:val="Fuentedeprrafopredeter"/>
    <w:uiPriority w:val="22"/>
    <w:qFormat/>
    <w:rsid w:val="001C21C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86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val="es-CL" w:eastAsia="es-ES_tradnl"/>
    </w:rPr>
  </w:style>
  <w:style w:type="paragraph" w:styleId="Prrafodelista">
    <w:name w:val="List Paragraph"/>
    <w:basedOn w:val="Normal"/>
    <w:uiPriority w:val="34"/>
    <w:unhideWhenUsed/>
    <w:qFormat/>
    <w:rsid w:val="00544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7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5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6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952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04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2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5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8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85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84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3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oaco/Library/Containers/com.microsoft.Word/Data/Library/Application%20Support/Microsoft/Office/16.0/DTS/es-ES%7b8AE3F829-A31B-1F44-81C1-100C27073646%7d/%7bE8C7A382-20F7-3345-8B8F-7E8DB695ABBC%7dtf10002081.dotx" TargetMode="External"/></Relationships>
</file>

<file path=word/theme/theme1.xml><?xml version="1.0" encoding="utf-8"?>
<a:theme xmlns:a="http://schemas.openxmlformats.org/drawingml/2006/main" name="Office Theme">
  <a:themeElements>
    <a:clrScheme name="Custom 43">
      <a:dk1>
        <a:sysClr val="windowText" lastClr="000000"/>
      </a:dk1>
      <a:lt1>
        <a:sysClr val="window" lastClr="FFFFFF"/>
      </a:lt1>
      <a:dk2>
        <a:srgbClr val="151E1F"/>
      </a:dk2>
      <a:lt2>
        <a:srgbClr val="F1F4F4"/>
      </a:lt2>
      <a:accent1>
        <a:srgbClr val="53777A"/>
      </a:accent1>
      <a:accent2>
        <a:srgbClr val="542437"/>
      </a:accent2>
      <a:accent3>
        <a:srgbClr val="C02942"/>
      </a:accent3>
      <a:accent4>
        <a:srgbClr val="D95B43"/>
      </a:accent4>
      <a:accent5>
        <a:srgbClr val="B09169"/>
      </a:accent5>
      <a:accent6>
        <a:srgbClr val="ECD078"/>
      </a:accent6>
      <a:hlink>
        <a:srgbClr val="5E9EA1"/>
      </a:hlink>
      <a:folHlink>
        <a:srgbClr val="7A4561"/>
      </a:folHlink>
    </a:clrScheme>
    <a:fontScheme name="Style Set 9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Trabajo de investigación.dotx</Template>
  <TotalTime>83</TotalTime>
  <Pages>6</Pages>
  <Words>892</Words>
  <Characters>4907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1</cp:revision>
  <dcterms:created xsi:type="dcterms:W3CDTF">2025-10-07T23:45:00Z</dcterms:created>
  <dcterms:modified xsi:type="dcterms:W3CDTF">2025-10-10T10:19:00Z</dcterms:modified>
</cp:coreProperties>
</file>