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B0537" w14:textId="77777777" w:rsidR="002A1D97" w:rsidRDefault="002A1D97" w:rsidP="002A1D97">
      <w:pPr>
        <w:pBdr>
          <w:bottom w:val="single" w:sz="4" w:space="1" w:color="auto"/>
        </w:pBdr>
        <w:jc w:val="center"/>
        <w:rPr>
          <w:rFonts w:ascii="Arial" w:hAnsi="Arial" w:cs="Arial"/>
          <w:b/>
          <w:bCs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ANÁLISIS F.O.D.A. DEL DEPARTAMENTO DE ADMISIÓN, RELACIONES PÚBLICAS Y VINCULACIÓN CON EL MEDIO</w:t>
      </w:r>
      <w:r>
        <w:rPr>
          <w:rFonts w:ascii="Arial" w:hAnsi="Arial" w:cs="Arial"/>
          <w:b/>
          <w:bCs/>
          <w:sz w:val="24"/>
          <w:szCs w:val="24"/>
        </w:rPr>
        <w:t xml:space="preserve"> DE LA </w:t>
      </w:r>
      <w:r w:rsidRPr="002A1D97">
        <w:rPr>
          <w:rFonts w:ascii="Arial" w:hAnsi="Arial" w:cs="Arial"/>
          <w:b/>
          <w:bCs/>
          <w:sz w:val="24"/>
          <w:szCs w:val="24"/>
        </w:rPr>
        <w:t>ESCUELA NAVAL “ARTURO PRAT”</w:t>
      </w:r>
      <w:r w:rsidRPr="002A1D97">
        <w:rPr>
          <w:rFonts w:ascii="Arial" w:hAnsi="Arial" w:cs="Arial"/>
          <w:sz w:val="24"/>
          <w:szCs w:val="24"/>
        </w:rPr>
        <w:br/>
      </w:r>
    </w:p>
    <w:p w14:paraId="0BD2B584" w14:textId="2D8A4605" w:rsidR="002A1D97" w:rsidRDefault="002A1D97" w:rsidP="002A1D97">
      <w:pPr>
        <w:ind w:left="2268" w:hanging="2268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OBJETIVO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2A1D97">
        <w:rPr>
          <w:rFonts w:ascii="Arial" w:hAnsi="Arial" w:cs="Arial"/>
          <w:b/>
          <w:bCs/>
          <w:sz w:val="24"/>
          <w:szCs w:val="24"/>
        </w:rPr>
        <w:t>:</w:t>
      </w:r>
      <w:r w:rsidRPr="002A1D97">
        <w:rPr>
          <w:rFonts w:ascii="Arial" w:hAnsi="Arial" w:cs="Arial"/>
          <w:sz w:val="24"/>
          <w:szCs w:val="24"/>
        </w:rPr>
        <w:t xml:space="preserve"> Diagnosticar la situación actual del Departamento para generar estrategias concretas de mejora, fortalecer el posicionamiento institucional, optimizar la captación de postulantes y robustecer los vínculos con el entorno social, educativo y comunicacional.</w:t>
      </w:r>
    </w:p>
    <w:p w14:paraId="50C822E4" w14:textId="259E7D6D" w:rsidR="002A1D97" w:rsidRPr="002A1D97" w:rsidRDefault="002A1D97" w:rsidP="002A1D97">
      <w:pPr>
        <w:ind w:left="2268" w:hanging="2268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REFERENCIA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2A1D97">
        <w:rPr>
          <w:rFonts w:ascii="Arial" w:hAnsi="Arial" w:cs="Arial"/>
          <w:b/>
          <w:bCs/>
          <w:sz w:val="24"/>
          <w:szCs w:val="24"/>
        </w:rPr>
        <w:t>:</w:t>
      </w:r>
      <w:r w:rsidRPr="002A1D97">
        <w:rPr>
          <w:rFonts w:ascii="Arial" w:hAnsi="Arial" w:cs="Arial"/>
          <w:sz w:val="24"/>
          <w:szCs w:val="24"/>
        </w:rPr>
        <w:t xml:space="preserve"> OTI </w:t>
      </w:r>
      <w:proofErr w:type="spellStart"/>
      <w:r w:rsidRPr="002A1D97">
        <w:rPr>
          <w:rFonts w:ascii="Arial" w:hAnsi="Arial" w:cs="Arial"/>
          <w:sz w:val="24"/>
          <w:szCs w:val="24"/>
        </w:rPr>
        <w:t>N°</w:t>
      </w:r>
      <w:proofErr w:type="spellEnd"/>
      <w:r w:rsidR="0051513B">
        <w:rPr>
          <w:rFonts w:ascii="Arial" w:hAnsi="Arial" w:cs="Arial"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804</w:t>
      </w:r>
      <w:r w:rsidR="0051513B">
        <w:rPr>
          <w:rFonts w:ascii="Arial" w:hAnsi="Arial" w:cs="Arial"/>
          <w:sz w:val="24"/>
          <w:szCs w:val="24"/>
        </w:rPr>
        <w:t>.</w:t>
      </w:r>
    </w:p>
    <w:p w14:paraId="28EF5CD5" w14:textId="05422740" w:rsidR="002A1D97" w:rsidRPr="002A1D97" w:rsidRDefault="002A1D97" w:rsidP="002A1D97">
      <w:pPr>
        <w:pBdr>
          <w:bottom w:val="single" w:sz="4" w:space="1" w:color="auto"/>
        </w:pBdr>
        <w:jc w:val="both"/>
        <w:rPr>
          <w:rFonts w:ascii="Arial" w:hAnsi="Arial" w:cs="Arial"/>
          <w:sz w:val="24"/>
          <w:szCs w:val="24"/>
        </w:rPr>
      </w:pPr>
    </w:p>
    <w:p w14:paraId="01C92B01" w14:textId="09D362FC" w:rsidR="002A1D97" w:rsidRDefault="002A1D97" w:rsidP="002A1D97">
      <w:pPr>
        <w:pStyle w:val="Prrafodelista"/>
        <w:numPr>
          <w:ilvl w:val="0"/>
          <w:numId w:val="1"/>
        </w:numPr>
        <w:ind w:hanging="578"/>
        <w:jc w:val="both"/>
        <w:rPr>
          <w:rFonts w:ascii="Arial" w:hAnsi="Arial" w:cs="Arial"/>
          <w:b/>
          <w:bCs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FORTALEZAS – (Factores internos positivos)</w:t>
      </w:r>
      <w:r w:rsidR="0051513B">
        <w:rPr>
          <w:rFonts w:ascii="Arial" w:hAnsi="Arial" w:cs="Arial"/>
          <w:b/>
          <w:bCs/>
          <w:sz w:val="24"/>
          <w:szCs w:val="24"/>
        </w:rPr>
        <w:t>.</w:t>
      </w:r>
    </w:p>
    <w:p w14:paraId="56ED4006" w14:textId="77777777" w:rsidR="002A1D97" w:rsidRPr="002A1D97" w:rsidRDefault="002A1D97" w:rsidP="002A1D97">
      <w:pPr>
        <w:pStyle w:val="Prrafode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25CFE1A1" w14:textId="01861F72" w:rsidR="002A1D97" w:rsidRPr="002A1D97" w:rsidRDefault="002A1D97" w:rsidP="002A1D97">
      <w:pPr>
        <w:pStyle w:val="Prrafodelista"/>
        <w:numPr>
          <w:ilvl w:val="0"/>
          <w:numId w:val="2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Prestigio institucional:</w:t>
      </w:r>
      <w:r w:rsidRPr="002A1D97"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El respaldo histórico de la Escuela Naval y su rol fundamental en la formación de Oficiales de la Armada otorgan al Departamento una base sólida de legitimidad. Su modelo formativo, centrado en el liderazgo, la ética y la excelencia, representa una ventaja competitiva frente a otras instituciones de educación superior.</w:t>
      </w:r>
    </w:p>
    <w:p w14:paraId="1E66C5EE" w14:textId="2844E0B1" w:rsidR="002A1D97" w:rsidRPr="002A1D97" w:rsidRDefault="002A1D97" w:rsidP="002A1D97">
      <w:pPr>
        <w:pStyle w:val="Prrafodelista"/>
        <w:numPr>
          <w:ilvl w:val="0"/>
          <w:numId w:val="2"/>
        </w:numPr>
        <w:ind w:left="1134" w:hanging="425"/>
        <w:jc w:val="both"/>
        <w:rPr>
          <w:rFonts w:ascii="Arial" w:hAnsi="Arial" w:cs="Arial"/>
          <w:b/>
          <w:bCs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Personal especializado y con experiencia: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A pesar de la alta rotación del personal uniformado, el equipo cuenta con funcionarios civiles y del cuadro permanente cuya permanencia ha permitido preservar el conocimiento organizacional. Esta continuidad asegura eficiencia en procesos clave como la admisión, la planificación comunicacional y la vinculación estratégica.</w:t>
      </w:r>
    </w:p>
    <w:p w14:paraId="6571412E" w14:textId="251AA461" w:rsidR="002A1D97" w:rsidRPr="002A1D97" w:rsidRDefault="002A1D97" w:rsidP="002A1D97">
      <w:pPr>
        <w:pStyle w:val="Prrafodelista"/>
        <w:numPr>
          <w:ilvl w:val="0"/>
          <w:numId w:val="2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Organización e infraestructura funcional: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El Departamento opera bajo una estructura consolidada, capaz de responder con eficiencia a un alto volumen de tareas. El uso de plataformas digitales (sitio web, redes sociales, correo institucional) ha permitido mantener la continuidad operativa pese a las limitaciones de recursos y dotación.</w:t>
      </w:r>
    </w:p>
    <w:p w14:paraId="11ECB5FB" w14:textId="6BCD69EC" w:rsidR="002A1D97" w:rsidRPr="002A1D97" w:rsidRDefault="002A1D97" w:rsidP="002A1D97">
      <w:pPr>
        <w:pStyle w:val="Prrafodelista"/>
        <w:numPr>
          <w:ilvl w:val="0"/>
          <w:numId w:val="2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Madurez en los procesos de admisión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Los procesos de admisión han sido afinados a través de los años, gracias a la experiencia acumulada y a la implementación de protocolos estandarizados, lo que aporta confiabilidad y transparencia.</w:t>
      </w:r>
    </w:p>
    <w:p w14:paraId="361CF10C" w14:textId="4A884C81" w:rsidR="002A1D97" w:rsidRPr="002A1D97" w:rsidRDefault="002A1D97" w:rsidP="002A1D97">
      <w:pPr>
        <w:pStyle w:val="Prrafodelista"/>
        <w:numPr>
          <w:ilvl w:val="0"/>
          <w:numId w:val="2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Redes de apoyo institucional: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La estrecha relación con unidades navales, exalumnos y redes regionales ha potenciado la difusión del proceso de admisión y ha facilitado instancias de colaboración con el entorno.</w:t>
      </w:r>
    </w:p>
    <w:p w14:paraId="55011825" w14:textId="77777777" w:rsidR="002A1D97" w:rsidRDefault="002A1D97" w:rsidP="0051513B">
      <w:pPr>
        <w:pStyle w:val="Prrafode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40234D3B" w14:textId="77777777" w:rsidR="0051513B" w:rsidRDefault="0051513B" w:rsidP="0051513B">
      <w:pPr>
        <w:pStyle w:val="Prrafode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0972E9BC" w14:textId="77777777" w:rsidR="0051513B" w:rsidRDefault="0051513B" w:rsidP="0051513B">
      <w:pPr>
        <w:pStyle w:val="Prrafode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21951A87" w14:textId="77777777" w:rsidR="0051513B" w:rsidRDefault="0051513B" w:rsidP="0051513B">
      <w:pPr>
        <w:pStyle w:val="Prrafode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466EB4AA" w14:textId="0D8918AB" w:rsidR="002A1D97" w:rsidRDefault="002A1D97" w:rsidP="0051513B">
      <w:pPr>
        <w:pStyle w:val="Prrafodelista"/>
        <w:numPr>
          <w:ilvl w:val="0"/>
          <w:numId w:val="1"/>
        </w:numPr>
        <w:ind w:hanging="578"/>
        <w:jc w:val="both"/>
        <w:rPr>
          <w:rFonts w:ascii="Arial" w:hAnsi="Arial" w:cs="Arial"/>
          <w:b/>
          <w:bCs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lastRenderedPageBreak/>
        <w:t>OPORTUNIDADES – (Factores externos positivos)</w:t>
      </w:r>
      <w:r w:rsidR="0051513B">
        <w:rPr>
          <w:rFonts w:ascii="Arial" w:hAnsi="Arial" w:cs="Arial"/>
          <w:b/>
          <w:bCs/>
          <w:sz w:val="24"/>
          <w:szCs w:val="24"/>
        </w:rPr>
        <w:t>.</w:t>
      </w:r>
    </w:p>
    <w:p w14:paraId="698C896E" w14:textId="77777777" w:rsidR="0051513B" w:rsidRPr="002A1D97" w:rsidRDefault="0051513B" w:rsidP="0051513B">
      <w:pPr>
        <w:pStyle w:val="Prrafode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2015B3B4" w14:textId="52117C27" w:rsidR="002A1D97" w:rsidRDefault="002A1D97" w:rsidP="0051513B">
      <w:pPr>
        <w:pStyle w:val="Prrafodelista"/>
        <w:numPr>
          <w:ilvl w:val="0"/>
          <w:numId w:val="3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Cambio en las motivaciones vocacionales:</w:t>
      </w:r>
      <w:r w:rsidR="005151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Existe una creciente valorización de las carreras con propósito y vocación de servicio entre los jóvenes. La Escuela Naval puede posicionarse como una institución que forma líderes al servicio del país, lo que responde directamente a esta tendencia social.</w:t>
      </w:r>
    </w:p>
    <w:p w14:paraId="2678BE64" w14:textId="77777777" w:rsidR="0051513B" w:rsidRDefault="002A1D97" w:rsidP="0051513B">
      <w:pPr>
        <w:pStyle w:val="Prrafodelista"/>
        <w:numPr>
          <w:ilvl w:val="0"/>
          <w:numId w:val="3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51513B">
        <w:rPr>
          <w:rFonts w:ascii="Arial" w:hAnsi="Arial" w:cs="Arial"/>
          <w:b/>
          <w:bCs/>
          <w:sz w:val="24"/>
          <w:szCs w:val="24"/>
        </w:rPr>
        <w:t>Expansión digital y redes sociales:</w:t>
      </w:r>
      <w:r w:rsidR="0051513B" w:rsidRPr="005151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51513B">
        <w:rPr>
          <w:rFonts w:ascii="Arial" w:hAnsi="Arial" w:cs="Arial"/>
          <w:sz w:val="24"/>
          <w:szCs w:val="24"/>
        </w:rPr>
        <w:t>El uso intensivo de redes sociales permite llegar a un público joven de forma rápida, directa y cercana. Este entorno digital ofrece oportunidades para campañas de alto impacto y bajo costo, generando identidad institucional y vínculo emocional con los interesados.</w:t>
      </w:r>
    </w:p>
    <w:p w14:paraId="23208E03" w14:textId="77777777" w:rsidR="0051513B" w:rsidRDefault="002A1D97" w:rsidP="0051513B">
      <w:pPr>
        <w:pStyle w:val="Prrafodelista"/>
        <w:numPr>
          <w:ilvl w:val="0"/>
          <w:numId w:val="3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Alianzas con instituciones educativas:</w:t>
      </w:r>
      <w:r w:rsidR="0051513B" w:rsidRPr="005151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La generación de convenios y alianzas con colegios, municipios y universidades permite acceder a espacios para realizar charlas, talleres y actividades presenciales o virtuales, mejorando la cobertura geográfica de la estrategia de admisión.</w:t>
      </w:r>
    </w:p>
    <w:p w14:paraId="08178149" w14:textId="77777777" w:rsidR="0051513B" w:rsidRDefault="002A1D97" w:rsidP="0051513B">
      <w:pPr>
        <w:pStyle w:val="Prrafodelista"/>
        <w:numPr>
          <w:ilvl w:val="0"/>
          <w:numId w:val="3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Mayor apertura de medios de comunicación:</w:t>
      </w:r>
      <w:r w:rsidR="0051513B" w:rsidRPr="005151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La disposición de medios regionales y nacionales a incluir contenidos institucionales posibilita la amplificación del mensaje a públicos diversos, más allá del segmento tradicionalmente objetivo.</w:t>
      </w:r>
    </w:p>
    <w:p w14:paraId="4DE4E24A" w14:textId="69FFB90C" w:rsidR="002A1D97" w:rsidRPr="002A1D97" w:rsidRDefault="002A1D97" w:rsidP="0051513B">
      <w:pPr>
        <w:pStyle w:val="Prrafodelista"/>
        <w:numPr>
          <w:ilvl w:val="0"/>
          <w:numId w:val="3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Interés del Estado en la vinculación cívico-militar:</w:t>
      </w:r>
      <w:r w:rsidR="005151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Las políticas de fortalecimiento de las relaciones entre las FF.AA. y la comunidad civil abren espacios para proyectos de vinculación con el medio, con beneficios institucionales y sociales a largo plazo.</w:t>
      </w:r>
    </w:p>
    <w:p w14:paraId="3178F77C" w14:textId="77777777" w:rsidR="0051513B" w:rsidRDefault="0051513B" w:rsidP="0051513B">
      <w:pPr>
        <w:pStyle w:val="Prrafode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44B08E5C" w14:textId="59872A92" w:rsidR="002A1D97" w:rsidRDefault="002A1D97" w:rsidP="0051513B">
      <w:pPr>
        <w:pStyle w:val="Prrafodelista"/>
        <w:numPr>
          <w:ilvl w:val="0"/>
          <w:numId w:val="1"/>
        </w:numPr>
        <w:ind w:hanging="578"/>
        <w:jc w:val="both"/>
        <w:rPr>
          <w:rFonts w:ascii="Arial" w:hAnsi="Arial" w:cs="Arial"/>
          <w:b/>
          <w:bCs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DEBILIDADES – (Factores internos negativos)</w:t>
      </w:r>
      <w:r w:rsidR="0051513B">
        <w:rPr>
          <w:rFonts w:ascii="Arial" w:hAnsi="Arial" w:cs="Arial"/>
          <w:b/>
          <w:bCs/>
          <w:sz w:val="24"/>
          <w:szCs w:val="24"/>
        </w:rPr>
        <w:t>.</w:t>
      </w:r>
    </w:p>
    <w:p w14:paraId="0D966E69" w14:textId="77777777" w:rsidR="0051513B" w:rsidRPr="002A1D97" w:rsidRDefault="0051513B" w:rsidP="0051513B">
      <w:pPr>
        <w:pStyle w:val="Prrafode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44522B53" w14:textId="144E6988" w:rsidR="002A1D97" w:rsidRDefault="002A1D97" w:rsidP="0051513B">
      <w:pPr>
        <w:pStyle w:val="Prrafodelista"/>
        <w:numPr>
          <w:ilvl w:val="0"/>
          <w:numId w:val="4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Presupuesto limitado para campañas:</w:t>
      </w:r>
      <w:r w:rsidR="005151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La dependencia del presupuesto asignado por la Dirección General del Personal y su progresiva reducción afecta la capacidad para ejecutar campañas sostenidas y personalizadas, además de restringir la flexibilidad operativa del Departamento.</w:t>
      </w:r>
    </w:p>
    <w:p w14:paraId="514289FC" w14:textId="77777777" w:rsidR="0051513B" w:rsidRDefault="002A1D97" w:rsidP="002A1D97">
      <w:pPr>
        <w:pStyle w:val="Prrafodelista"/>
        <w:numPr>
          <w:ilvl w:val="0"/>
          <w:numId w:val="4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Dependencia de canales tradicionales:</w:t>
      </w:r>
      <w:r w:rsidR="0051513B" w:rsidRPr="005151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El uso preferente de ferias vocacionales y visitas presenciales limita el alcance de las acciones comunicacionales, especialmente cuando el público joven prefiere entornos digitales, dinámicos e interactivos.</w:t>
      </w:r>
    </w:p>
    <w:p w14:paraId="3313A162" w14:textId="77777777" w:rsidR="0051513B" w:rsidRDefault="002A1D97" w:rsidP="002A1D97">
      <w:pPr>
        <w:pStyle w:val="Prrafodelista"/>
        <w:numPr>
          <w:ilvl w:val="0"/>
          <w:numId w:val="4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Falta de métricas avanzadas de evaluación:</w:t>
      </w:r>
      <w:r w:rsidR="0051513B" w:rsidRPr="005151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Aunque se aplican encuestas a los postulantes, no se cuenta con herramientas de análisis más profundas (por ejemplo, CRM educativo o análisis de comportamiento digital) que permitan trazar patrones, optimizar recursos y ajustar estrategias.</w:t>
      </w:r>
    </w:p>
    <w:p w14:paraId="00726D02" w14:textId="77777777" w:rsidR="0051513B" w:rsidRDefault="002A1D97" w:rsidP="002A1D97">
      <w:pPr>
        <w:pStyle w:val="Prrafodelista"/>
        <w:numPr>
          <w:ilvl w:val="0"/>
          <w:numId w:val="4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Limitaciones en la dotación:</w:t>
      </w:r>
      <w:r w:rsidR="005151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 xml:space="preserve">La alta carga operativa de las áreas de admisión, relaciones públicas y vinculación con el medio recae sobre un </w:t>
      </w:r>
      <w:r w:rsidRPr="002A1D97">
        <w:rPr>
          <w:rFonts w:ascii="Arial" w:hAnsi="Arial" w:cs="Arial"/>
          <w:sz w:val="24"/>
          <w:szCs w:val="24"/>
        </w:rPr>
        <w:lastRenderedPageBreak/>
        <w:t>equipo reducido. Esta sobrecarga puede afectar la calidad del servicio y limitar la capacidad de innovación y mejora continua.</w:t>
      </w:r>
    </w:p>
    <w:p w14:paraId="259EEB2E" w14:textId="77777777" w:rsidR="0051513B" w:rsidRDefault="002A1D97" w:rsidP="002A1D97">
      <w:pPr>
        <w:pStyle w:val="Prrafodelista"/>
        <w:numPr>
          <w:ilvl w:val="0"/>
          <w:numId w:val="4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51513B">
        <w:rPr>
          <w:rFonts w:ascii="Arial" w:hAnsi="Arial" w:cs="Arial"/>
          <w:b/>
          <w:bCs/>
          <w:sz w:val="24"/>
          <w:szCs w:val="24"/>
        </w:rPr>
        <w:t>Limitada autonomía logística:</w:t>
      </w:r>
      <w:r w:rsidR="005151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51513B">
        <w:rPr>
          <w:rFonts w:ascii="Arial" w:hAnsi="Arial" w:cs="Arial"/>
          <w:sz w:val="24"/>
          <w:szCs w:val="24"/>
        </w:rPr>
        <w:t>La escasez de medios de movilización institucionales restringe la participación en actividades estratégicas de difusión, obligando a depender de recursos propios, arriendos o incluso declinar la participación en algunos eventos clave.</w:t>
      </w:r>
    </w:p>
    <w:p w14:paraId="0DC54A11" w14:textId="77777777" w:rsidR="0051513B" w:rsidRPr="0051513B" w:rsidRDefault="0051513B" w:rsidP="0051513B">
      <w:pPr>
        <w:pStyle w:val="Prrafodelista"/>
        <w:ind w:left="1134"/>
        <w:jc w:val="both"/>
        <w:rPr>
          <w:rFonts w:ascii="Arial" w:hAnsi="Arial" w:cs="Arial"/>
          <w:sz w:val="24"/>
          <w:szCs w:val="24"/>
        </w:rPr>
      </w:pPr>
    </w:p>
    <w:p w14:paraId="5D1C730F" w14:textId="29342132" w:rsidR="002A1D97" w:rsidRPr="0051513B" w:rsidRDefault="002A1D97" w:rsidP="0051513B">
      <w:pPr>
        <w:pStyle w:val="Prrafodelista"/>
        <w:numPr>
          <w:ilvl w:val="0"/>
          <w:numId w:val="1"/>
        </w:numPr>
        <w:ind w:hanging="578"/>
        <w:jc w:val="both"/>
        <w:rPr>
          <w:rFonts w:ascii="Arial" w:hAnsi="Arial" w:cs="Arial"/>
          <w:sz w:val="24"/>
          <w:szCs w:val="24"/>
        </w:rPr>
      </w:pPr>
      <w:r w:rsidRPr="0051513B">
        <w:rPr>
          <w:rFonts w:ascii="Arial" w:hAnsi="Arial" w:cs="Arial"/>
          <w:b/>
          <w:bCs/>
          <w:sz w:val="24"/>
          <w:szCs w:val="24"/>
        </w:rPr>
        <w:t>AMENAZAS – (Factores externos negativos)</w:t>
      </w:r>
      <w:r w:rsidR="0051513B">
        <w:rPr>
          <w:rFonts w:ascii="Arial" w:hAnsi="Arial" w:cs="Arial"/>
          <w:b/>
          <w:bCs/>
          <w:sz w:val="24"/>
          <w:szCs w:val="24"/>
        </w:rPr>
        <w:t>.</w:t>
      </w:r>
    </w:p>
    <w:p w14:paraId="179BD35E" w14:textId="77777777" w:rsidR="0051513B" w:rsidRPr="0051513B" w:rsidRDefault="0051513B" w:rsidP="0051513B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26BEF67B" w14:textId="77777777" w:rsidR="0051513B" w:rsidRDefault="002A1D97" w:rsidP="002A1D97">
      <w:pPr>
        <w:pStyle w:val="Prrafodelista"/>
        <w:numPr>
          <w:ilvl w:val="0"/>
          <w:numId w:val="5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Alta competencia en educación superior:</w:t>
      </w:r>
      <w:r w:rsidR="0051513B" w:rsidRPr="005151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Otras instituciones, tanto civiles como de formación militar, ofrecen una propuesta académica atractiva con fuerte presencia comunicacional, lo que representa un desafío constante para captar postulantes.</w:t>
      </w:r>
    </w:p>
    <w:p w14:paraId="08BD5533" w14:textId="77777777" w:rsidR="0051513B" w:rsidRDefault="002A1D97" w:rsidP="002A1D97">
      <w:pPr>
        <w:pStyle w:val="Prrafodelista"/>
        <w:numPr>
          <w:ilvl w:val="0"/>
          <w:numId w:val="5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Prejuicios hacia las FF.AA.:</w:t>
      </w:r>
      <w:r w:rsidR="0051513B" w:rsidRPr="005151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Existen sectores de la sociedad con una visión crítica o distante hacia las instituciones armadas, lo que puede dificultar el posicionamiento de la Escuela Naval como una opción deseable y moderna.</w:t>
      </w:r>
    </w:p>
    <w:p w14:paraId="29DB8958" w14:textId="77777777" w:rsidR="0051513B" w:rsidRDefault="002A1D97" w:rsidP="002A1D97">
      <w:pPr>
        <w:pStyle w:val="Prrafodelista"/>
        <w:numPr>
          <w:ilvl w:val="0"/>
          <w:numId w:val="5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Cambios normativos o médicos en admisión:</w:t>
      </w:r>
      <w:r w:rsidR="0051513B" w:rsidRPr="005151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Las modificaciones en criterios de evaluación física, salud o edad pueden generar incertidumbre o frustración entre postulantes, afectando la motivación y el volumen de inscripción.</w:t>
      </w:r>
    </w:p>
    <w:p w14:paraId="5830B52C" w14:textId="79582E6B" w:rsidR="002A1D97" w:rsidRDefault="002A1D97" w:rsidP="002A1D97">
      <w:pPr>
        <w:pStyle w:val="Prrafodelista"/>
        <w:numPr>
          <w:ilvl w:val="0"/>
          <w:numId w:val="5"/>
        </w:numPr>
        <w:ind w:left="1134" w:hanging="425"/>
        <w:jc w:val="both"/>
        <w:rPr>
          <w:rFonts w:ascii="Arial" w:hAnsi="Arial" w:cs="Arial"/>
          <w:sz w:val="24"/>
          <w:szCs w:val="24"/>
        </w:rPr>
      </w:pPr>
      <w:r w:rsidRPr="002A1D97">
        <w:rPr>
          <w:rFonts w:ascii="Arial" w:hAnsi="Arial" w:cs="Arial"/>
          <w:b/>
          <w:bCs/>
          <w:sz w:val="24"/>
          <w:szCs w:val="24"/>
        </w:rPr>
        <w:t>Inestabilidad sociopolítica:</w:t>
      </w:r>
      <w:r w:rsidR="0051513B">
        <w:rPr>
          <w:rFonts w:ascii="Arial" w:hAnsi="Arial" w:cs="Arial"/>
          <w:b/>
          <w:bCs/>
          <w:sz w:val="24"/>
          <w:szCs w:val="24"/>
        </w:rPr>
        <w:t xml:space="preserve"> </w:t>
      </w:r>
      <w:r w:rsidRPr="002A1D97">
        <w:rPr>
          <w:rFonts w:ascii="Arial" w:hAnsi="Arial" w:cs="Arial"/>
          <w:sz w:val="24"/>
          <w:szCs w:val="24"/>
        </w:rPr>
        <w:t>Eventos nacionales o controversias institucionales pueden desencadenar crisis comunicacionales que afecten la reputación de la Armada o limiten su exposición en medios.</w:t>
      </w:r>
    </w:p>
    <w:p w14:paraId="455AD73C" w14:textId="77777777" w:rsidR="00344BEE" w:rsidRPr="002A1D97" w:rsidRDefault="00344BEE" w:rsidP="00344BEE">
      <w:pPr>
        <w:pStyle w:val="Prrafodelista"/>
        <w:ind w:left="1134"/>
        <w:jc w:val="both"/>
        <w:rPr>
          <w:rFonts w:ascii="Arial" w:hAnsi="Arial" w:cs="Arial"/>
          <w:sz w:val="24"/>
          <w:szCs w:val="24"/>
        </w:rPr>
      </w:pPr>
    </w:p>
    <w:p w14:paraId="48FDDF21" w14:textId="7DC09C94" w:rsidR="00344BEE" w:rsidRPr="00BF52DD" w:rsidRDefault="00344BEE" w:rsidP="00344BEE">
      <w:pPr>
        <w:pStyle w:val="Prrafodelista"/>
        <w:numPr>
          <w:ilvl w:val="0"/>
          <w:numId w:val="1"/>
        </w:numPr>
        <w:ind w:hanging="578"/>
        <w:jc w:val="both"/>
      </w:pPr>
      <w:r w:rsidRPr="00344BEE">
        <w:rPr>
          <w:rFonts w:ascii="Arial" w:hAnsi="Arial" w:cs="Arial"/>
          <w:b/>
          <w:bCs/>
        </w:rPr>
        <w:t>PLAN DE ACCIÓN ESTRATÉGICO DERIVADO DEL F.O.D.A.</w:t>
      </w:r>
    </w:p>
    <w:p w14:paraId="218BC0FC" w14:textId="77777777" w:rsidR="00BF52DD" w:rsidRPr="003D7333" w:rsidRDefault="00BF52DD" w:rsidP="00BF52DD">
      <w:pPr>
        <w:pStyle w:val="Prrafodelista"/>
        <w:jc w:val="both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1"/>
        <w:gridCol w:w="1965"/>
        <w:gridCol w:w="2562"/>
        <w:gridCol w:w="1894"/>
        <w:gridCol w:w="1687"/>
      </w:tblGrid>
      <w:tr w:rsidR="00344BEE" w:rsidRPr="003D7333" w14:paraId="7DEAF913" w14:textId="77777777" w:rsidTr="00945267">
        <w:trPr>
          <w:trHeight w:val="638"/>
        </w:trPr>
        <w:tc>
          <w:tcPr>
            <w:tcW w:w="1706" w:type="dxa"/>
            <w:shd w:val="clear" w:color="auto" w:fill="F2F2F2" w:themeFill="background1" w:themeFillShade="F2"/>
            <w:vAlign w:val="center"/>
          </w:tcPr>
          <w:p w14:paraId="4E65D964" w14:textId="77777777" w:rsidR="00344BEE" w:rsidRPr="003D7333" w:rsidRDefault="00344BEE" w:rsidP="00945267">
            <w:pPr>
              <w:pStyle w:val="Sinespaciado"/>
              <w:jc w:val="center"/>
              <w:rPr>
                <w:rFonts w:ascii="Arial" w:hAnsi="Arial" w:cs="Arial"/>
                <w:b/>
                <w:bCs/>
                <w:lang w:val="es-CL"/>
              </w:rPr>
            </w:pPr>
            <w:r w:rsidRPr="003D7333">
              <w:rPr>
                <w:rFonts w:ascii="Arial" w:hAnsi="Arial" w:cs="Arial"/>
                <w:b/>
                <w:bCs/>
                <w:lang w:val="es-CL"/>
              </w:rPr>
              <w:t>EJE</w:t>
            </w:r>
          </w:p>
        </w:tc>
        <w:tc>
          <w:tcPr>
            <w:tcW w:w="1965" w:type="dxa"/>
            <w:shd w:val="clear" w:color="auto" w:fill="F2F2F2" w:themeFill="background1" w:themeFillShade="F2"/>
            <w:vAlign w:val="center"/>
          </w:tcPr>
          <w:p w14:paraId="3451BA74" w14:textId="77777777" w:rsidR="00344BEE" w:rsidRPr="003D7333" w:rsidRDefault="00344BEE" w:rsidP="00945267">
            <w:pPr>
              <w:pStyle w:val="Sinespaciado"/>
              <w:jc w:val="center"/>
              <w:rPr>
                <w:rFonts w:ascii="Arial" w:hAnsi="Arial" w:cs="Arial"/>
                <w:b/>
                <w:bCs/>
                <w:lang w:val="es-CL"/>
              </w:rPr>
            </w:pPr>
            <w:r w:rsidRPr="003D7333">
              <w:rPr>
                <w:rFonts w:ascii="Arial" w:hAnsi="Arial" w:cs="Arial"/>
                <w:b/>
                <w:bCs/>
                <w:lang w:val="es-CL"/>
              </w:rPr>
              <w:t>OBJETIVO ESTRATÉGICO</w:t>
            </w:r>
          </w:p>
        </w:tc>
        <w:tc>
          <w:tcPr>
            <w:tcW w:w="2620" w:type="dxa"/>
            <w:shd w:val="clear" w:color="auto" w:fill="F2F2F2" w:themeFill="background1" w:themeFillShade="F2"/>
            <w:vAlign w:val="center"/>
          </w:tcPr>
          <w:p w14:paraId="3E6AC7E9" w14:textId="77777777" w:rsidR="00344BEE" w:rsidRPr="003D7333" w:rsidRDefault="00344BEE" w:rsidP="00945267">
            <w:pPr>
              <w:pStyle w:val="Sinespaciado"/>
              <w:jc w:val="center"/>
              <w:rPr>
                <w:rFonts w:ascii="Arial" w:hAnsi="Arial" w:cs="Arial"/>
                <w:b/>
                <w:bCs/>
                <w:lang w:val="es-CL"/>
              </w:rPr>
            </w:pPr>
            <w:r w:rsidRPr="003D7333">
              <w:rPr>
                <w:rFonts w:ascii="Arial" w:hAnsi="Arial" w:cs="Arial"/>
                <w:b/>
                <w:bCs/>
                <w:lang w:val="es-CL"/>
              </w:rPr>
              <w:t>ACCIÓN CONCRETA</w:t>
            </w:r>
          </w:p>
        </w:tc>
        <w:tc>
          <w:tcPr>
            <w:tcW w:w="1894" w:type="dxa"/>
            <w:shd w:val="clear" w:color="auto" w:fill="F2F2F2" w:themeFill="background1" w:themeFillShade="F2"/>
            <w:vAlign w:val="center"/>
          </w:tcPr>
          <w:p w14:paraId="21841255" w14:textId="77777777" w:rsidR="00344BEE" w:rsidRPr="003D7333" w:rsidRDefault="00344BEE" w:rsidP="00945267">
            <w:pPr>
              <w:pStyle w:val="Sinespaciado"/>
              <w:jc w:val="center"/>
              <w:rPr>
                <w:rFonts w:ascii="Arial" w:hAnsi="Arial" w:cs="Arial"/>
                <w:b/>
                <w:bCs/>
                <w:lang w:val="es-CL"/>
              </w:rPr>
            </w:pPr>
            <w:r w:rsidRPr="003D7333">
              <w:rPr>
                <w:rFonts w:ascii="Arial" w:hAnsi="Arial" w:cs="Arial"/>
                <w:b/>
                <w:bCs/>
                <w:lang w:val="es-CL"/>
              </w:rPr>
              <w:t>RESPONSABLE</w:t>
            </w:r>
          </w:p>
        </w:tc>
        <w:tc>
          <w:tcPr>
            <w:tcW w:w="1704" w:type="dxa"/>
            <w:shd w:val="clear" w:color="auto" w:fill="F2F2F2" w:themeFill="background1" w:themeFillShade="F2"/>
            <w:vAlign w:val="center"/>
          </w:tcPr>
          <w:p w14:paraId="62C014CD" w14:textId="77777777" w:rsidR="00344BEE" w:rsidRPr="003D7333" w:rsidRDefault="00344BEE" w:rsidP="00945267">
            <w:pPr>
              <w:pStyle w:val="Sinespaciado"/>
              <w:jc w:val="center"/>
              <w:rPr>
                <w:rFonts w:ascii="Arial" w:hAnsi="Arial" w:cs="Arial"/>
                <w:b/>
                <w:bCs/>
                <w:lang w:val="es-CL"/>
              </w:rPr>
            </w:pPr>
            <w:r w:rsidRPr="003D7333">
              <w:rPr>
                <w:rFonts w:ascii="Arial" w:hAnsi="Arial" w:cs="Arial"/>
                <w:b/>
                <w:bCs/>
                <w:lang w:val="es-CL"/>
              </w:rPr>
              <w:t>PLAZO</w:t>
            </w:r>
          </w:p>
        </w:tc>
      </w:tr>
      <w:tr w:rsidR="00344BEE" w:rsidRPr="003D7333" w14:paraId="0050EC78" w14:textId="77777777" w:rsidTr="00945267">
        <w:trPr>
          <w:trHeight w:val="988"/>
        </w:trPr>
        <w:tc>
          <w:tcPr>
            <w:tcW w:w="1706" w:type="dxa"/>
            <w:vAlign w:val="center"/>
          </w:tcPr>
          <w:p w14:paraId="3A6250BA" w14:textId="77777777" w:rsidR="00344BEE" w:rsidRPr="003D7333" w:rsidRDefault="00344BEE" w:rsidP="00945267">
            <w:pPr>
              <w:pStyle w:val="Sinespaciado"/>
              <w:jc w:val="center"/>
              <w:rPr>
                <w:rFonts w:ascii="Arial" w:hAnsi="Arial" w:cs="Arial"/>
                <w:b/>
                <w:bCs/>
                <w:lang w:val="es-CL"/>
              </w:rPr>
            </w:pPr>
            <w:r w:rsidRPr="003D7333">
              <w:rPr>
                <w:rFonts w:ascii="Arial" w:hAnsi="Arial" w:cs="Arial"/>
                <w:b/>
                <w:bCs/>
                <w:lang w:val="es-CL"/>
              </w:rPr>
              <w:t>Fortalezas</w:t>
            </w:r>
          </w:p>
        </w:tc>
        <w:tc>
          <w:tcPr>
            <w:tcW w:w="1965" w:type="dxa"/>
            <w:vAlign w:val="center"/>
          </w:tcPr>
          <w:p w14:paraId="68BFCF1A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Fortalecer la proyección institucional</w:t>
            </w:r>
          </w:p>
        </w:tc>
        <w:tc>
          <w:tcPr>
            <w:tcW w:w="2620" w:type="dxa"/>
            <w:vAlign w:val="center"/>
          </w:tcPr>
          <w:p w14:paraId="217908FD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Crear cápsulas audiovisuales sobre el modelo de formación</w:t>
            </w:r>
          </w:p>
        </w:tc>
        <w:tc>
          <w:tcPr>
            <w:tcW w:w="1894" w:type="dxa"/>
            <w:vAlign w:val="center"/>
          </w:tcPr>
          <w:p w14:paraId="3B5AA502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RR.PP.</w:t>
            </w:r>
          </w:p>
        </w:tc>
        <w:tc>
          <w:tcPr>
            <w:tcW w:w="1704" w:type="dxa"/>
            <w:vAlign w:val="center"/>
          </w:tcPr>
          <w:p w14:paraId="1F790210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Corto plazo (3 meses)</w:t>
            </w:r>
          </w:p>
        </w:tc>
      </w:tr>
      <w:tr w:rsidR="00344BEE" w:rsidRPr="003D7333" w14:paraId="2151052C" w14:textId="77777777" w:rsidTr="00945267">
        <w:trPr>
          <w:trHeight w:val="1257"/>
        </w:trPr>
        <w:tc>
          <w:tcPr>
            <w:tcW w:w="1706" w:type="dxa"/>
            <w:vAlign w:val="center"/>
          </w:tcPr>
          <w:p w14:paraId="3B8C641A" w14:textId="77777777" w:rsidR="00344BEE" w:rsidRPr="003D7333" w:rsidRDefault="00344BEE" w:rsidP="00945267">
            <w:pPr>
              <w:pStyle w:val="Sinespaciado"/>
              <w:jc w:val="center"/>
              <w:rPr>
                <w:rFonts w:ascii="Arial" w:hAnsi="Arial" w:cs="Arial"/>
                <w:b/>
                <w:bCs/>
                <w:lang w:val="es-CL"/>
              </w:rPr>
            </w:pPr>
            <w:r w:rsidRPr="003D7333">
              <w:rPr>
                <w:rFonts w:ascii="Arial" w:hAnsi="Arial" w:cs="Arial"/>
                <w:b/>
                <w:bCs/>
                <w:lang w:val="es-CL"/>
              </w:rPr>
              <w:t>Oportunidades</w:t>
            </w:r>
          </w:p>
        </w:tc>
        <w:tc>
          <w:tcPr>
            <w:tcW w:w="1965" w:type="dxa"/>
            <w:vAlign w:val="center"/>
          </w:tcPr>
          <w:p w14:paraId="13E90F3E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Aumentar presencia digital</w:t>
            </w:r>
          </w:p>
        </w:tc>
        <w:tc>
          <w:tcPr>
            <w:tcW w:w="2620" w:type="dxa"/>
            <w:vAlign w:val="center"/>
          </w:tcPr>
          <w:p w14:paraId="6EFA7E8F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 xml:space="preserve">Campañas en redes sociales </w:t>
            </w:r>
            <w:r>
              <w:rPr>
                <w:rFonts w:ascii="Arial" w:hAnsi="Arial" w:cs="Arial"/>
                <w:lang w:val="es-CL"/>
              </w:rPr>
              <w:t>permanente con testimoniales de exalumnos.</w:t>
            </w:r>
          </w:p>
        </w:tc>
        <w:tc>
          <w:tcPr>
            <w:tcW w:w="1894" w:type="dxa"/>
            <w:vAlign w:val="center"/>
          </w:tcPr>
          <w:p w14:paraId="1AD62744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RR.PP.</w:t>
            </w:r>
          </w:p>
        </w:tc>
        <w:tc>
          <w:tcPr>
            <w:tcW w:w="1704" w:type="dxa"/>
            <w:vAlign w:val="center"/>
          </w:tcPr>
          <w:p w14:paraId="24AD2429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Mediano plazo (6 meses)</w:t>
            </w:r>
          </w:p>
        </w:tc>
      </w:tr>
      <w:tr w:rsidR="00344BEE" w:rsidRPr="003D7333" w14:paraId="51F6C0A6" w14:textId="77777777" w:rsidTr="00945267">
        <w:trPr>
          <w:trHeight w:val="1275"/>
        </w:trPr>
        <w:tc>
          <w:tcPr>
            <w:tcW w:w="1706" w:type="dxa"/>
            <w:vAlign w:val="center"/>
          </w:tcPr>
          <w:p w14:paraId="3C403F61" w14:textId="77777777" w:rsidR="00344BEE" w:rsidRPr="003D7333" w:rsidRDefault="00344BEE" w:rsidP="00945267">
            <w:pPr>
              <w:pStyle w:val="Sinespaciado"/>
              <w:jc w:val="center"/>
              <w:rPr>
                <w:rFonts w:ascii="Arial" w:hAnsi="Arial" w:cs="Arial"/>
                <w:b/>
                <w:bCs/>
                <w:lang w:val="es-CL"/>
              </w:rPr>
            </w:pPr>
            <w:r w:rsidRPr="003D7333">
              <w:rPr>
                <w:rFonts w:ascii="Arial" w:hAnsi="Arial" w:cs="Arial"/>
                <w:b/>
                <w:bCs/>
                <w:lang w:val="es-CL"/>
              </w:rPr>
              <w:t>Debilidades</w:t>
            </w:r>
          </w:p>
        </w:tc>
        <w:tc>
          <w:tcPr>
            <w:tcW w:w="1965" w:type="dxa"/>
            <w:vAlign w:val="center"/>
          </w:tcPr>
          <w:p w14:paraId="07CC3047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Optimizar recursos humanos y logísticos</w:t>
            </w:r>
          </w:p>
        </w:tc>
        <w:tc>
          <w:tcPr>
            <w:tcW w:w="2620" w:type="dxa"/>
            <w:vAlign w:val="center"/>
          </w:tcPr>
          <w:p w14:paraId="3F64C492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Reestructurar funciones internas y coordinar apoyo</w:t>
            </w:r>
          </w:p>
        </w:tc>
        <w:tc>
          <w:tcPr>
            <w:tcW w:w="1894" w:type="dxa"/>
            <w:vAlign w:val="center"/>
          </w:tcPr>
          <w:p w14:paraId="17D5F866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L</w:t>
            </w:r>
            <w:r w:rsidRPr="003D7333">
              <w:rPr>
                <w:rFonts w:ascii="Arial" w:hAnsi="Arial" w:cs="Arial"/>
                <w:lang w:val="es-CL"/>
              </w:rPr>
              <w:t>ogístico.</w:t>
            </w:r>
          </w:p>
        </w:tc>
        <w:tc>
          <w:tcPr>
            <w:tcW w:w="1704" w:type="dxa"/>
            <w:vAlign w:val="center"/>
          </w:tcPr>
          <w:p w14:paraId="06A70EFD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Corto plazo</w:t>
            </w:r>
          </w:p>
        </w:tc>
      </w:tr>
      <w:tr w:rsidR="00344BEE" w:rsidRPr="003D7333" w14:paraId="0CE6B48F" w14:textId="77777777" w:rsidTr="00945267">
        <w:trPr>
          <w:trHeight w:val="826"/>
        </w:trPr>
        <w:tc>
          <w:tcPr>
            <w:tcW w:w="1706" w:type="dxa"/>
            <w:vAlign w:val="center"/>
          </w:tcPr>
          <w:p w14:paraId="024977C0" w14:textId="77777777" w:rsidR="00344BEE" w:rsidRPr="003D7333" w:rsidRDefault="00344BEE" w:rsidP="00945267">
            <w:pPr>
              <w:pStyle w:val="Sinespaciado"/>
              <w:jc w:val="center"/>
              <w:rPr>
                <w:rFonts w:ascii="Arial" w:hAnsi="Arial" w:cs="Arial"/>
                <w:b/>
                <w:bCs/>
                <w:lang w:val="es-CL"/>
              </w:rPr>
            </w:pPr>
            <w:r w:rsidRPr="003D7333">
              <w:rPr>
                <w:rFonts w:ascii="Arial" w:hAnsi="Arial" w:cs="Arial"/>
                <w:b/>
                <w:bCs/>
                <w:lang w:val="es-CL"/>
              </w:rPr>
              <w:lastRenderedPageBreak/>
              <w:t>Amenazas</w:t>
            </w:r>
          </w:p>
        </w:tc>
        <w:tc>
          <w:tcPr>
            <w:tcW w:w="1965" w:type="dxa"/>
            <w:vAlign w:val="center"/>
          </w:tcPr>
          <w:p w14:paraId="5783B340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Gestionar crisis comunicacionales</w:t>
            </w:r>
          </w:p>
        </w:tc>
        <w:tc>
          <w:tcPr>
            <w:tcW w:w="2620" w:type="dxa"/>
            <w:vAlign w:val="center"/>
          </w:tcPr>
          <w:p w14:paraId="7280886C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Diseñar plan preventivo y de contingencia</w:t>
            </w:r>
          </w:p>
        </w:tc>
        <w:tc>
          <w:tcPr>
            <w:tcW w:w="1894" w:type="dxa"/>
            <w:vAlign w:val="center"/>
          </w:tcPr>
          <w:p w14:paraId="47FE96D6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RR.PP.</w:t>
            </w:r>
          </w:p>
        </w:tc>
        <w:tc>
          <w:tcPr>
            <w:tcW w:w="1704" w:type="dxa"/>
            <w:vAlign w:val="center"/>
          </w:tcPr>
          <w:p w14:paraId="0CED7679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Mediano plazo</w:t>
            </w:r>
          </w:p>
        </w:tc>
      </w:tr>
      <w:tr w:rsidR="00344BEE" w:rsidRPr="003D7333" w14:paraId="4307007A" w14:textId="77777777" w:rsidTr="00945267">
        <w:trPr>
          <w:trHeight w:val="852"/>
        </w:trPr>
        <w:tc>
          <w:tcPr>
            <w:tcW w:w="1706" w:type="dxa"/>
            <w:vAlign w:val="center"/>
          </w:tcPr>
          <w:p w14:paraId="09A9990F" w14:textId="77777777" w:rsidR="00344BEE" w:rsidRPr="003D7333" w:rsidRDefault="00344BEE" w:rsidP="00945267">
            <w:pPr>
              <w:pStyle w:val="Sinespaciado"/>
              <w:jc w:val="center"/>
              <w:rPr>
                <w:rFonts w:ascii="Arial" w:hAnsi="Arial" w:cs="Arial"/>
                <w:b/>
                <w:bCs/>
                <w:lang w:val="es-CL"/>
              </w:rPr>
            </w:pPr>
            <w:r w:rsidRPr="003D7333">
              <w:rPr>
                <w:rFonts w:ascii="Arial" w:hAnsi="Arial" w:cs="Arial"/>
                <w:b/>
                <w:bCs/>
                <w:lang w:val="es-CL"/>
              </w:rPr>
              <w:t>Debilidades + Oportunidades</w:t>
            </w:r>
          </w:p>
        </w:tc>
        <w:tc>
          <w:tcPr>
            <w:tcW w:w="1965" w:type="dxa"/>
            <w:vAlign w:val="center"/>
          </w:tcPr>
          <w:p w14:paraId="4A619663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Medir efectividad de campañas</w:t>
            </w:r>
          </w:p>
        </w:tc>
        <w:tc>
          <w:tcPr>
            <w:tcW w:w="2620" w:type="dxa"/>
            <w:vAlign w:val="center"/>
          </w:tcPr>
          <w:p w14:paraId="1CD327D0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Implementar</w:t>
            </w:r>
            <w:r>
              <w:rPr>
                <w:rFonts w:ascii="Arial" w:hAnsi="Arial" w:cs="Arial"/>
                <w:lang w:val="es-CL"/>
              </w:rPr>
              <w:t xml:space="preserve"> </w:t>
            </w:r>
            <w:r w:rsidRPr="003D7333">
              <w:rPr>
                <w:rFonts w:ascii="Arial" w:hAnsi="Arial" w:cs="Arial"/>
                <w:lang w:val="es-CL"/>
              </w:rPr>
              <w:t>seguimiento digital</w:t>
            </w:r>
          </w:p>
        </w:tc>
        <w:tc>
          <w:tcPr>
            <w:tcW w:w="1894" w:type="dxa"/>
            <w:vAlign w:val="center"/>
          </w:tcPr>
          <w:p w14:paraId="6BAB13DA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A</w:t>
            </w:r>
            <w:r w:rsidRPr="003D7333">
              <w:rPr>
                <w:rFonts w:ascii="Arial" w:hAnsi="Arial" w:cs="Arial"/>
                <w:lang w:val="es-CL"/>
              </w:rPr>
              <w:t>dmisión – RR.PP.</w:t>
            </w:r>
          </w:p>
        </w:tc>
        <w:tc>
          <w:tcPr>
            <w:tcW w:w="1704" w:type="dxa"/>
            <w:vAlign w:val="center"/>
          </w:tcPr>
          <w:p w14:paraId="1D25825E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Mediano plazo</w:t>
            </w:r>
          </w:p>
        </w:tc>
      </w:tr>
      <w:tr w:rsidR="00344BEE" w:rsidRPr="003D7333" w14:paraId="1E792C97" w14:textId="77777777" w:rsidTr="00945267">
        <w:trPr>
          <w:trHeight w:val="977"/>
        </w:trPr>
        <w:tc>
          <w:tcPr>
            <w:tcW w:w="1706" w:type="dxa"/>
            <w:vAlign w:val="center"/>
          </w:tcPr>
          <w:p w14:paraId="7EAA283A" w14:textId="77777777" w:rsidR="00344BEE" w:rsidRPr="003D7333" w:rsidRDefault="00344BEE" w:rsidP="00945267">
            <w:pPr>
              <w:pStyle w:val="Sinespaciado"/>
              <w:jc w:val="center"/>
              <w:rPr>
                <w:rFonts w:ascii="Arial" w:hAnsi="Arial" w:cs="Arial"/>
                <w:b/>
                <w:bCs/>
                <w:lang w:val="es-CL"/>
              </w:rPr>
            </w:pPr>
            <w:r w:rsidRPr="003D7333">
              <w:rPr>
                <w:rFonts w:ascii="Arial" w:hAnsi="Arial" w:cs="Arial"/>
                <w:b/>
                <w:bCs/>
                <w:lang w:val="es-CL"/>
              </w:rPr>
              <w:t>Oportunidades</w:t>
            </w:r>
          </w:p>
        </w:tc>
        <w:tc>
          <w:tcPr>
            <w:tcW w:w="1965" w:type="dxa"/>
            <w:vAlign w:val="center"/>
          </w:tcPr>
          <w:p w14:paraId="60D62617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 xml:space="preserve">Ampliar </w:t>
            </w:r>
            <w:r>
              <w:rPr>
                <w:rFonts w:ascii="Arial" w:hAnsi="Arial" w:cs="Arial"/>
                <w:lang w:val="es-CL"/>
              </w:rPr>
              <w:t>vinculación con el Medio.</w:t>
            </w:r>
          </w:p>
        </w:tc>
        <w:tc>
          <w:tcPr>
            <w:tcW w:w="2620" w:type="dxa"/>
            <w:vAlign w:val="center"/>
          </w:tcPr>
          <w:p w14:paraId="12802549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Gestionar Oportunidades con el medio civil.</w:t>
            </w:r>
          </w:p>
        </w:tc>
        <w:tc>
          <w:tcPr>
            <w:tcW w:w="1894" w:type="dxa"/>
            <w:vAlign w:val="center"/>
          </w:tcPr>
          <w:p w14:paraId="59232EB2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Vinculación con el Medio.</w:t>
            </w:r>
          </w:p>
        </w:tc>
        <w:tc>
          <w:tcPr>
            <w:tcW w:w="1704" w:type="dxa"/>
            <w:vAlign w:val="center"/>
          </w:tcPr>
          <w:p w14:paraId="35C33FF3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Largo plazo (12 meses)</w:t>
            </w:r>
          </w:p>
        </w:tc>
      </w:tr>
      <w:tr w:rsidR="00344BEE" w:rsidRPr="003D7333" w14:paraId="57376F57" w14:textId="77777777" w:rsidTr="00945267">
        <w:trPr>
          <w:trHeight w:val="978"/>
        </w:trPr>
        <w:tc>
          <w:tcPr>
            <w:tcW w:w="1706" w:type="dxa"/>
            <w:vAlign w:val="center"/>
          </w:tcPr>
          <w:p w14:paraId="29B05222" w14:textId="77777777" w:rsidR="00344BEE" w:rsidRPr="003D7333" w:rsidRDefault="00344BEE" w:rsidP="00945267">
            <w:pPr>
              <w:pStyle w:val="Sinespaciado"/>
              <w:jc w:val="center"/>
              <w:rPr>
                <w:rFonts w:ascii="Arial" w:hAnsi="Arial" w:cs="Arial"/>
                <w:b/>
                <w:bCs/>
                <w:lang w:val="es-CL"/>
              </w:rPr>
            </w:pPr>
            <w:r w:rsidRPr="003D7333">
              <w:rPr>
                <w:rFonts w:ascii="Arial" w:hAnsi="Arial" w:cs="Arial"/>
                <w:b/>
                <w:bCs/>
                <w:lang w:val="es-CL"/>
              </w:rPr>
              <w:t>Amenazas</w:t>
            </w:r>
          </w:p>
        </w:tc>
        <w:tc>
          <w:tcPr>
            <w:tcW w:w="1965" w:type="dxa"/>
            <w:vAlign w:val="center"/>
          </w:tcPr>
          <w:p w14:paraId="6C4B9B72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Mitigar cambios normativos</w:t>
            </w:r>
          </w:p>
        </w:tc>
        <w:tc>
          <w:tcPr>
            <w:tcW w:w="2620" w:type="dxa"/>
            <w:vAlign w:val="center"/>
          </w:tcPr>
          <w:p w14:paraId="2B974DFD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Elaborar materiales explicativos actualizados</w:t>
            </w:r>
          </w:p>
        </w:tc>
        <w:tc>
          <w:tcPr>
            <w:tcW w:w="1894" w:type="dxa"/>
            <w:vAlign w:val="center"/>
          </w:tcPr>
          <w:p w14:paraId="6697BA33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RR.PP. – Asesor Judicial.</w:t>
            </w:r>
          </w:p>
        </w:tc>
        <w:tc>
          <w:tcPr>
            <w:tcW w:w="1704" w:type="dxa"/>
            <w:vAlign w:val="center"/>
          </w:tcPr>
          <w:p w14:paraId="65CF27D1" w14:textId="77777777" w:rsidR="00344BEE" w:rsidRPr="003D7333" w:rsidRDefault="00344BEE" w:rsidP="00945267">
            <w:pPr>
              <w:pStyle w:val="Sinespaciado"/>
              <w:rPr>
                <w:rFonts w:ascii="Arial" w:hAnsi="Arial" w:cs="Arial"/>
                <w:lang w:val="es-CL"/>
              </w:rPr>
            </w:pPr>
            <w:r w:rsidRPr="003D7333">
              <w:rPr>
                <w:rFonts w:ascii="Arial" w:hAnsi="Arial" w:cs="Arial"/>
                <w:lang w:val="es-CL"/>
              </w:rPr>
              <w:t>Permanente</w:t>
            </w:r>
          </w:p>
        </w:tc>
      </w:tr>
    </w:tbl>
    <w:p w14:paraId="599E097D" w14:textId="77777777" w:rsidR="00E04915" w:rsidRPr="002A1D97" w:rsidRDefault="00E04915" w:rsidP="002A1D97">
      <w:pPr>
        <w:jc w:val="both"/>
        <w:rPr>
          <w:rFonts w:ascii="Arial" w:hAnsi="Arial" w:cs="Arial"/>
          <w:sz w:val="24"/>
          <w:szCs w:val="24"/>
        </w:rPr>
      </w:pPr>
    </w:p>
    <w:sectPr w:rsidR="00E04915" w:rsidRPr="002A1D97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81D15" w14:textId="77777777" w:rsidR="00BF52DD" w:rsidRDefault="00BF52DD" w:rsidP="00BF52DD">
      <w:pPr>
        <w:spacing w:after="0" w:line="240" w:lineRule="auto"/>
      </w:pPr>
      <w:r>
        <w:separator/>
      </w:r>
    </w:p>
  </w:endnote>
  <w:endnote w:type="continuationSeparator" w:id="0">
    <w:p w14:paraId="1AE47BC5" w14:textId="77777777" w:rsidR="00BF52DD" w:rsidRDefault="00BF52DD" w:rsidP="00BF5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7366669"/>
      <w:docPartObj>
        <w:docPartGallery w:val="Page Numbers (Bottom of Page)"/>
        <w:docPartUnique/>
      </w:docPartObj>
    </w:sdtPr>
    <w:sdtContent>
      <w:p w14:paraId="57E4733A" w14:textId="36D5A01B" w:rsidR="00BF52DD" w:rsidRDefault="00BF52DD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20553746" w14:textId="77777777" w:rsidR="00BF52DD" w:rsidRDefault="00BF52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DDE6A" w14:textId="77777777" w:rsidR="00BF52DD" w:rsidRDefault="00BF52DD" w:rsidP="00BF52DD">
      <w:pPr>
        <w:spacing w:after="0" w:line="240" w:lineRule="auto"/>
      </w:pPr>
      <w:r>
        <w:separator/>
      </w:r>
    </w:p>
  </w:footnote>
  <w:footnote w:type="continuationSeparator" w:id="0">
    <w:p w14:paraId="10F1DC9D" w14:textId="77777777" w:rsidR="00BF52DD" w:rsidRDefault="00BF52DD" w:rsidP="00BF5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AFA3A" w14:textId="0F58A7BF" w:rsidR="00BF52DD" w:rsidRPr="00BF52DD" w:rsidRDefault="00BF52DD">
    <w:pPr>
      <w:pStyle w:val="Encabezado"/>
      <w:rPr>
        <w:sz w:val="16"/>
        <w:szCs w:val="16"/>
      </w:rPr>
    </w:pPr>
    <w:r>
      <w:rPr>
        <w:sz w:val="16"/>
        <w:szCs w:val="16"/>
      </w:rPr>
      <w:t xml:space="preserve">           </w:t>
    </w:r>
    <w:r w:rsidRPr="00BF52DD">
      <w:rPr>
        <w:sz w:val="16"/>
        <w:szCs w:val="16"/>
      </w:rPr>
      <w:t>ESCUELA NAVAL ARTURO PRAT</w:t>
    </w:r>
  </w:p>
  <w:p w14:paraId="5B37AD27" w14:textId="17C3BB66" w:rsidR="00BF52DD" w:rsidRPr="00BF52DD" w:rsidRDefault="00BF52DD">
    <w:pPr>
      <w:pStyle w:val="Encabezado"/>
      <w:rPr>
        <w:sz w:val="16"/>
        <w:szCs w:val="16"/>
      </w:rPr>
    </w:pPr>
    <w:r w:rsidRPr="00BF52DD">
      <w:rPr>
        <w:sz w:val="16"/>
        <w:szCs w:val="16"/>
      </w:rPr>
      <w:t>DEPARTAMENTO DE ADMISIÓN, RR.PP. Y V.M.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65186"/>
    <w:multiLevelType w:val="hybridMultilevel"/>
    <w:tmpl w:val="ECE23F6A"/>
    <w:lvl w:ilvl="0" w:tplc="4AAAF4E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9B33C1"/>
    <w:multiLevelType w:val="hybridMultilevel"/>
    <w:tmpl w:val="ECE23F6A"/>
    <w:lvl w:ilvl="0" w:tplc="FFFFFFFF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091556"/>
    <w:multiLevelType w:val="hybridMultilevel"/>
    <w:tmpl w:val="ECE23F6A"/>
    <w:lvl w:ilvl="0" w:tplc="FFFFFFFF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9AC6A6E"/>
    <w:multiLevelType w:val="hybridMultilevel"/>
    <w:tmpl w:val="F0C8F1E6"/>
    <w:lvl w:ilvl="0" w:tplc="88C676EE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C20C55"/>
    <w:multiLevelType w:val="hybridMultilevel"/>
    <w:tmpl w:val="ECE23F6A"/>
    <w:lvl w:ilvl="0" w:tplc="FFFFFFFF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56033830">
    <w:abstractNumId w:val="3"/>
  </w:num>
  <w:num w:numId="2" w16cid:durableId="1780221175">
    <w:abstractNumId w:val="0"/>
  </w:num>
  <w:num w:numId="3" w16cid:durableId="1351908889">
    <w:abstractNumId w:val="4"/>
  </w:num>
  <w:num w:numId="4" w16cid:durableId="747730609">
    <w:abstractNumId w:val="2"/>
  </w:num>
  <w:num w:numId="5" w16cid:durableId="5689269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D97"/>
    <w:rsid w:val="00260CB8"/>
    <w:rsid w:val="002A1D97"/>
    <w:rsid w:val="00344BEE"/>
    <w:rsid w:val="0046008F"/>
    <w:rsid w:val="0051513B"/>
    <w:rsid w:val="00BF52DD"/>
    <w:rsid w:val="00E0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D7531"/>
  <w15:chartTrackingRefBased/>
  <w15:docId w15:val="{195A47D7-21C1-4CAC-9813-66A6A883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1D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A1D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1D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A1D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A1D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A1D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A1D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A1D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A1D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A1D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A1D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1D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A1D9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A1D9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A1D9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A1D9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A1D9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A1D9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A1D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A1D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A1D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A1D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A1D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A1D9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A1D9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A1D9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A1D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A1D9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A1D97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uiPriority w:val="1"/>
    <w:qFormat/>
    <w:rsid w:val="00344BEE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F52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52DD"/>
  </w:style>
  <w:style w:type="paragraph" w:styleId="Piedepgina">
    <w:name w:val="footer"/>
    <w:basedOn w:val="Normal"/>
    <w:link w:val="PiedepginaCar"/>
    <w:uiPriority w:val="99"/>
    <w:unhideWhenUsed/>
    <w:rsid w:val="00BF52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5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C65E5-E943-4718-BAB5-60C3421E6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1035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Carter</dc:creator>
  <cp:keywords/>
  <dc:description/>
  <cp:lastModifiedBy>Matias Carter</cp:lastModifiedBy>
  <cp:revision>1</cp:revision>
  <dcterms:created xsi:type="dcterms:W3CDTF">2025-08-01T14:14:00Z</dcterms:created>
  <dcterms:modified xsi:type="dcterms:W3CDTF">2025-08-01T14:47:00Z</dcterms:modified>
</cp:coreProperties>
</file>