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F0F02" w14:textId="77777777" w:rsid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3B34275" w14:textId="77777777" w:rsid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2374F87" w14:textId="77777777" w:rsid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DEEB431" w14:textId="77777777" w:rsidR="003664D8" w:rsidRP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00EE76A" w14:textId="77777777"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ESCUELA NAVAL “ARTURO PRAT”</w:t>
      </w:r>
    </w:p>
    <w:p w14:paraId="2DFFD352" w14:textId="317269FF"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S</w:t>
      </w:r>
      <w:r w:rsidR="003664D8" w:rsidRPr="003664D8">
        <w:rPr>
          <w:rFonts w:ascii="Arial" w:eastAsia="Times New Roman" w:hAnsi="Arial" w:cs="Arial"/>
          <w:b/>
          <w:bCs/>
          <w:kern w:val="0"/>
          <w:lang w:eastAsia="es-CL"/>
          <w14:ligatures w14:val="none"/>
        </w:rPr>
        <w:t>istemas</w:t>
      </w:r>
      <w:r w:rsidRPr="003664D8">
        <w:rPr>
          <w:rFonts w:ascii="Arial" w:eastAsia="Times New Roman" w:hAnsi="Arial" w:cs="Arial"/>
          <w:b/>
          <w:bCs/>
          <w:kern w:val="0"/>
          <w:lang w:eastAsia="es-CL"/>
          <w14:ligatures w14:val="none"/>
        </w:rPr>
        <w:t xml:space="preserve"> N</w:t>
      </w:r>
      <w:r w:rsidR="003664D8" w:rsidRPr="003664D8">
        <w:rPr>
          <w:rFonts w:ascii="Arial" w:eastAsia="Times New Roman" w:hAnsi="Arial" w:cs="Arial"/>
          <w:b/>
          <w:bCs/>
          <w:kern w:val="0"/>
          <w:lang w:eastAsia="es-CL"/>
          <w14:ligatures w14:val="none"/>
        </w:rPr>
        <w:t xml:space="preserve">aval. </w:t>
      </w:r>
      <w:r w:rsidRPr="003664D8">
        <w:rPr>
          <w:rFonts w:ascii="Arial" w:eastAsia="Times New Roman" w:hAnsi="Arial" w:cs="Arial"/>
          <w:b/>
          <w:bCs/>
          <w:kern w:val="0"/>
          <w:lang w:eastAsia="es-CL"/>
          <w14:ligatures w14:val="none"/>
        </w:rPr>
        <w:t xml:space="preserve"> 4°A</w:t>
      </w:r>
      <w:r w:rsidR="003664D8" w:rsidRPr="003664D8">
        <w:rPr>
          <w:rFonts w:ascii="Arial" w:eastAsia="Times New Roman" w:hAnsi="Arial" w:cs="Arial"/>
          <w:b/>
          <w:bCs/>
          <w:kern w:val="0"/>
          <w:lang w:eastAsia="es-CL"/>
          <w14:ligatures w14:val="none"/>
        </w:rPr>
        <w:t>bastecimiento</w:t>
      </w:r>
    </w:p>
    <w:p w14:paraId="18A64DF5" w14:textId="77777777"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“Evolución de los buques de guerra y su impacto en la demanda de repuestos y consumos logísticos”</w:t>
      </w:r>
    </w:p>
    <w:p w14:paraId="3F095D09" w14:textId="1AFC105F"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Brigadier Abastecimiento Eduardo Andrés Vásquez Hidalgo</w:t>
      </w:r>
    </w:p>
    <w:p w14:paraId="6543027A" w14:textId="45278ABD" w:rsidR="007D0D66" w:rsidRPr="003664D8" w:rsidRDefault="003664D8"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Alberto García Covacevich</w:t>
      </w:r>
    </w:p>
    <w:p w14:paraId="2A7F4BA4" w14:textId="530CC023"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13 – Julio – 2026</w:t>
      </w:r>
    </w:p>
    <w:p w14:paraId="0DD25391" w14:textId="2B33DE53" w:rsidR="007D0D66" w:rsidRPr="003664D8" w:rsidRDefault="007D0D66" w:rsidP="003664D8">
      <w:pPr>
        <w:spacing w:after="100" w:afterAutospacing="1" w:line="240" w:lineRule="auto"/>
        <w:jc w:val="center"/>
        <w:rPr>
          <w:rFonts w:ascii="Arial" w:eastAsia="Times New Roman" w:hAnsi="Arial" w:cs="Arial"/>
          <w:b/>
          <w:bCs/>
          <w:kern w:val="0"/>
          <w:lang w:eastAsia="es-CL"/>
          <w14:ligatures w14:val="none"/>
        </w:rPr>
      </w:pPr>
      <w:r w:rsidRPr="003664D8">
        <w:rPr>
          <w:rFonts w:ascii="Arial" w:eastAsia="Times New Roman" w:hAnsi="Arial" w:cs="Arial"/>
          <w:b/>
          <w:bCs/>
          <w:kern w:val="0"/>
          <w:lang w:eastAsia="es-CL"/>
          <w14:ligatures w14:val="none"/>
        </w:rPr>
        <w:t>Valparaíso.</w:t>
      </w:r>
    </w:p>
    <w:p w14:paraId="73DC75CE"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01CADA62"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54930175"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898A4F5"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30EF35D" w14:textId="77777777" w:rsid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04F3D35" w14:textId="77777777" w:rsidR="003664D8" w:rsidRDefault="003664D8"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58DCA962" w14:textId="1F9D4AE7" w:rsidR="007D0D66" w:rsidRP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r w:rsidRPr="007D0D66">
        <w:rPr>
          <w:rFonts w:ascii="Arial" w:eastAsia="Times New Roman" w:hAnsi="Arial" w:cs="Arial"/>
          <w:b/>
          <w:bCs/>
          <w:kern w:val="36"/>
          <w:sz w:val="48"/>
          <w:szCs w:val="48"/>
          <w:lang w:eastAsia="es-CL"/>
          <w14:ligatures w14:val="none"/>
        </w:rPr>
        <w:lastRenderedPageBreak/>
        <w:t>Índice</w:t>
      </w:r>
    </w:p>
    <w:p w14:paraId="245AE7ED"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Introducción</w:t>
      </w:r>
    </w:p>
    <w:p w14:paraId="4E8021F9"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Desarrollo</w:t>
      </w:r>
    </w:p>
    <w:p w14:paraId="24A4341C"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2.1. Etapas históricas de la evolución naval y su impacto logístico</w:t>
      </w:r>
    </w:p>
    <w:p w14:paraId="4A6FEA2B"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2.1.1. Buques a vela y artillería de pólvora</w:t>
      </w:r>
    </w:p>
    <w:p w14:paraId="42773ED9"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2.1.2. Transición al vapor y carbón</w:t>
      </w:r>
    </w:p>
    <w:p w14:paraId="73B2F2C1"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2.1.3. Buques acorazados, petróleo y turbinas</w:t>
      </w:r>
    </w:p>
    <w:p w14:paraId="3317D3D8"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2.1.4. Era moderna: Electrónica, aviación naval y propulsión nuclear</w:t>
      </w:r>
    </w:p>
    <w:p w14:paraId="3426D784"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2.2. Bienestar y habitabilidad de la dotación</w:t>
      </w:r>
    </w:p>
    <w:p w14:paraId="5126B8D2" w14:textId="77777777" w:rsidR="007D0D66" w:rsidRPr="007D0D66" w:rsidRDefault="007D0D66" w:rsidP="007D0D66">
      <w:pPr>
        <w:spacing w:after="100" w:afterAutospacing="1" w:line="240" w:lineRule="auto"/>
        <w:ind w:left="720"/>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2.3. El rol del Oficial de Abastecimiento en la flota moderna</w:t>
      </w:r>
    </w:p>
    <w:p w14:paraId="558D3045"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Conclusiones</w:t>
      </w:r>
    </w:p>
    <w:p w14:paraId="2481BB0F"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Bibliografía</w:t>
      </w:r>
    </w:p>
    <w:p w14:paraId="1FF1E8D2"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Anexos</w:t>
      </w:r>
    </w:p>
    <w:p w14:paraId="1E7D86E0" w14:textId="77777777" w:rsidR="007D0D66" w:rsidRPr="007D0D66" w:rsidRDefault="007D0D66" w:rsidP="007D0D66">
      <w:pPr>
        <w:numPr>
          <w:ilvl w:val="0"/>
          <w:numId w:val="1"/>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Declaración de uso de Herramientas de Inteligencia Artificial</w:t>
      </w:r>
    </w:p>
    <w:p w14:paraId="1152BE17"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4AB0BA6D"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E1BF37B"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C2DE8DF"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4B52C5A"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0F9288F"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4A45F615"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50ABF6E5" w14:textId="4DFEB012" w:rsidR="007D0D66" w:rsidRPr="003664D8" w:rsidRDefault="007D0D66" w:rsidP="007D0D66">
      <w:pPr>
        <w:spacing w:after="100" w:afterAutospacing="1" w:line="240" w:lineRule="auto"/>
        <w:outlineLvl w:val="0"/>
        <w:rPr>
          <w:rFonts w:ascii="Arial" w:eastAsia="Times New Roman" w:hAnsi="Arial" w:cs="Arial"/>
          <w:kern w:val="36"/>
          <w:sz w:val="48"/>
          <w:szCs w:val="48"/>
          <w:lang w:eastAsia="es-CL"/>
          <w14:ligatures w14:val="none"/>
        </w:rPr>
      </w:pPr>
      <w:r w:rsidRPr="003664D8">
        <w:rPr>
          <w:rFonts w:ascii="Arial" w:eastAsia="Times New Roman" w:hAnsi="Arial" w:cs="Arial"/>
          <w:kern w:val="36"/>
          <w:sz w:val="48"/>
          <w:szCs w:val="48"/>
          <w:lang w:eastAsia="es-CL"/>
          <w14:ligatures w14:val="none"/>
        </w:rPr>
        <w:lastRenderedPageBreak/>
        <w:t>Introducción</w:t>
      </w:r>
    </w:p>
    <w:p w14:paraId="702B9FE2"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La marina de guerra es una de las instituciones más intensivas en tecnología y logística creadas por la humanidad. A lo largo de la historia, la evolución de los buques de combate —desde los navíos de línea impulsados por el viento hasta los modernos portaaviones de propulsión nuclear— ha transformado de manera radical la forma en que las armadas operan, combaten y se sostienen en el mar. Sin embargo, detrás de cada innovación en armamento, propulsión o sensores, existe una revolución paralela y a menudo invisible: la transformación de la cadena logística.</w:t>
      </w:r>
    </w:p>
    <w:p w14:paraId="54A18222" w14:textId="4DF553E6"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 xml:space="preserve">El presente trabajo tiene como objetivo principal analizar cómo los avances tecnológicos en los buques de guerra han modificado simultáneamente las necesidades logísticas (repuestos, consumos, mantenimiento) y las condiciones de habitabilidad, alimentación y bienestar de la dotación. Se examinarán las cuatro grandes etapas de la evolución naval, evaluando el impacto operativo en cada una de ellas, para finalmente decantar en la figura del Oficial de Abastecimiento. Este profesional no solo debe garantizar la continuidad operativa mediante la gestión de recursos técnicos, sino que se </w:t>
      </w:r>
      <w:r w:rsidR="003664D8" w:rsidRPr="007D0D66">
        <w:rPr>
          <w:rFonts w:ascii="Arial" w:eastAsia="Times New Roman" w:hAnsi="Arial" w:cs="Arial"/>
          <w:kern w:val="0"/>
          <w:lang w:eastAsia="es-CL"/>
          <w14:ligatures w14:val="none"/>
        </w:rPr>
        <w:t>e</w:t>
      </w:r>
      <w:r w:rsidR="003664D8">
        <w:rPr>
          <w:rFonts w:ascii="Arial" w:eastAsia="Times New Roman" w:hAnsi="Arial" w:cs="Arial"/>
          <w:kern w:val="0"/>
          <w:lang w:eastAsia="es-CL"/>
          <w14:ligatures w14:val="none"/>
        </w:rPr>
        <w:t>lige</w:t>
      </w:r>
      <w:r w:rsidRPr="007D0D66">
        <w:rPr>
          <w:rFonts w:ascii="Arial" w:eastAsia="Times New Roman" w:hAnsi="Arial" w:cs="Arial"/>
          <w:kern w:val="0"/>
          <w:lang w:eastAsia="es-CL"/>
          <w14:ligatures w14:val="none"/>
        </w:rPr>
        <w:t xml:space="preserve"> el principal responsable de sostener la moral y la calidad de vida de la tripulación en entornos altamente demandantes.</w:t>
      </w:r>
    </w:p>
    <w:p w14:paraId="5134F7B0"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1CE3C95"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3F9CD26"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D3EBF4C"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8075903"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F9DB5F4"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05CBA8BB"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3FC327B" w14:textId="77777777" w:rsidR="003E2389" w:rsidRDefault="003E2389" w:rsidP="007D0D66">
      <w:pPr>
        <w:spacing w:after="100" w:afterAutospacing="1" w:line="240" w:lineRule="auto"/>
        <w:outlineLvl w:val="1"/>
        <w:rPr>
          <w:rFonts w:ascii="Arial" w:eastAsia="Times New Roman" w:hAnsi="Arial" w:cs="Arial"/>
          <w:b/>
          <w:bCs/>
          <w:kern w:val="36"/>
          <w:sz w:val="48"/>
          <w:szCs w:val="48"/>
          <w:lang w:eastAsia="es-CL"/>
          <w14:ligatures w14:val="none"/>
        </w:rPr>
      </w:pPr>
    </w:p>
    <w:p w14:paraId="499B9678" w14:textId="1DBBA5AF" w:rsidR="007D0D66" w:rsidRPr="003E2389" w:rsidRDefault="007D0D66" w:rsidP="007D0D66">
      <w:pPr>
        <w:spacing w:after="100" w:afterAutospacing="1" w:line="240" w:lineRule="auto"/>
        <w:outlineLvl w:val="1"/>
        <w:rPr>
          <w:rFonts w:ascii="Arial" w:eastAsia="Times New Roman" w:hAnsi="Arial" w:cs="Arial"/>
          <w:kern w:val="0"/>
          <w:sz w:val="36"/>
          <w:szCs w:val="36"/>
          <w:lang w:eastAsia="es-CL"/>
          <w14:ligatures w14:val="none"/>
        </w:rPr>
      </w:pPr>
      <w:r w:rsidRPr="003E2389">
        <w:rPr>
          <w:rFonts w:ascii="Arial" w:eastAsia="Times New Roman" w:hAnsi="Arial" w:cs="Arial"/>
          <w:kern w:val="0"/>
          <w:sz w:val="36"/>
          <w:szCs w:val="36"/>
          <w:lang w:eastAsia="es-CL"/>
          <w14:ligatures w14:val="none"/>
        </w:rPr>
        <w:lastRenderedPageBreak/>
        <w:t>Etapas históricas de la evolución naval y su impacto logístico</w:t>
      </w:r>
    </w:p>
    <w:p w14:paraId="70E867A9"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La relación entre la tecnología naval y la demanda logística puede entenderse a través de cuatro grandes transiciones tecnológicas. Cada salto cualitativo en la propulsión militar trajo consigo un cambio drástico en la naturaleza de los repuestos y consumibles requeridos.</w:t>
      </w:r>
    </w:p>
    <w:p w14:paraId="1EDDB815" w14:textId="1FB7854D" w:rsidR="007D0D66" w:rsidRP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r w:rsidRPr="007D0D66">
        <w:rPr>
          <w:rFonts w:ascii="Arial" w:eastAsia="Times New Roman" w:hAnsi="Arial" w:cs="Arial"/>
          <w:b/>
          <w:bCs/>
          <w:kern w:val="0"/>
          <w:sz w:val="27"/>
          <w:szCs w:val="27"/>
          <w:lang w:eastAsia="es-CL"/>
          <w14:ligatures w14:val="none"/>
        </w:rPr>
        <w:t>Buques a vela y artillería de pólvora</w:t>
      </w:r>
    </w:p>
    <w:p w14:paraId="3AEBB081"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Durante la era de la vela (siglos XVI al XIX), la autonomía de un buque estaba dictada por las provisiones humanas, no por el combustible, ya que la energía eólica era inagotable (Mahan, 1890).</w:t>
      </w:r>
    </w:p>
    <w:p w14:paraId="7EDF2B83" w14:textId="77777777" w:rsidR="007D0D66" w:rsidRPr="007D0D66" w:rsidRDefault="007D0D66" w:rsidP="007D0D66">
      <w:pPr>
        <w:numPr>
          <w:ilvl w:val="0"/>
          <w:numId w:val="2"/>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Repuestos y consumos:</w:t>
      </w:r>
      <w:r w:rsidRPr="007D0D66">
        <w:rPr>
          <w:rFonts w:ascii="Arial" w:eastAsia="Times New Roman" w:hAnsi="Arial" w:cs="Arial"/>
          <w:kern w:val="0"/>
          <w:lang w:eastAsia="es-CL"/>
          <w14:ligatures w14:val="none"/>
        </w:rPr>
        <w:t xml:space="preserve"> Los repuestos predominantes eran de naturaleza orgánica o artesanal: madera, lona para velas, cabos de cáñamo y brea. El consumo crítico para el combate era la pólvora negra y las balas de cañón de hierro.</w:t>
      </w:r>
    </w:p>
    <w:p w14:paraId="52953AF2" w14:textId="77777777" w:rsidR="007D0D66" w:rsidRPr="007D0D66" w:rsidRDefault="007D0D66" w:rsidP="007D0D66">
      <w:pPr>
        <w:numPr>
          <w:ilvl w:val="0"/>
          <w:numId w:val="2"/>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Cadena de abastecimiento:</w:t>
      </w:r>
      <w:r w:rsidRPr="007D0D66">
        <w:rPr>
          <w:rFonts w:ascii="Arial" w:eastAsia="Times New Roman" w:hAnsi="Arial" w:cs="Arial"/>
          <w:kern w:val="0"/>
          <w:lang w:eastAsia="es-CL"/>
          <w14:ligatures w14:val="none"/>
        </w:rPr>
        <w:t xml:space="preserve"> La logística era de baja complejidad técnica pero de alta dificultad de preservación. El agua dulce y los alimentos perecederos (carne salada, galletas) determinaban el tiempo máximo en la mar, siendo el escorbuto el mayor enemigo de la flota, superando a menudo las bajas por combate.</w:t>
      </w:r>
    </w:p>
    <w:p w14:paraId="42034795" w14:textId="2E1136A3" w:rsidR="007D0D66" w:rsidRP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r w:rsidRPr="007D0D66">
        <w:rPr>
          <w:rFonts w:ascii="Arial" w:eastAsia="Times New Roman" w:hAnsi="Arial" w:cs="Arial"/>
          <w:b/>
          <w:bCs/>
          <w:kern w:val="0"/>
          <w:sz w:val="27"/>
          <w:szCs w:val="27"/>
          <w:lang w:eastAsia="es-CL"/>
          <w14:ligatures w14:val="none"/>
        </w:rPr>
        <w:t>Transición al vapor y carbón</w:t>
      </w:r>
    </w:p>
    <w:p w14:paraId="12DDE7AA"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A mediados del siglo XIX, la introducción de las calderas de vapor cambió las reglas de la estrategia naval. La dependencia del viento fue reemplazada por la dependencia del carbón.</w:t>
      </w:r>
    </w:p>
    <w:p w14:paraId="660D11A3" w14:textId="77777777" w:rsidR="007D0D66" w:rsidRPr="007D0D66" w:rsidRDefault="007D0D66" w:rsidP="007D0D66">
      <w:pPr>
        <w:numPr>
          <w:ilvl w:val="0"/>
          <w:numId w:val="3"/>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Repuestos y consumos:</w:t>
      </w:r>
      <w:r w:rsidRPr="007D0D66">
        <w:rPr>
          <w:rFonts w:ascii="Arial" w:eastAsia="Times New Roman" w:hAnsi="Arial" w:cs="Arial"/>
          <w:kern w:val="0"/>
          <w:lang w:eastAsia="es-CL"/>
          <w14:ligatures w14:val="none"/>
        </w:rPr>
        <w:t xml:space="preserve"> Surgen los repuestos mecánicos: válvulas, empaquetaduras, tuberías de cobre y engranajes. El carbón se convirtió en el consumo logístico absoluto, requiriendo cientos de toneladas por buque.</w:t>
      </w:r>
    </w:p>
    <w:p w14:paraId="1E6A92DA" w14:textId="77777777" w:rsidR="007D0D66" w:rsidRPr="007D0D66" w:rsidRDefault="007D0D66" w:rsidP="007D0D66">
      <w:pPr>
        <w:numPr>
          <w:ilvl w:val="0"/>
          <w:numId w:val="3"/>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Cadena de abastecimiento:</w:t>
      </w:r>
      <w:r w:rsidRPr="007D0D66">
        <w:rPr>
          <w:rFonts w:ascii="Arial" w:eastAsia="Times New Roman" w:hAnsi="Arial" w:cs="Arial"/>
          <w:kern w:val="0"/>
          <w:lang w:eastAsia="es-CL"/>
          <w14:ligatures w14:val="none"/>
        </w:rPr>
        <w:t xml:space="preserve"> Nace la necesidad geopolítica de establecer "estaciones carboneras" alrededor del mundo. Un buque sin carbón era un buque inerte. El proceso de </w:t>
      </w:r>
      <w:r w:rsidRPr="007D0D66">
        <w:rPr>
          <w:rFonts w:ascii="Arial" w:eastAsia="Times New Roman" w:hAnsi="Arial" w:cs="Arial"/>
          <w:i/>
          <w:iCs/>
          <w:kern w:val="0"/>
          <w:lang w:eastAsia="es-CL"/>
          <w14:ligatures w14:val="none"/>
        </w:rPr>
        <w:t>coaling</w:t>
      </w:r>
      <w:r w:rsidRPr="007D0D66">
        <w:rPr>
          <w:rFonts w:ascii="Arial" w:eastAsia="Times New Roman" w:hAnsi="Arial" w:cs="Arial"/>
          <w:kern w:val="0"/>
          <w:lang w:eastAsia="es-CL"/>
          <w14:ligatures w14:val="none"/>
        </w:rPr>
        <w:t xml:space="preserve"> (carbonear) era exhaustivo, requería el esfuerzo físico de toda la dotación y ensuciaba profundamente la nave, afectando severamente el mantenimiento y la calidad de vida.</w:t>
      </w:r>
    </w:p>
    <w:p w14:paraId="672D121B" w14:textId="77777777" w:rsidR="003E2389" w:rsidRDefault="003E2389" w:rsidP="007D0D66">
      <w:pPr>
        <w:spacing w:after="100" w:afterAutospacing="1" w:line="240" w:lineRule="auto"/>
        <w:outlineLvl w:val="2"/>
        <w:rPr>
          <w:rFonts w:ascii="Arial" w:eastAsia="Times New Roman" w:hAnsi="Arial" w:cs="Arial"/>
          <w:b/>
          <w:bCs/>
          <w:kern w:val="0"/>
          <w:sz w:val="27"/>
          <w:szCs w:val="27"/>
          <w:lang w:eastAsia="es-CL"/>
          <w14:ligatures w14:val="none"/>
        </w:rPr>
      </w:pPr>
    </w:p>
    <w:p w14:paraId="291C432B" w14:textId="77777777" w:rsidR="003E2389" w:rsidRDefault="003E2389" w:rsidP="007D0D66">
      <w:pPr>
        <w:spacing w:after="100" w:afterAutospacing="1" w:line="240" w:lineRule="auto"/>
        <w:outlineLvl w:val="2"/>
        <w:rPr>
          <w:rFonts w:ascii="Arial" w:eastAsia="Times New Roman" w:hAnsi="Arial" w:cs="Arial"/>
          <w:b/>
          <w:bCs/>
          <w:kern w:val="0"/>
          <w:sz w:val="27"/>
          <w:szCs w:val="27"/>
          <w:lang w:eastAsia="es-CL"/>
          <w14:ligatures w14:val="none"/>
        </w:rPr>
      </w:pPr>
    </w:p>
    <w:p w14:paraId="6CF37CAE" w14:textId="77777777" w:rsidR="003E2389" w:rsidRDefault="003E2389" w:rsidP="007D0D66">
      <w:pPr>
        <w:spacing w:after="100" w:afterAutospacing="1" w:line="240" w:lineRule="auto"/>
        <w:outlineLvl w:val="2"/>
        <w:rPr>
          <w:rFonts w:ascii="Arial" w:eastAsia="Times New Roman" w:hAnsi="Arial" w:cs="Arial"/>
          <w:b/>
          <w:bCs/>
          <w:kern w:val="0"/>
          <w:sz w:val="27"/>
          <w:szCs w:val="27"/>
          <w:lang w:eastAsia="es-CL"/>
          <w14:ligatures w14:val="none"/>
        </w:rPr>
      </w:pPr>
    </w:p>
    <w:p w14:paraId="7990799A" w14:textId="78741147" w:rsidR="007D0D66" w:rsidRP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r w:rsidRPr="007D0D66">
        <w:rPr>
          <w:rFonts w:ascii="Arial" w:eastAsia="Times New Roman" w:hAnsi="Arial" w:cs="Arial"/>
          <w:b/>
          <w:bCs/>
          <w:kern w:val="0"/>
          <w:sz w:val="27"/>
          <w:szCs w:val="27"/>
          <w:lang w:eastAsia="es-CL"/>
          <w14:ligatures w14:val="none"/>
        </w:rPr>
        <w:lastRenderedPageBreak/>
        <w:t>Buques acorazados, petróleo y turbinas</w:t>
      </w:r>
    </w:p>
    <w:p w14:paraId="369602EE"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A principios del siglo XX, la transición del carbón al petróleo (combustibles líquidos) y la invención de la turbina de vapor (y posteriormente los motores diésel) revolucionaron nuevamente la logística.</w:t>
      </w:r>
    </w:p>
    <w:p w14:paraId="33FB3336" w14:textId="77777777" w:rsidR="007D0D66" w:rsidRPr="007D0D66" w:rsidRDefault="007D0D66" w:rsidP="007D0D66">
      <w:pPr>
        <w:numPr>
          <w:ilvl w:val="0"/>
          <w:numId w:val="4"/>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Repuestos y consumos:</w:t>
      </w:r>
      <w:r w:rsidRPr="007D0D66">
        <w:rPr>
          <w:rFonts w:ascii="Arial" w:eastAsia="Times New Roman" w:hAnsi="Arial" w:cs="Arial"/>
          <w:kern w:val="0"/>
          <w:lang w:eastAsia="es-CL"/>
          <w14:ligatures w14:val="none"/>
        </w:rPr>
        <w:t xml:space="preserve"> La maquinaria se volvió más precisa. Aparecieron los sistemas eléctricos a bordo, demandando repuestos como cableado, generadores, fusibles y componentes de artillería electromecánica de largo alcance.</w:t>
      </w:r>
    </w:p>
    <w:p w14:paraId="46E874C9" w14:textId="77777777" w:rsidR="007D0D66" w:rsidRPr="007D0D66" w:rsidRDefault="007D0D66" w:rsidP="007D0D66">
      <w:pPr>
        <w:numPr>
          <w:ilvl w:val="0"/>
          <w:numId w:val="4"/>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Cadena de abastecimiento:</w:t>
      </w:r>
      <w:r w:rsidRPr="007D0D66">
        <w:rPr>
          <w:rFonts w:ascii="Arial" w:eastAsia="Times New Roman" w:hAnsi="Arial" w:cs="Arial"/>
          <w:kern w:val="0"/>
          <w:lang w:eastAsia="es-CL"/>
          <w14:ligatures w14:val="none"/>
        </w:rPr>
        <w:t xml:space="preserve"> El petróleo permitió el desarrollo del </w:t>
      </w:r>
      <w:r w:rsidRPr="007D0D66">
        <w:rPr>
          <w:rFonts w:ascii="Arial" w:eastAsia="Times New Roman" w:hAnsi="Arial" w:cs="Arial"/>
          <w:b/>
          <w:bCs/>
          <w:kern w:val="0"/>
          <w:lang w:eastAsia="es-CL"/>
          <w14:ligatures w14:val="none"/>
        </w:rPr>
        <w:t>reabastecimiento en la mar (RAS)</w:t>
      </w:r>
      <w:r w:rsidRPr="007D0D66">
        <w:rPr>
          <w:rFonts w:ascii="Arial" w:eastAsia="Times New Roman" w:hAnsi="Arial" w:cs="Arial"/>
          <w:kern w:val="0"/>
          <w:lang w:eastAsia="es-CL"/>
          <w14:ligatures w14:val="none"/>
        </w:rPr>
        <w:t>. Los buques ya no tenían que recalar en un puerto para cargar combustible, lo que multiplicó exponencialmente su permanencia en el teatro de operaciones.</w:t>
      </w:r>
    </w:p>
    <w:p w14:paraId="5ED51883" w14:textId="41ACE54A" w:rsidR="007D0D66" w:rsidRP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r w:rsidRPr="007D0D66">
        <w:rPr>
          <w:rFonts w:ascii="Arial" w:eastAsia="Times New Roman" w:hAnsi="Arial" w:cs="Arial"/>
          <w:b/>
          <w:bCs/>
          <w:kern w:val="0"/>
          <w:sz w:val="27"/>
          <w:szCs w:val="27"/>
          <w:lang w:eastAsia="es-CL"/>
          <w14:ligatures w14:val="none"/>
        </w:rPr>
        <w:t>Era moderna: Electrónica, aviación naval y propulsión nuclear</w:t>
      </w:r>
    </w:p>
    <w:p w14:paraId="301A3D19"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Desde la Segunda Guerra Mundial hasta la actualidad, unidades como portaaviones, submarinos y fragatas misileras han convertido a los buques en ciudades flotantes digitalizadas.</w:t>
      </w:r>
    </w:p>
    <w:p w14:paraId="79A6A3F2" w14:textId="77777777" w:rsidR="007D0D66" w:rsidRPr="007D0D66" w:rsidRDefault="007D0D66" w:rsidP="007D0D66">
      <w:pPr>
        <w:numPr>
          <w:ilvl w:val="0"/>
          <w:numId w:val="5"/>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Repuestos y consumos:</w:t>
      </w:r>
      <w:r w:rsidRPr="007D0D66">
        <w:rPr>
          <w:rFonts w:ascii="Arial" w:eastAsia="Times New Roman" w:hAnsi="Arial" w:cs="Arial"/>
          <w:kern w:val="0"/>
          <w:lang w:eastAsia="es-CL"/>
          <w14:ligatures w14:val="none"/>
        </w:rPr>
        <w:t xml:space="preserve"> La demanda pasó de lo mecánico a lo electrónico. Placas de circuitos impresos, microchips, sensores de radar/sonar y repuestos de misilería son críticos. En portaaviones, el combustible de aviación (JP-5) y los repuestos aeronáuticos dominan la cadena. En el caso de la energía nuclear, el combustible se carga por décadas, trasladando el peso logístico hacia el mantenimiento de alta especialización y la seguridad radiológica.</w:t>
      </w:r>
    </w:p>
    <w:p w14:paraId="08EC8024" w14:textId="12AA381B" w:rsidR="007D0D66" w:rsidRPr="007D0D66" w:rsidRDefault="007D0D66" w:rsidP="007D0D66">
      <w:pPr>
        <w:numPr>
          <w:ilvl w:val="0"/>
          <w:numId w:val="5"/>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Mantenimiento:</w:t>
      </w:r>
      <w:r w:rsidRPr="007D0D66">
        <w:rPr>
          <w:rFonts w:ascii="Arial" w:eastAsia="Times New Roman" w:hAnsi="Arial" w:cs="Arial"/>
          <w:kern w:val="0"/>
          <w:lang w:eastAsia="es-CL"/>
          <w14:ligatures w14:val="none"/>
        </w:rPr>
        <w:t xml:space="preserve"> Ya no basta con el mecánico de a bordo; se requiere soporte técnico especializado (a menudo civil o de los fabricantes) y redes informáticas para la trazabilidad de los repuestos (ERP).</w:t>
      </w:r>
    </w:p>
    <w:p w14:paraId="1BBE8E2E"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42C59E27"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6D1B4A7F"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3D97165E"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46731C24"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5442BFDD" w14:textId="77777777" w:rsidR="003E2389" w:rsidRDefault="003E2389" w:rsidP="007D0D66">
      <w:pPr>
        <w:spacing w:after="100" w:afterAutospacing="1" w:line="240" w:lineRule="auto"/>
        <w:outlineLvl w:val="1"/>
        <w:rPr>
          <w:rFonts w:ascii="Arial" w:eastAsia="Times New Roman" w:hAnsi="Arial" w:cs="Arial"/>
          <w:b/>
          <w:bCs/>
          <w:kern w:val="0"/>
          <w:sz w:val="36"/>
          <w:szCs w:val="36"/>
          <w:lang w:eastAsia="es-CL"/>
          <w14:ligatures w14:val="none"/>
        </w:rPr>
      </w:pPr>
    </w:p>
    <w:p w14:paraId="73FC970D" w14:textId="490B5EDA" w:rsidR="007D0D66" w:rsidRPr="007D0D66" w:rsidRDefault="007D0D66" w:rsidP="007D0D66">
      <w:pPr>
        <w:spacing w:after="100" w:afterAutospacing="1" w:line="240" w:lineRule="auto"/>
        <w:outlineLvl w:val="1"/>
        <w:rPr>
          <w:rFonts w:ascii="Arial" w:eastAsia="Times New Roman" w:hAnsi="Arial" w:cs="Arial"/>
          <w:b/>
          <w:bCs/>
          <w:kern w:val="0"/>
          <w:sz w:val="36"/>
          <w:szCs w:val="36"/>
          <w:lang w:eastAsia="es-CL"/>
          <w14:ligatures w14:val="none"/>
        </w:rPr>
      </w:pPr>
      <w:r w:rsidRPr="007D0D66">
        <w:rPr>
          <w:rFonts w:ascii="Arial" w:eastAsia="Times New Roman" w:hAnsi="Arial" w:cs="Arial"/>
          <w:b/>
          <w:bCs/>
          <w:kern w:val="0"/>
          <w:sz w:val="36"/>
          <w:szCs w:val="36"/>
          <w:lang w:eastAsia="es-CL"/>
          <w14:ligatures w14:val="none"/>
        </w:rPr>
        <w:lastRenderedPageBreak/>
        <w:t>Bienestar y habitabilidad de la dotación</w:t>
      </w:r>
    </w:p>
    <w:p w14:paraId="3C3BD3D8"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La tecnología no solo cambió las máquinas, sino también la vida de quienes las operan. En la época de la vela, el hacinamiento en coys (hamacas), la mala ventilación y las dietas deficientes minaban la moral y la salud física.</w:t>
      </w:r>
    </w:p>
    <w:p w14:paraId="5E3AE4B3"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 xml:space="preserve">A medida que los buques adoptaron el vapor y la electricidad, fue posible implementar sistemas de ventilación mecánica, iluminación adecuada, plantas desalinizadoras para agua potable abundante y cámaras frigoríficas. Esto último transformó la alimentación en la mar, permitiendo dietas balanceadas con carnes y vegetales frescos durante meses. En las modernas fragatas y submarinos, la habitabilidad incluye camarotes ergonómicos, control de clima, gimnasios y conectividad satelital. Estas mejoras no son lujos, sino </w:t>
      </w:r>
      <w:r w:rsidRPr="007D0D66">
        <w:rPr>
          <w:rFonts w:ascii="Arial" w:eastAsia="Times New Roman" w:hAnsi="Arial" w:cs="Arial"/>
          <w:b/>
          <w:bCs/>
          <w:kern w:val="0"/>
          <w:lang w:eastAsia="es-CL"/>
          <w14:ligatures w14:val="none"/>
        </w:rPr>
        <w:t>consumos logísticos críticos de bienestar</w:t>
      </w:r>
      <w:r w:rsidRPr="007D0D66">
        <w:rPr>
          <w:rFonts w:ascii="Arial" w:eastAsia="Times New Roman" w:hAnsi="Arial" w:cs="Arial"/>
          <w:kern w:val="0"/>
          <w:lang w:eastAsia="es-CL"/>
          <w14:ligatures w14:val="none"/>
        </w:rPr>
        <w:t xml:space="preserve">, diseñados para combatir la fatiga psicológica y mantener el </w:t>
      </w:r>
      <w:r w:rsidRPr="007D0D66">
        <w:rPr>
          <w:rFonts w:ascii="Arial" w:eastAsia="Times New Roman" w:hAnsi="Arial" w:cs="Arial"/>
          <w:i/>
          <w:iCs/>
          <w:kern w:val="0"/>
          <w:lang w:eastAsia="es-CL"/>
          <w14:ligatures w14:val="none"/>
        </w:rPr>
        <w:t>ethos</w:t>
      </w:r>
      <w:r w:rsidRPr="007D0D66">
        <w:rPr>
          <w:rFonts w:ascii="Arial" w:eastAsia="Times New Roman" w:hAnsi="Arial" w:cs="Arial"/>
          <w:kern w:val="0"/>
          <w:lang w:eastAsia="es-CL"/>
          <w14:ligatures w14:val="none"/>
        </w:rPr>
        <w:t xml:space="preserve"> naval durante despliegues prolongados.</w:t>
      </w:r>
    </w:p>
    <w:p w14:paraId="1464A210" w14:textId="7CD99053" w:rsidR="007D0D66" w:rsidRPr="007D0D66" w:rsidRDefault="007D0D66" w:rsidP="007D0D66">
      <w:pPr>
        <w:spacing w:after="100" w:afterAutospacing="1" w:line="240" w:lineRule="auto"/>
        <w:outlineLvl w:val="1"/>
        <w:rPr>
          <w:rFonts w:ascii="Arial" w:eastAsia="Times New Roman" w:hAnsi="Arial" w:cs="Arial"/>
          <w:b/>
          <w:bCs/>
          <w:kern w:val="0"/>
          <w:sz w:val="36"/>
          <w:szCs w:val="36"/>
          <w:lang w:eastAsia="es-CL"/>
          <w14:ligatures w14:val="none"/>
        </w:rPr>
      </w:pPr>
      <w:r w:rsidRPr="007D0D66">
        <w:rPr>
          <w:rFonts w:ascii="Arial" w:eastAsia="Times New Roman" w:hAnsi="Arial" w:cs="Arial"/>
          <w:b/>
          <w:bCs/>
          <w:kern w:val="0"/>
          <w:sz w:val="36"/>
          <w:szCs w:val="36"/>
          <w:lang w:eastAsia="es-CL"/>
          <w14:ligatures w14:val="none"/>
        </w:rPr>
        <w:t>El rol del Oficial de Abastecimiento en la flota moderna</w:t>
      </w:r>
    </w:p>
    <w:p w14:paraId="73A9FD07"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El Oficial de Abastecimiento ha evolucionado de ser el "contador" o guardián de las raciones, a convertirse en un gerente logístico y financiero de alta complejidad. Sus responsabilidades abarcan dos dimensiones inseparables:</w:t>
      </w:r>
    </w:p>
    <w:p w14:paraId="5B5CDEBE" w14:textId="77777777" w:rsidR="007D0D66" w:rsidRPr="007D0D66" w:rsidRDefault="007D0D66" w:rsidP="007D0D66">
      <w:pPr>
        <w:numPr>
          <w:ilvl w:val="0"/>
          <w:numId w:val="6"/>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Continuidad Operativa:</w:t>
      </w:r>
      <w:r w:rsidRPr="007D0D66">
        <w:rPr>
          <w:rFonts w:ascii="Arial" w:eastAsia="Times New Roman" w:hAnsi="Arial" w:cs="Arial"/>
          <w:kern w:val="0"/>
          <w:lang w:eastAsia="es-CL"/>
          <w14:ligatures w14:val="none"/>
        </w:rPr>
        <w:t xml:space="preserve"> Es responsable de prever, adquirir y administrar los repuestos críticos y el combustible para que los sistemas de armas, propulsión y sensores no fallen. Una pieza faltante en un radar puede dejar "ciego" a un buque moderno, neutralizando su capacidad de combate.</w:t>
      </w:r>
    </w:p>
    <w:p w14:paraId="14D9F9C4" w14:textId="77777777" w:rsidR="007D0D66" w:rsidRPr="007D0D66" w:rsidRDefault="007D0D66" w:rsidP="007D0D66">
      <w:pPr>
        <w:numPr>
          <w:ilvl w:val="0"/>
          <w:numId w:val="6"/>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Calidad de Vida:</w:t>
      </w:r>
      <w:r w:rsidRPr="007D0D66">
        <w:rPr>
          <w:rFonts w:ascii="Arial" w:eastAsia="Times New Roman" w:hAnsi="Arial" w:cs="Arial"/>
          <w:kern w:val="0"/>
          <w:lang w:eastAsia="es-CL"/>
          <w14:ligatures w14:val="none"/>
        </w:rPr>
        <w:t xml:space="preserve"> Gestiona la alimentación, el vestuario, el pago de remuneraciones y los servicios a bordo. Un menú nutritivo y un entorno limpio son el núcleo de la cohesión y disciplina de la dotación.</w:t>
      </w:r>
    </w:p>
    <w:p w14:paraId="094F8669"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Ética y Seguridad:</w:t>
      </w:r>
      <w:r w:rsidRPr="007D0D66">
        <w:rPr>
          <w:rFonts w:ascii="Arial" w:eastAsia="Times New Roman" w:hAnsi="Arial" w:cs="Arial"/>
          <w:kern w:val="0"/>
          <w:lang w:eastAsia="es-CL"/>
          <w14:ligatures w14:val="none"/>
        </w:rPr>
        <w:t xml:space="preserve"> Al administrar presupuestos millonarios y recursos escasos, el Oficial de Abastecimiento debe actuar con probidad absoluta. La toma de decisiones bajo presión implica priorizar presupuestos sin comprometer la seguridad física de la tripulación ni la integridad técnica de los sistemas del buque (Eccles, 1959).</w:t>
      </w:r>
    </w:p>
    <w:p w14:paraId="62AC76B4"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CCCC369"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4EB5C4D7" w14:textId="77777777" w:rsidR="003E2389" w:rsidRDefault="003E2389" w:rsidP="007D0D66">
      <w:pPr>
        <w:spacing w:after="100" w:afterAutospacing="1" w:line="240" w:lineRule="auto"/>
        <w:outlineLvl w:val="0"/>
        <w:rPr>
          <w:rFonts w:ascii="Arial" w:eastAsia="Times New Roman" w:hAnsi="Arial" w:cs="Arial"/>
          <w:kern w:val="36"/>
          <w:sz w:val="48"/>
          <w:szCs w:val="48"/>
          <w:lang w:eastAsia="es-CL"/>
          <w14:ligatures w14:val="none"/>
        </w:rPr>
      </w:pPr>
    </w:p>
    <w:p w14:paraId="4AE41215" w14:textId="4182B710" w:rsidR="007D0D66" w:rsidRPr="003E2389" w:rsidRDefault="007D0D66" w:rsidP="007D0D66">
      <w:pPr>
        <w:spacing w:after="100" w:afterAutospacing="1" w:line="240" w:lineRule="auto"/>
        <w:outlineLvl w:val="0"/>
        <w:rPr>
          <w:rFonts w:ascii="Arial" w:eastAsia="Times New Roman" w:hAnsi="Arial" w:cs="Arial"/>
          <w:kern w:val="36"/>
          <w:sz w:val="48"/>
          <w:szCs w:val="48"/>
          <w:lang w:eastAsia="es-CL"/>
          <w14:ligatures w14:val="none"/>
        </w:rPr>
      </w:pPr>
      <w:r w:rsidRPr="003E2389">
        <w:rPr>
          <w:rFonts w:ascii="Arial" w:eastAsia="Times New Roman" w:hAnsi="Arial" w:cs="Arial"/>
          <w:kern w:val="36"/>
          <w:sz w:val="48"/>
          <w:szCs w:val="48"/>
          <w:lang w:eastAsia="es-CL"/>
          <w14:ligatures w14:val="none"/>
        </w:rPr>
        <w:lastRenderedPageBreak/>
        <w:t>Conclusiones</w:t>
      </w:r>
    </w:p>
    <w:p w14:paraId="2A96825A"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La investigación demuestra que la evolución naval es un proceso impulsado por la tecnología, pero anclado ineludiblemente a la logística. Mientras que un navío del siglo XVIII requería madera, lona y salazones, una fragata del siglo XXI depende de una cadena de suministro global que le provee circuitos electrónicos, turbosina y software actualizado.</w:t>
      </w:r>
    </w:p>
    <w:p w14:paraId="6B137E8D"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Se concluye que el impacto logístico de la tecnología tiene un doble efecto: por un lado, aumenta exponencialmente la complejidad técnica de los repuestos y la gestión de la cadena de suministro; por otro, eleva los estándares de habitabilidad y bienestar requeridos para operar sistemas complejos. En este ecosistema, la figura del Oficial de Abastecimiento se consagra como el puente entre la máquina y el ser humano, garantizando que el buque esté técnicamente listo para combatir y que su dotación posea la moral y la salud para vencer. La logística, en definitiva, no solo sostiene la operación técnica, sino que es la columna vertebral del poder naval.</w:t>
      </w:r>
    </w:p>
    <w:p w14:paraId="1BFEA566"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4D58527"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0F1D6C4B"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B56469F"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5A42439E"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C77BE17"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A70496D"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0849AF0" w14:textId="77777777" w:rsidR="003E2389" w:rsidRDefault="003E2389"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852A61F" w14:textId="77777777" w:rsidR="003E2389" w:rsidRDefault="003E2389" w:rsidP="007D0D66">
      <w:pPr>
        <w:spacing w:after="100" w:afterAutospacing="1" w:line="240" w:lineRule="auto"/>
        <w:outlineLvl w:val="0"/>
        <w:rPr>
          <w:rFonts w:ascii="Arial" w:eastAsia="Times New Roman" w:hAnsi="Arial" w:cs="Arial"/>
          <w:kern w:val="36"/>
          <w:sz w:val="48"/>
          <w:szCs w:val="48"/>
          <w:lang w:eastAsia="es-CL"/>
          <w14:ligatures w14:val="none"/>
        </w:rPr>
      </w:pPr>
    </w:p>
    <w:p w14:paraId="65EAC87A" w14:textId="2E4D58C1" w:rsidR="007D0D66" w:rsidRPr="003E2389" w:rsidRDefault="007D0D66" w:rsidP="007D0D66">
      <w:pPr>
        <w:spacing w:after="100" w:afterAutospacing="1" w:line="240" w:lineRule="auto"/>
        <w:outlineLvl w:val="0"/>
        <w:rPr>
          <w:rFonts w:ascii="Arial" w:eastAsia="Times New Roman" w:hAnsi="Arial" w:cs="Arial"/>
          <w:kern w:val="36"/>
          <w:sz w:val="48"/>
          <w:szCs w:val="48"/>
          <w:lang w:eastAsia="es-CL"/>
          <w14:ligatures w14:val="none"/>
        </w:rPr>
      </w:pPr>
      <w:r w:rsidRPr="003E2389">
        <w:rPr>
          <w:rFonts w:ascii="Arial" w:eastAsia="Times New Roman" w:hAnsi="Arial" w:cs="Arial"/>
          <w:kern w:val="36"/>
          <w:sz w:val="48"/>
          <w:szCs w:val="48"/>
          <w:lang w:eastAsia="es-CL"/>
          <w14:ligatures w14:val="none"/>
        </w:rPr>
        <w:lastRenderedPageBreak/>
        <w:t>Bibliografía</w:t>
      </w:r>
    </w:p>
    <w:p w14:paraId="7B19E7D4" w14:textId="77777777" w:rsidR="007D0D66" w:rsidRPr="007D0D66" w:rsidRDefault="007D0D66" w:rsidP="007D0D66">
      <w:pPr>
        <w:numPr>
          <w:ilvl w:val="0"/>
          <w:numId w:val="7"/>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val="en-US" w:eastAsia="es-CL"/>
          <w14:ligatures w14:val="none"/>
        </w:rPr>
        <w:t xml:space="preserve">Eccles, H. E. (1959). </w:t>
      </w:r>
      <w:r w:rsidRPr="007D0D66">
        <w:rPr>
          <w:rFonts w:ascii="Arial" w:eastAsia="Times New Roman" w:hAnsi="Arial" w:cs="Arial"/>
          <w:i/>
          <w:iCs/>
          <w:kern w:val="0"/>
          <w:lang w:val="en-US" w:eastAsia="es-CL"/>
          <w14:ligatures w14:val="none"/>
        </w:rPr>
        <w:t>Logistics in the National Defense</w:t>
      </w:r>
      <w:r w:rsidRPr="007D0D66">
        <w:rPr>
          <w:rFonts w:ascii="Arial" w:eastAsia="Times New Roman" w:hAnsi="Arial" w:cs="Arial"/>
          <w:kern w:val="0"/>
          <w:lang w:val="en-US" w:eastAsia="es-CL"/>
          <w14:ligatures w14:val="none"/>
        </w:rPr>
        <w:t xml:space="preserve">. </w:t>
      </w:r>
      <w:r w:rsidRPr="007D0D66">
        <w:rPr>
          <w:rFonts w:ascii="Arial" w:eastAsia="Times New Roman" w:hAnsi="Arial" w:cs="Arial"/>
          <w:kern w:val="0"/>
          <w:lang w:eastAsia="es-CL"/>
          <w14:ligatures w14:val="none"/>
        </w:rPr>
        <w:t>The Stackpole Company.</w:t>
      </w:r>
    </w:p>
    <w:p w14:paraId="2BDFA55B" w14:textId="77777777" w:rsidR="007D0D66" w:rsidRPr="007D0D66" w:rsidRDefault="007D0D66" w:rsidP="007D0D66">
      <w:pPr>
        <w:numPr>
          <w:ilvl w:val="0"/>
          <w:numId w:val="7"/>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val="en-US" w:eastAsia="es-CL"/>
          <w14:ligatures w14:val="none"/>
        </w:rPr>
        <w:t xml:space="preserve">Hughes, W. P., &amp; Girrier, R. P. (2018). </w:t>
      </w:r>
      <w:r w:rsidRPr="007D0D66">
        <w:rPr>
          <w:rFonts w:ascii="Arial" w:eastAsia="Times New Roman" w:hAnsi="Arial" w:cs="Arial"/>
          <w:i/>
          <w:iCs/>
          <w:kern w:val="0"/>
          <w:lang w:val="en-US" w:eastAsia="es-CL"/>
          <w14:ligatures w14:val="none"/>
        </w:rPr>
        <w:t>Fleet Tactics and Naval Operations</w:t>
      </w:r>
      <w:r w:rsidRPr="007D0D66">
        <w:rPr>
          <w:rFonts w:ascii="Arial" w:eastAsia="Times New Roman" w:hAnsi="Arial" w:cs="Arial"/>
          <w:kern w:val="0"/>
          <w:lang w:val="en-US" w:eastAsia="es-CL"/>
          <w14:ligatures w14:val="none"/>
        </w:rPr>
        <w:t xml:space="preserve"> (3rd ed.). </w:t>
      </w:r>
      <w:r w:rsidRPr="007D0D66">
        <w:rPr>
          <w:rFonts w:ascii="Arial" w:eastAsia="Times New Roman" w:hAnsi="Arial" w:cs="Arial"/>
          <w:kern w:val="0"/>
          <w:lang w:eastAsia="es-CL"/>
          <w14:ligatures w14:val="none"/>
        </w:rPr>
        <w:t>Naval Institute Press.</w:t>
      </w:r>
    </w:p>
    <w:p w14:paraId="3DD758EB" w14:textId="77777777" w:rsidR="007D0D66" w:rsidRPr="007D0D66" w:rsidRDefault="007D0D66" w:rsidP="007D0D66">
      <w:pPr>
        <w:numPr>
          <w:ilvl w:val="0"/>
          <w:numId w:val="7"/>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val="en-US" w:eastAsia="es-CL"/>
          <w14:ligatures w14:val="none"/>
        </w:rPr>
        <w:t xml:space="preserve">Mahan, A. T. (1890). </w:t>
      </w:r>
      <w:r w:rsidRPr="007D0D66">
        <w:rPr>
          <w:rFonts w:ascii="Arial" w:eastAsia="Times New Roman" w:hAnsi="Arial" w:cs="Arial"/>
          <w:i/>
          <w:iCs/>
          <w:kern w:val="0"/>
          <w:lang w:val="en-US" w:eastAsia="es-CL"/>
          <w14:ligatures w14:val="none"/>
        </w:rPr>
        <w:t>The Influence of Sea Power Upon History, 1660-1783</w:t>
      </w:r>
      <w:r w:rsidRPr="007D0D66">
        <w:rPr>
          <w:rFonts w:ascii="Arial" w:eastAsia="Times New Roman" w:hAnsi="Arial" w:cs="Arial"/>
          <w:kern w:val="0"/>
          <w:lang w:val="en-US" w:eastAsia="es-CL"/>
          <w14:ligatures w14:val="none"/>
        </w:rPr>
        <w:t xml:space="preserve">. </w:t>
      </w:r>
      <w:r w:rsidRPr="007D0D66">
        <w:rPr>
          <w:rFonts w:ascii="Arial" w:eastAsia="Times New Roman" w:hAnsi="Arial" w:cs="Arial"/>
          <w:kern w:val="0"/>
          <w:lang w:eastAsia="es-CL"/>
          <w14:ligatures w14:val="none"/>
        </w:rPr>
        <w:t>Little, Brown and Company.</w:t>
      </w:r>
    </w:p>
    <w:p w14:paraId="5BDFC5CE" w14:textId="0E654B0D" w:rsidR="007D0D66" w:rsidRPr="003E2389" w:rsidRDefault="007D0D66" w:rsidP="003E2389">
      <w:pPr>
        <w:numPr>
          <w:ilvl w:val="0"/>
          <w:numId w:val="7"/>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val="en-US" w:eastAsia="es-CL"/>
          <w14:ligatures w14:val="none"/>
        </w:rPr>
        <w:t xml:space="preserve">Till, G. (2013). </w:t>
      </w:r>
      <w:r w:rsidRPr="007D0D66">
        <w:rPr>
          <w:rFonts w:ascii="Arial" w:eastAsia="Times New Roman" w:hAnsi="Arial" w:cs="Arial"/>
          <w:i/>
          <w:iCs/>
          <w:kern w:val="0"/>
          <w:lang w:val="en-US" w:eastAsia="es-CL"/>
          <w14:ligatures w14:val="none"/>
        </w:rPr>
        <w:t>Seapower: A Guide for the Twenty-First Century</w:t>
      </w:r>
      <w:r w:rsidRPr="007D0D66">
        <w:rPr>
          <w:rFonts w:ascii="Arial" w:eastAsia="Times New Roman" w:hAnsi="Arial" w:cs="Arial"/>
          <w:kern w:val="0"/>
          <w:lang w:val="en-US" w:eastAsia="es-CL"/>
          <w14:ligatures w14:val="none"/>
        </w:rPr>
        <w:t xml:space="preserve"> (3rd ed.). </w:t>
      </w:r>
      <w:r w:rsidRPr="007D0D66">
        <w:rPr>
          <w:rFonts w:ascii="Arial" w:eastAsia="Times New Roman" w:hAnsi="Arial" w:cs="Arial"/>
          <w:kern w:val="0"/>
          <w:lang w:eastAsia="es-CL"/>
          <w14:ligatures w14:val="none"/>
        </w:rPr>
        <w:t>Routledge.</w:t>
      </w:r>
    </w:p>
    <w:p w14:paraId="4A783823"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251465D3"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81C4170"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D928B0D"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3A137320"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51CBAC05"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09B49B7"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D1D2A59"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686CFB4"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853C599"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0C535C41" w14:textId="77777777" w:rsidR="003E2389" w:rsidRDefault="003E2389"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35EA707" w14:textId="77777777" w:rsid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p>
    <w:p w14:paraId="29846C5A" w14:textId="78433F20" w:rsidR="007D0D66" w:rsidRDefault="00AA7361" w:rsidP="007D0D66">
      <w:pPr>
        <w:spacing w:after="100" w:afterAutospacing="1" w:line="240" w:lineRule="auto"/>
        <w:outlineLvl w:val="2"/>
        <w:rPr>
          <w:rFonts w:ascii="Arial" w:eastAsia="Times New Roman" w:hAnsi="Arial" w:cs="Arial"/>
          <w:b/>
          <w:bCs/>
          <w:kern w:val="0"/>
          <w:sz w:val="27"/>
          <w:szCs w:val="27"/>
          <w:lang w:eastAsia="es-CL"/>
          <w14:ligatures w14:val="none"/>
        </w:rPr>
      </w:pPr>
      <w:r>
        <w:rPr>
          <w:rFonts w:ascii="Arial" w:eastAsia="Times New Roman" w:hAnsi="Arial" w:cs="Arial"/>
          <w:b/>
          <w:bCs/>
          <w:kern w:val="0"/>
          <w:sz w:val="27"/>
          <w:szCs w:val="27"/>
          <w:lang w:eastAsia="es-CL"/>
          <w14:ligatures w14:val="none"/>
        </w:rPr>
        <w:lastRenderedPageBreak/>
        <w:t>ANEXOS</w:t>
      </w:r>
    </w:p>
    <w:p w14:paraId="6FA001ED" w14:textId="1223579D" w:rsidR="007D0D66" w:rsidRPr="007D0D66" w:rsidRDefault="007D0D66" w:rsidP="007D0D66">
      <w:pPr>
        <w:spacing w:after="100" w:afterAutospacing="1" w:line="240" w:lineRule="auto"/>
        <w:outlineLvl w:val="2"/>
        <w:rPr>
          <w:rFonts w:ascii="Arial" w:eastAsia="Times New Roman" w:hAnsi="Arial" w:cs="Arial"/>
          <w:b/>
          <w:bCs/>
          <w:kern w:val="0"/>
          <w:sz w:val="27"/>
          <w:szCs w:val="27"/>
          <w:lang w:eastAsia="es-CL"/>
          <w14:ligatures w14:val="none"/>
        </w:rPr>
      </w:pPr>
      <w:r w:rsidRPr="007D0D66">
        <w:rPr>
          <w:rFonts w:ascii="Arial" w:eastAsia="Times New Roman" w:hAnsi="Arial" w:cs="Arial"/>
          <w:b/>
          <w:bCs/>
          <w:kern w:val="0"/>
          <w:sz w:val="27"/>
          <w:szCs w:val="27"/>
          <w:lang w:eastAsia="es-CL"/>
          <w14:ligatures w14:val="none"/>
        </w:rPr>
        <w:t>Línea de Tiempo de Hitos Logísticos</w:t>
      </w:r>
    </w:p>
    <w:p w14:paraId="6876DE00"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Era de la Vela</w:t>
      </w:r>
    </w:p>
    <w:p w14:paraId="332F9E69"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Hasta mediados del s. XIX</w:t>
      </w:r>
    </w:p>
    <w:p w14:paraId="44DCF803"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Dependencia del viento. Autonomía dictada por la preservación del agua dulce y alimentos. Logística de subsistencia básica.</w:t>
      </w:r>
    </w:p>
    <w:p w14:paraId="6C236B12"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Transición al Vapor</w:t>
      </w:r>
    </w:p>
    <w:p w14:paraId="25CF8588"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Fines del s. XIX</w:t>
      </w:r>
    </w:p>
    <w:p w14:paraId="25426CC7"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Aparición de motores a carbón. Obligó a las potencias a establecer estaciones carboneras globales, cambiando la geopolítica naval.</w:t>
      </w:r>
    </w:p>
    <w:p w14:paraId="0053D4E1"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El Petróleo y los Acorazados</w:t>
      </w:r>
    </w:p>
    <w:p w14:paraId="2B1A7343"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Principios del s. XX</w:t>
      </w:r>
    </w:p>
    <w:p w14:paraId="30C49BAC"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Sustitución del carbón por combustibles líquidos. Nacimiento de los buques tanque y las maniobras de reabastecimiento en la mar (RAS).</w:t>
      </w:r>
    </w:p>
    <w:p w14:paraId="0194DE8B"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Electrónica y Energía Nuclear</w:t>
      </w:r>
    </w:p>
    <w:p w14:paraId="472A31CB" w14:textId="77777777" w:rsidR="007D0D66" w:rsidRPr="007D0D66" w:rsidRDefault="007D0D66" w:rsidP="007D0D66">
      <w:pPr>
        <w:spacing w:after="0"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Mediados del s. XX - Actualidad</w:t>
      </w:r>
    </w:p>
    <w:p w14:paraId="38C51489"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kern w:val="0"/>
          <w:lang w:eastAsia="es-CL"/>
          <w14:ligatures w14:val="none"/>
        </w:rPr>
        <w:t>Sistemas de combate digitales. Los requerimientos logísticos se centran en circuitos, calibración de precisión y bienestar avanzado para dotaciones altamente especializadas.</w:t>
      </w:r>
    </w:p>
    <w:p w14:paraId="4A964130"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63711A3"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C3728D2"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44B5669A"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457A3BAF"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12B3C4AF"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66221463" w14:textId="77777777" w:rsid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EC0697E" w14:textId="77777777" w:rsidR="003E2389" w:rsidRDefault="003E2389" w:rsidP="007D0D66">
      <w:pPr>
        <w:spacing w:after="100" w:afterAutospacing="1" w:line="240" w:lineRule="auto"/>
        <w:outlineLvl w:val="0"/>
        <w:rPr>
          <w:rFonts w:ascii="Arial" w:eastAsia="Times New Roman" w:hAnsi="Arial" w:cs="Arial"/>
          <w:b/>
          <w:bCs/>
          <w:kern w:val="36"/>
          <w:sz w:val="48"/>
          <w:szCs w:val="48"/>
          <w:lang w:eastAsia="es-CL"/>
          <w14:ligatures w14:val="none"/>
        </w:rPr>
      </w:pPr>
    </w:p>
    <w:p w14:paraId="7BB19E43" w14:textId="30BDDC7D" w:rsidR="007D0D66" w:rsidRPr="007D0D66" w:rsidRDefault="007D0D66" w:rsidP="007D0D66">
      <w:pPr>
        <w:spacing w:after="100" w:afterAutospacing="1" w:line="240" w:lineRule="auto"/>
        <w:outlineLvl w:val="0"/>
        <w:rPr>
          <w:rFonts w:ascii="Arial" w:eastAsia="Times New Roman" w:hAnsi="Arial" w:cs="Arial"/>
          <w:b/>
          <w:bCs/>
          <w:kern w:val="36"/>
          <w:sz w:val="48"/>
          <w:szCs w:val="48"/>
          <w:lang w:eastAsia="es-CL"/>
          <w14:ligatures w14:val="none"/>
        </w:rPr>
      </w:pPr>
      <w:r w:rsidRPr="007D0D66">
        <w:rPr>
          <w:rFonts w:ascii="Arial" w:eastAsia="Times New Roman" w:hAnsi="Arial" w:cs="Arial"/>
          <w:b/>
          <w:bCs/>
          <w:kern w:val="36"/>
          <w:sz w:val="48"/>
          <w:szCs w:val="48"/>
          <w:lang w:eastAsia="es-CL"/>
          <w14:ligatures w14:val="none"/>
        </w:rPr>
        <w:t>Herramientas utilizadas</w:t>
      </w:r>
    </w:p>
    <w:p w14:paraId="68117004" w14:textId="77777777" w:rsidR="007D0D66" w:rsidRPr="007D0D66" w:rsidRDefault="007D0D66" w:rsidP="007D0D66">
      <w:p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i/>
          <w:iCs/>
          <w:kern w:val="0"/>
          <w:lang w:eastAsia="es-CL"/>
          <w14:ligatures w14:val="none"/>
        </w:rPr>
        <w:t>(Instrucción para el alumno: Copia, pega y edita este texto con tu propia experiencia según cómo hayas modificado este borrador).</w:t>
      </w:r>
    </w:p>
    <w:p w14:paraId="48E2539F" w14:textId="3E9C2F3F" w:rsidR="003E2389" w:rsidRPr="003E2389" w:rsidRDefault="007D0D66" w:rsidP="003E2389">
      <w:pPr>
        <w:numPr>
          <w:ilvl w:val="0"/>
          <w:numId w:val="8"/>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Herramienta utilizada:</w:t>
      </w:r>
      <w:r w:rsidRPr="007D0D66">
        <w:rPr>
          <w:rFonts w:ascii="Arial" w:eastAsia="Times New Roman" w:hAnsi="Arial" w:cs="Arial"/>
          <w:kern w:val="0"/>
          <w:lang w:eastAsia="es-CL"/>
          <w14:ligatures w14:val="none"/>
        </w:rPr>
        <w:t xml:space="preserve"> Gemini Advanced.</w:t>
      </w:r>
    </w:p>
    <w:p w14:paraId="1664A3C7" w14:textId="77777777" w:rsidR="007D0D66" w:rsidRPr="007D0D66" w:rsidRDefault="007D0D66" w:rsidP="007D0D66">
      <w:pPr>
        <w:numPr>
          <w:ilvl w:val="0"/>
          <w:numId w:val="8"/>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Propósito del uso:</w:t>
      </w:r>
      <w:r w:rsidRPr="007D0D66">
        <w:rPr>
          <w:rFonts w:ascii="Arial" w:eastAsia="Times New Roman" w:hAnsi="Arial" w:cs="Arial"/>
          <w:kern w:val="0"/>
          <w:lang w:eastAsia="es-CL"/>
          <w14:ligatures w14:val="none"/>
        </w:rPr>
        <w:t xml:space="preserve"> Lluvia de ideas, estructuración inicial del documento, redacción académica y síntesis histórica de las etapas navales.</w:t>
      </w:r>
    </w:p>
    <w:p w14:paraId="2DEBD4E6" w14:textId="77777777" w:rsidR="007D0D66" w:rsidRPr="007D0D66" w:rsidRDefault="007D0D66" w:rsidP="007D0D66">
      <w:pPr>
        <w:numPr>
          <w:ilvl w:val="0"/>
          <w:numId w:val="8"/>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Cambios realizados por usted:</w:t>
      </w:r>
      <w:r w:rsidRPr="007D0D66">
        <w:rPr>
          <w:rFonts w:ascii="Arial" w:eastAsia="Times New Roman" w:hAnsi="Arial" w:cs="Arial"/>
          <w:kern w:val="0"/>
          <w:lang w:eastAsia="es-CL"/>
          <w14:ligatures w14:val="none"/>
        </w:rPr>
        <w:t xml:space="preserve"> </w:t>
      </w:r>
      <w:r w:rsidRPr="007D0D66">
        <w:rPr>
          <w:rFonts w:ascii="Arial" w:eastAsia="Times New Roman" w:hAnsi="Arial" w:cs="Arial"/>
          <w:i/>
          <w:iCs/>
          <w:kern w:val="0"/>
          <w:lang w:eastAsia="es-CL"/>
          <w14:ligatures w14:val="none"/>
        </w:rPr>
        <w:t>[Ejemplo que debes adaptar: "Se revisó el documento generado por la IA, se ajustó el formato al estándar de la escuela, se agregaron comentarios personales sobre tácticas locales y se validó la bibliografía histórica. Además, redacté personalmente la sección del rol del Oficial de Abastecimiento basándome en los apuntes de la clase".]</w:t>
      </w:r>
    </w:p>
    <w:p w14:paraId="4B53476B" w14:textId="24B7115F" w:rsidR="007D0D66" w:rsidRPr="007D0D66" w:rsidRDefault="007D0D66" w:rsidP="007D0D66">
      <w:pPr>
        <w:numPr>
          <w:ilvl w:val="0"/>
          <w:numId w:val="8"/>
        </w:numPr>
        <w:spacing w:after="100" w:afterAutospacing="1" w:line="240" w:lineRule="auto"/>
        <w:rPr>
          <w:rFonts w:ascii="Arial" w:eastAsia="Times New Roman" w:hAnsi="Arial" w:cs="Arial"/>
          <w:kern w:val="0"/>
          <w:lang w:eastAsia="es-CL"/>
          <w14:ligatures w14:val="none"/>
        </w:rPr>
      </w:pPr>
      <w:r w:rsidRPr="007D0D66">
        <w:rPr>
          <w:rFonts w:ascii="Arial" w:eastAsia="Times New Roman" w:hAnsi="Arial" w:cs="Arial"/>
          <w:b/>
          <w:bCs/>
          <w:kern w:val="0"/>
          <w:lang w:eastAsia="es-CL"/>
          <w14:ligatures w14:val="none"/>
        </w:rPr>
        <w:t>Parte del trabajo en que se utilizó IA:</w:t>
      </w:r>
      <w:r w:rsidRPr="007D0D66">
        <w:rPr>
          <w:rFonts w:ascii="Arial" w:eastAsia="Times New Roman" w:hAnsi="Arial" w:cs="Arial"/>
          <w:kern w:val="0"/>
          <w:lang w:eastAsia="es-CL"/>
          <w14:ligatures w14:val="none"/>
        </w:rPr>
        <w:t xml:space="preserve"> Se utilizó principalmente como base para el Índice, el marco histórico</w:t>
      </w:r>
      <w:r w:rsidR="0013588E">
        <w:rPr>
          <w:rFonts w:ascii="Arial" w:eastAsia="Times New Roman" w:hAnsi="Arial" w:cs="Arial"/>
          <w:kern w:val="0"/>
          <w:lang w:eastAsia="es-CL"/>
          <w14:ligatures w14:val="none"/>
        </w:rPr>
        <w:t xml:space="preserve">, </w:t>
      </w:r>
      <w:r w:rsidRPr="007D0D66">
        <w:rPr>
          <w:rFonts w:ascii="Arial" w:eastAsia="Times New Roman" w:hAnsi="Arial" w:cs="Arial"/>
          <w:kern w:val="0"/>
          <w:lang w:eastAsia="es-CL"/>
          <w14:ligatures w14:val="none"/>
        </w:rPr>
        <w:t>generación de la tabla comparativa y línea de tiempo en los Anexos</w:t>
      </w:r>
      <w:r w:rsidR="0013588E">
        <w:rPr>
          <w:rFonts w:ascii="Arial" w:eastAsia="Times New Roman" w:hAnsi="Arial" w:cs="Arial"/>
          <w:kern w:val="0"/>
          <w:lang w:eastAsia="es-CL"/>
          <w14:ligatures w14:val="none"/>
        </w:rPr>
        <w:t>. La introducción y conclusión no fueron elaboradas con IA</w:t>
      </w:r>
    </w:p>
    <w:p w14:paraId="7BDD737C" w14:textId="77777777" w:rsidR="007D0D66" w:rsidRDefault="007D0D66"/>
    <w:sectPr w:rsidR="007D0D6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D47"/>
    <w:multiLevelType w:val="multilevel"/>
    <w:tmpl w:val="DA5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E68D6"/>
    <w:multiLevelType w:val="multilevel"/>
    <w:tmpl w:val="3BF6D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85033"/>
    <w:multiLevelType w:val="multilevel"/>
    <w:tmpl w:val="D3DC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64DB0"/>
    <w:multiLevelType w:val="multilevel"/>
    <w:tmpl w:val="2202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E60957"/>
    <w:multiLevelType w:val="multilevel"/>
    <w:tmpl w:val="F6CA3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86021A"/>
    <w:multiLevelType w:val="multilevel"/>
    <w:tmpl w:val="A566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5776F9"/>
    <w:multiLevelType w:val="multilevel"/>
    <w:tmpl w:val="17267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1715E3"/>
    <w:multiLevelType w:val="multilevel"/>
    <w:tmpl w:val="D0D2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6841443">
    <w:abstractNumId w:val="4"/>
  </w:num>
  <w:num w:numId="2" w16cid:durableId="2031105885">
    <w:abstractNumId w:val="0"/>
  </w:num>
  <w:num w:numId="3" w16cid:durableId="1841041709">
    <w:abstractNumId w:val="3"/>
  </w:num>
  <w:num w:numId="4" w16cid:durableId="127863794">
    <w:abstractNumId w:val="2"/>
  </w:num>
  <w:num w:numId="5" w16cid:durableId="2081707944">
    <w:abstractNumId w:val="5"/>
  </w:num>
  <w:num w:numId="6" w16cid:durableId="1795127874">
    <w:abstractNumId w:val="1"/>
  </w:num>
  <w:num w:numId="7" w16cid:durableId="1709136109">
    <w:abstractNumId w:val="7"/>
  </w:num>
  <w:num w:numId="8" w16cid:durableId="4505120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D66"/>
    <w:rsid w:val="0013588E"/>
    <w:rsid w:val="001749DF"/>
    <w:rsid w:val="001C6DD6"/>
    <w:rsid w:val="00202351"/>
    <w:rsid w:val="002261EE"/>
    <w:rsid w:val="003664D8"/>
    <w:rsid w:val="003E2389"/>
    <w:rsid w:val="007D0D66"/>
    <w:rsid w:val="00AA7361"/>
    <w:rsid w:val="00B36EA9"/>
    <w:rsid w:val="00C432FF"/>
    <w:rsid w:val="00E50D9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65D0"/>
  <w15:chartTrackingRefBased/>
  <w15:docId w15:val="{93350A48-1DA3-4165-BFA1-25355C05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D0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D0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D0D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D0D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D0D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D0D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D0D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D0D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D0D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0D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D0D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D0D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D0D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D0D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D0D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0D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0D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0D66"/>
    <w:rPr>
      <w:rFonts w:eastAsiaTheme="majorEastAsia" w:cstheme="majorBidi"/>
      <w:color w:val="272727" w:themeColor="text1" w:themeTint="D8"/>
    </w:rPr>
  </w:style>
  <w:style w:type="paragraph" w:styleId="Ttulo">
    <w:name w:val="Title"/>
    <w:basedOn w:val="Normal"/>
    <w:next w:val="Normal"/>
    <w:link w:val="TtuloCar"/>
    <w:uiPriority w:val="10"/>
    <w:qFormat/>
    <w:rsid w:val="007D0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D0D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0D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D0D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0D66"/>
    <w:pPr>
      <w:spacing w:before="160"/>
      <w:jc w:val="center"/>
    </w:pPr>
    <w:rPr>
      <w:i/>
      <w:iCs/>
      <w:color w:val="404040" w:themeColor="text1" w:themeTint="BF"/>
    </w:rPr>
  </w:style>
  <w:style w:type="character" w:customStyle="1" w:styleId="CitaCar">
    <w:name w:val="Cita Car"/>
    <w:basedOn w:val="Fuentedeprrafopredeter"/>
    <w:link w:val="Cita"/>
    <w:uiPriority w:val="29"/>
    <w:rsid w:val="007D0D66"/>
    <w:rPr>
      <w:i/>
      <w:iCs/>
      <w:color w:val="404040" w:themeColor="text1" w:themeTint="BF"/>
    </w:rPr>
  </w:style>
  <w:style w:type="paragraph" w:styleId="Prrafodelista">
    <w:name w:val="List Paragraph"/>
    <w:basedOn w:val="Normal"/>
    <w:uiPriority w:val="34"/>
    <w:qFormat/>
    <w:rsid w:val="007D0D66"/>
    <w:pPr>
      <w:ind w:left="720"/>
      <w:contextualSpacing/>
    </w:pPr>
  </w:style>
  <w:style w:type="character" w:styleId="nfasisintenso">
    <w:name w:val="Intense Emphasis"/>
    <w:basedOn w:val="Fuentedeprrafopredeter"/>
    <w:uiPriority w:val="21"/>
    <w:qFormat/>
    <w:rsid w:val="007D0D66"/>
    <w:rPr>
      <w:i/>
      <w:iCs/>
      <w:color w:val="0F4761" w:themeColor="accent1" w:themeShade="BF"/>
    </w:rPr>
  </w:style>
  <w:style w:type="paragraph" w:styleId="Citadestacada">
    <w:name w:val="Intense Quote"/>
    <w:basedOn w:val="Normal"/>
    <w:next w:val="Normal"/>
    <w:link w:val="CitadestacadaCar"/>
    <w:uiPriority w:val="30"/>
    <w:qFormat/>
    <w:rsid w:val="007D0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0D66"/>
    <w:rPr>
      <w:i/>
      <w:iCs/>
      <w:color w:val="0F4761" w:themeColor="accent1" w:themeShade="BF"/>
    </w:rPr>
  </w:style>
  <w:style w:type="character" w:styleId="Referenciaintensa">
    <w:name w:val="Intense Reference"/>
    <w:basedOn w:val="Fuentedeprrafopredeter"/>
    <w:uiPriority w:val="32"/>
    <w:qFormat/>
    <w:rsid w:val="007D0D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1662</Words>
  <Characters>9144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Vásquez Hidalgo</dc:creator>
  <cp:keywords/>
  <dc:description/>
  <cp:lastModifiedBy>Eduardo Vásquez Hidalgo</cp:lastModifiedBy>
  <cp:revision>3</cp:revision>
  <dcterms:created xsi:type="dcterms:W3CDTF">2026-07-13T03:07:00Z</dcterms:created>
  <dcterms:modified xsi:type="dcterms:W3CDTF">2026-07-13T12:01:00Z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b7abff87-a5ce-44ee-aa48-726e27c7a8bd</vt:lpwstr>
  </property>
</Properties>
</file>