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462AB">
      <w:pPr>
        <w:pStyle w:val="2"/>
      </w:pPr>
      <w:r>
        <w:t>Cátedra Mando y Liderazgo</w:t>
      </w:r>
      <w:r>
        <w:br w:type="textWrapping"/>
      </w:r>
      <w:r>
        <w:t>Análisis de Caso – Tragedia de Antuco</w:t>
      </w:r>
    </w:p>
    <w:p w14:paraId="3418AB0B">
      <w:r>
        <w:br w:type="textWrapping"/>
      </w:r>
      <w:r>
        <w:t>Contexto</w:t>
      </w:r>
    </w:p>
    <w:p w14:paraId="4097E25A">
      <w:r>
        <w:t>Durante una campaña de instrucción militar efectuada en zona cordillerana próxima al volcán Antuco, una unidad del Ejército de Chile debía ejecutar una marcha táctica como parte de su entrenamiento operacional.</w:t>
      </w:r>
    </w:p>
    <w:p w14:paraId="5C2470A2">
      <w:r>
        <w:t>En el desarrollo de la actividad existían antecedentes meteorológicos que advertían un deterioro progresivo de las condiciones ambientales. Pese a ello, se mantuvo la ejecución del desplazamiento.</w:t>
      </w:r>
    </w:p>
    <w:p w14:paraId="206DE7A0">
      <w:r>
        <w:t>Durante la marcha, una parte importante del contingente fue alcanzada por una tormenta de nieve y condiciones de viento blanco que dificultaron la orientación, el desplazamiento y la supervivencia del personal.</w:t>
      </w:r>
    </w:p>
    <w:p w14:paraId="2C5011E1">
      <w:r>
        <w:t>Como consecuencia de la situación, fallecieron 44 soldados conscriptos y un suboficial.</w:t>
      </w:r>
    </w:p>
    <w:p w14:paraId="4B821085">
      <w:r>
        <w:t>El hecho generó una profunda revisión institucional respecto del ejercicio del mando, la preparación operacional, la evaluación del riesgo, el deber de cuidado del subordinado y la responsabilidad ética de la conducción militar.</w:t>
      </w:r>
    </w:p>
    <w:p w14:paraId="1F23669C">
      <w:r>
        <w:t>Requerimientos para el caso</w:t>
      </w:r>
    </w:p>
    <w:p w14:paraId="0A47D892">
      <w:r>
        <w:t>1. Concepto de mando y responsabilidad en las Fuerzas Armadas.</w:t>
      </w:r>
      <w:r>
        <w:br w:type="textWrapping"/>
      </w:r>
      <w:r>
        <w:t>2. Evaluación ética de la decisión.</w:t>
      </w:r>
      <w:r>
        <w:br w:type="textWrapping"/>
      </w:r>
      <w:r>
        <w:t>3. Disciplina y obediencia reflexiva.</w:t>
      </w:r>
      <w:r>
        <w:br w:type="textWrapping"/>
      </w:r>
      <w:r>
        <w:t>4. Liderazgo bajo incertidumbre.</w:t>
      </w:r>
      <w:r>
        <w:br w:type="textWrapping"/>
      </w:r>
      <w:r>
        <w:t>5. Responsabilidad institucional.</w:t>
      </w:r>
      <w:r>
        <w:br w:type="textWrapping"/>
      </w:r>
      <w:r>
        <w:t>6. Perspectiva filosófica del mando (Aristóteles, Arendt, Spaemann o ethos institucional).</w:t>
      </w:r>
      <w:r>
        <w:br w:type="textWrapping"/>
      </w:r>
      <w:r>
        <w:t>7. Como Comandante de Unidad: decisión, información crítica y medidas preventivas.</w:t>
      </w:r>
    </w:p>
    <w:p w14:paraId="2ACA81A8">
      <w:r>
        <w:t>Pregunta de cierre</w:t>
      </w:r>
    </w:p>
    <w:p w14:paraId="4B1A3930">
      <w:r>
        <w:t>¿En qué momento el cumplimiento de una misión deja de constituir una expresión legítima del deber militar y pasa a transformarse en una decisión éticamente cuestionable?</w:t>
      </w:r>
    </w:p>
    <w:p w14:paraId="7D074842">
      <w:r>
        <w:t>Objetivo del caso</w:t>
      </w:r>
    </w:p>
    <w:p w14:paraId="4B03704F">
      <w:r>
        <w:t>Reflexionar críticamente sobre el ejercicio del mando en las Fuerzas Armadas, comprendiendo que la autoridad militar se legitima no solo por la capacidad de ordenar, sino también por la responsabilidad de conducir personas con prudencia, competencia profesional y sentido ético.</w:t>
      </w:r>
    </w:p>
    <w:p w14:paraId="7CC46936">
      <w:bookmarkStart w:id="0" w:name="_GoBack"/>
      <w:bookmarkEnd w:id="0"/>
    </w:p>
    <w:p w14:paraId="5A0B2552">
      <w:r>
        <w:t>RÚBRICA PARA EXPOSICIÓN ORAL POR GRUPOS</w:t>
      </w:r>
    </w:p>
    <w:p w14:paraId="448FF4DA">
      <w:r>
        <w:t>Resultados de aprendizaje</w:t>
      </w:r>
    </w:p>
    <w:p w14:paraId="02F0D837">
      <w:r>
        <w:t>1. Analizan críticamente el caso.</w:t>
      </w:r>
      <w:r>
        <w:br w:type="textWrapping"/>
      </w:r>
      <w:r>
        <w:t>2. Demuestran comunicación efectiva.</w:t>
      </w:r>
      <w:r>
        <w:br w:type="textWrapping"/>
      </w:r>
      <w:r>
        <w:t>3. Evidencian trabajo colaborativo.</w:t>
      </w:r>
      <w:r>
        <w:br w:type="textWrapping"/>
      </w:r>
      <w:r>
        <w:t>4. Aplican principios de mando y liderazgo.</w:t>
      </w:r>
      <w:r>
        <w:br w:type="textWrapping"/>
      </w:r>
      <w:r>
        <w:t>5. Integran conceptos filosóficos y doctrinales.</w:t>
      </w:r>
    </w:p>
    <w:p w14:paraId="0104DC0D">
      <w:r>
        <w:t>Indicador de logro</w:t>
      </w:r>
    </w:p>
    <w:p w14:paraId="1F0C4D6D">
      <w:r>
        <w:t>El análisis es completo, fundamentado y demuestra comprensión del ejercicio del mando.</w:t>
      </w:r>
    </w:p>
    <w:p w14:paraId="787A4D0B">
      <w:r>
        <w:t>I. Estructura y diseño general (50%)</w:t>
      </w:r>
      <w:r>
        <w:br w:type="textWrapping"/>
      </w:r>
      <w:r>
        <w:t>- Contextualización suficiente.</w:t>
      </w:r>
      <w:r>
        <w:br w:type="textWrapping"/>
      </w:r>
      <w:r>
        <w:t>- Coherencia argumentativa.</w:t>
      </w:r>
      <w:r>
        <w:br w:type="textWrapping"/>
      </w:r>
      <w:r>
        <w:t>- Evidencia verificable.</w:t>
      </w:r>
      <w:r>
        <w:br w:type="textWrapping"/>
      </w:r>
      <w:r>
        <w:t>- Integración ética y doctrinal.</w:t>
      </w:r>
      <w:r>
        <w:br w:type="textWrapping"/>
      </w:r>
      <w:r>
        <w:t>- Curso de acción consistente.</w:t>
      </w:r>
    </w:p>
    <w:p w14:paraId="08355692">
      <w:r>
        <w:t>II. Uso del tiempo (15%)</w:t>
      </w:r>
      <w:r>
        <w:br w:type="textWrapping"/>
      </w:r>
      <w:r>
        <w:t>- Cumplimiento del tiempo asignado ±2 minutos.</w:t>
      </w:r>
    </w:p>
    <w:p w14:paraId="56BB2436">
      <w:r>
        <w:t>III. Ayudas visuales (15%)</w:t>
      </w:r>
      <w:r>
        <w:br w:type="textWrapping"/>
      </w:r>
      <w:r>
        <w:t>- Sobriedad, claridad y corrección formal.</w:t>
      </w:r>
    </w:p>
    <w:p w14:paraId="580A72C4">
      <w:r>
        <w:t>IV. Respuestas ante consultas (20%)</w:t>
      </w:r>
      <w:r>
        <w:br w:type="textWrapping"/>
      </w:r>
      <w:r>
        <w:t>- Precisión conceptual y argumentación.</w:t>
      </w:r>
    </w:p>
    <w:p w14:paraId="7293525A">
      <w:r>
        <w:t>Escala:</w:t>
      </w:r>
      <w:r>
        <w:br w:type="textWrapping"/>
      </w:r>
      <w:r>
        <w:t>B = rango bajo</w:t>
      </w:r>
      <w:r>
        <w:br w:type="textWrapping"/>
      </w:r>
      <w:r>
        <w:t>M = rango medio</w:t>
      </w:r>
      <w:r>
        <w:br w:type="textWrapping"/>
      </w:r>
      <w:r>
        <w:t>A = rango alto</w:t>
      </w:r>
    </w:p>
    <w:p w14:paraId="5419222F">
      <w:r>
        <w:t>Evaluador:</w:t>
      </w:r>
      <w:r>
        <w:br w:type="textWrapping"/>
      </w:r>
      <w:r>
        <w:t>Fecha:</w:t>
      </w:r>
      <w:r>
        <w:br w:type="textWrapping"/>
      </w:r>
      <w:r>
        <w:t>Comentarios:</w:t>
      </w:r>
      <w:r>
        <w:br w:type="textWrapping"/>
      </w:r>
      <w:r>
        <w:t>Calificación final:</w:t>
      </w:r>
      <w:r>
        <w:br w:type="textWrapping"/>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Courier New">
    <w:panose1 w:val="02070609020205020404"/>
    <w:charset w:val="00"/>
    <w:family w:val="modern"/>
    <w:pitch w:val="default"/>
    <w:sig w:usb0="E0002AFF" w:usb1="C0007843" w:usb2="00000009" w:usb3="00000000" w:csb0="400001FF" w:csb1="FFFF0000"/>
  </w:font>
  <w:font w:name="SimHei">
    <w:altName w:val="黑体-简"/>
    <w:panose1 w:val="02010609060101010101"/>
    <w:charset w:val="00"/>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2010600030101010101"/>
    <w:charset w:val="86"/>
    <w:family w:val="auto"/>
    <w:pitch w:val="default"/>
    <w:sig w:usb0="00000000" w:usb1="00000000" w:usb2="00000016" w:usb3="00000000" w:csb0="00040001" w:csb1="00000000"/>
  </w:font>
  <w:font w:name="Cambria">
    <w:altName w:val="苹方-简"/>
    <w:panose1 w:val="02040503050406030204"/>
    <w:charset w:val="00"/>
    <w:family w:val="auto"/>
    <w:pitch w:val="default"/>
    <w:sig w:usb0="00000000" w:usb1="00000000" w:usb2="00000000" w:usb3="00000000" w:csb0="0000019F" w:csb1="00000000"/>
  </w:font>
  <w:font w:name="ＭＳ 明朝">
    <w:altName w:val="Hiragino Sans"/>
    <w:panose1 w:val="00000000000000000000"/>
    <w:charset w:val="80"/>
    <w:family w:val="roman"/>
    <w:pitch w:val="default"/>
    <w:sig w:usb0="00000000" w:usb1="00000000" w:usb2="00000010" w:usb3="00000000" w:csb0="00020000" w:csb1="00000000"/>
  </w:font>
  <w:font w:name="ＭＳ 明朝">
    <w:altName w:val="Hiragino Sans"/>
    <w:panose1 w:val="00000000000000000000"/>
    <w:charset w:val="86"/>
    <w:family w:val="auto"/>
    <w:pitch w:val="default"/>
    <w:sig w:usb0="00000000" w:usb1="00000000" w:usb2="00000000" w:usb3="00000000" w:csb0="00000000" w:csb1="00000000"/>
  </w:font>
  <w:font w:name="ＭＳ ゴシック">
    <w:altName w:val="Hiragino Sans"/>
    <w:panose1 w:val="00000000000000000000"/>
    <w:charset w:val="80"/>
    <w:family w:val="modern"/>
    <w:pitch w:val="default"/>
    <w:sig w:usb0="00000000" w:usb1="00000000" w:usb2="00000010" w:usb3="00000000" w:csb0="00020000" w:csb1="00000000"/>
  </w:font>
  <w:font w:name="Symbol">
    <w:altName w:val="Kingsoft Sign"/>
    <w:panose1 w:val="00000000000000000000"/>
    <w:charset w:val="02"/>
    <w:family w:val="auto"/>
    <w:pitch w:val="default"/>
    <w:sig w:usb0="00000000" w:usb1="00000000" w:usb2="00000000" w:usb3="00000000" w:csb0="80000000" w:csb1="00000000"/>
  </w:font>
  <w:font w:name="Courier">
    <w:altName w:val="苹方-简"/>
    <w:panose1 w:val="02000500000000000000"/>
    <w:charset w:val="00"/>
    <w:family w:val="auto"/>
    <w:pitch w:val="default"/>
    <w:sig w:usb0="00000000" w:usb1="00000000" w:usb2="00000000" w:usb3="00000000" w:csb0="00000001" w:csb1="00000000"/>
  </w:font>
  <w:font w:name="ＭＳ 明朝">
    <w:altName w:val="Hiragino Sans"/>
    <w:panose1 w:val="00000000000000000000"/>
    <w:charset w:val="00"/>
    <w:family w:val="auto"/>
    <w:pitch w:val="default"/>
    <w:sig w:usb0="00000000" w:usb1="00000000" w:usb2="00000000" w:usb3="00000000" w:csb0="00000000" w:csb1="00000000"/>
  </w:font>
  <w:font w:name="Hiragino Sans">
    <w:panose1 w:val="020B0700000000000000"/>
    <w:charset w:val="80"/>
    <w:family w:val="auto"/>
    <w:pitch w:val="default"/>
    <w:sig w:usb0="800002CF" w:usb1="6AC7FCFC" w:usb2="00000012" w:usb3="00000000" w:csb0="0002000D" w:csb1="00000000"/>
  </w:font>
  <w:font w:name="Helvetica Neue">
    <w:panose1 w:val="02000503000000020004"/>
    <w:charset w:val="00"/>
    <w:family w:val="auto"/>
    <w:pitch w:val="default"/>
    <w:sig w:usb0="E50002FF" w:usb1="500079DB" w:usb2="00000010" w:usb3="00000000" w:csb0="00000000" w:csb1="00000000"/>
  </w:font>
  <w:font w:name="苹方-简">
    <w:altName w:val="Times New Roman"/>
    <w:panose1 w:val="020B0600000000000000"/>
    <w:charset w:val="00"/>
    <w:family w:val="auto"/>
    <w:pitch w:val="default"/>
    <w:sig w:usb0="A00002FF" w:usb1="7ACFFDFB" w:usb2="00000017" w:usb3="00000000" w:csb0="00040001" w:csb1="00000000"/>
  </w:font>
  <w:font w:name="ＭＳ ゴシック">
    <w:altName w:val="苹方-简"/>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4"/>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2"/>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7"/>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30"/>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5"/>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9"/>
      <w:lvlText w:val=""/>
      <w:lvlJc w:val="left"/>
      <w:pPr>
        <w:tabs>
          <w:tab w:val="left" w:pos="360"/>
        </w:tabs>
        <w:ind w:left="360" w:hanging="360"/>
      </w:pPr>
      <w:rPr>
        <w:rFonts w:hint="default" w:ascii="Symbol" w:hAnsi="Symbol"/>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607FB9F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2"/>
    <w:basedOn w:val="1"/>
    <w:unhideWhenUsed/>
    <w:uiPriority w:val="99"/>
    <w:pPr>
      <w:spacing w:after="120"/>
      <w:ind w:left="720"/>
      <w:contextualSpacing/>
    </w:p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7">
    <w:name w:val="macro"/>
    <w:link w:val="49"/>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8">
    <w:name w:val="List Continue 3"/>
    <w:basedOn w:val="1"/>
    <w:unhideWhenUsed/>
    <w:uiPriority w:val="99"/>
    <w:pPr>
      <w:spacing w:after="120"/>
      <w:ind w:left="1080"/>
      <w:contextualSpacing/>
    </w:pPr>
  </w:style>
  <w:style w:type="paragraph" w:styleId="19">
    <w:name w:val="List Continue"/>
    <w:basedOn w:val="1"/>
    <w:unhideWhenUsed/>
    <w:uiPriority w:val="99"/>
    <w:pPr>
      <w:spacing w:after="120"/>
      <w:ind w:left="360"/>
      <w:contextualSpacing/>
    </w:pPr>
  </w:style>
  <w:style w:type="paragraph" w:styleId="20">
    <w:name w:val="Body Text 2"/>
    <w:basedOn w:val="1"/>
    <w:link w:val="47"/>
    <w:unhideWhenUsed/>
    <w:uiPriority w:val="99"/>
    <w:pPr>
      <w:spacing w:after="120" w:line="480" w:lineRule="auto"/>
    </w:pPr>
  </w:style>
  <w:style w:type="paragraph" w:styleId="21">
    <w:name w:val="List 3"/>
    <w:basedOn w:val="1"/>
    <w:unhideWhenUsed/>
    <w:uiPriority w:val="99"/>
    <w:pPr>
      <w:ind w:left="1080" w:hanging="360"/>
      <w:contextualSpacing/>
    </w:pPr>
  </w:style>
  <w:style w:type="paragraph" w:styleId="22">
    <w:name w:val="List Number 2"/>
    <w:basedOn w:val="1"/>
    <w:unhideWhenUsed/>
    <w:uiPriority w:val="99"/>
    <w:pPr>
      <w:numPr>
        <w:ilvl w:val="0"/>
        <w:numId w:val="1"/>
      </w:numPr>
      <w:contextualSpacing/>
    </w:pPr>
  </w:style>
  <w:style w:type="paragraph" w:styleId="23">
    <w:name w:val="header"/>
    <w:basedOn w:val="1"/>
    <w:link w:val="37"/>
    <w:unhideWhenUsed/>
    <w:uiPriority w:val="99"/>
    <w:pPr>
      <w:tabs>
        <w:tab w:val="center" w:pos="4680"/>
        <w:tab w:val="right" w:pos="9360"/>
      </w:tabs>
      <w:spacing w:after="0" w:line="240" w:lineRule="auto"/>
    </w:pPr>
  </w:style>
  <w:style w:type="paragraph" w:styleId="24">
    <w:name w:val="List Number 3"/>
    <w:basedOn w:val="1"/>
    <w:unhideWhenUsed/>
    <w:uiPriority w:val="99"/>
    <w:pPr>
      <w:numPr>
        <w:ilvl w:val="0"/>
        <w:numId w:val="2"/>
      </w:numPr>
      <w:contextualSpacing/>
    </w:pPr>
  </w:style>
  <w:style w:type="paragraph" w:styleId="25">
    <w:name w:val="List Number"/>
    <w:basedOn w:val="1"/>
    <w:unhideWhenUsed/>
    <w:uiPriority w:val="99"/>
    <w:pPr>
      <w:numPr>
        <w:ilvl w:val="0"/>
        <w:numId w:val="3"/>
      </w:numPr>
      <w:contextualSpacing/>
    </w:pPr>
  </w:style>
  <w:style w:type="paragraph" w:styleId="26">
    <w:name w:val="List 2"/>
    <w:basedOn w:val="1"/>
    <w:unhideWhenUsed/>
    <w:uiPriority w:val="99"/>
    <w:pPr>
      <w:ind w:left="720" w:hanging="360"/>
      <w:contextualSpacing/>
    </w:pPr>
  </w:style>
  <w:style w:type="paragraph" w:styleId="27">
    <w:name w:val="List Bullet 3"/>
    <w:basedOn w:val="1"/>
    <w:unhideWhenUsed/>
    <w:uiPriority w:val="99"/>
    <w:pPr>
      <w:numPr>
        <w:ilvl w:val="0"/>
        <w:numId w:val="4"/>
      </w:numPr>
      <w:contextualSpacing/>
    </w:pPr>
  </w:style>
  <w:style w:type="paragraph" w:styleId="28">
    <w:name w:val="List"/>
    <w:basedOn w:val="1"/>
    <w:unhideWhenUsed/>
    <w:uiPriority w:val="99"/>
    <w:pPr>
      <w:ind w:left="360" w:hanging="360"/>
      <w:contextualSpacing/>
    </w:pPr>
  </w:style>
  <w:style w:type="paragraph" w:styleId="29">
    <w:name w:val="List Bullet"/>
    <w:basedOn w:val="1"/>
    <w:unhideWhenUsed/>
    <w:uiPriority w:val="99"/>
    <w:pPr>
      <w:numPr>
        <w:ilvl w:val="0"/>
        <w:numId w:val="5"/>
      </w:numPr>
      <w:contextualSpacing/>
    </w:pPr>
  </w:style>
  <w:style w:type="paragraph" w:styleId="30">
    <w:name w:val="List Bullet 2"/>
    <w:basedOn w:val="1"/>
    <w:unhideWhenUsed/>
    <w:uiPriority w:val="99"/>
    <w:pPr>
      <w:numPr>
        <w:ilvl w:val="0"/>
        <w:numId w:val="6"/>
      </w:numPr>
      <w:contextualSpacing/>
    </w:pPr>
  </w:style>
  <w:style w:type="paragraph" w:styleId="31">
    <w:name w:val="footer"/>
    <w:basedOn w:val="1"/>
    <w:link w:val="38"/>
    <w:unhideWhenUsed/>
    <w:uiPriority w:val="99"/>
    <w:pPr>
      <w:tabs>
        <w:tab w:val="center" w:pos="4680"/>
        <w:tab w:val="right" w:pos="9360"/>
      </w:tabs>
      <w:spacing w:after="0" w:line="240" w:lineRule="auto"/>
    </w:pPr>
  </w:style>
  <w:style w:type="paragraph" w:styleId="32">
    <w:name w:val="Subtitle"/>
    <w:basedOn w:val="1"/>
    <w:next w:val="1"/>
    <w:link w:val="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3">
    <w:name w:val="Body Text"/>
    <w:basedOn w:val="1"/>
    <w:link w:val="46"/>
    <w:unhideWhenUsed/>
    <w:uiPriority w:val="99"/>
    <w:pPr>
      <w:spacing w:after="120"/>
    </w:pPr>
  </w:style>
  <w:style w:type="paragraph" w:styleId="34">
    <w:name w:val="Body Text 3"/>
    <w:basedOn w:val="1"/>
    <w:link w:val="48"/>
    <w:unhideWhenUsed/>
    <w:uiPriority w:val="99"/>
    <w:pPr>
      <w:spacing w:after="120"/>
    </w:pPr>
    <w:rPr>
      <w:sz w:val="16"/>
      <w:szCs w:val="16"/>
    </w:rPr>
  </w:style>
  <w:style w:type="paragraph" w:styleId="35">
    <w:name w:val="Title"/>
    <w:basedOn w:val="1"/>
    <w:next w:val="1"/>
    <w:link w:val="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7">
    <w:name w:val="Header Char"/>
    <w:basedOn w:val="11"/>
    <w:link w:val="23"/>
    <w:uiPriority w:val="99"/>
  </w:style>
  <w:style w:type="character" w:customStyle="1" w:styleId="38">
    <w:name w:val="Footer Char"/>
    <w:basedOn w:val="11"/>
    <w:link w:val="31"/>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0">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41">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Heading 3 Ch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Title Char"/>
    <w:basedOn w:val="11"/>
    <w:link w:val="35"/>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Subtitle Char"/>
    <w:basedOn w:val="11"/>
    <w:link w:val="32"/>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Body Text Char"/>
    <w:basedOn w:val="11"/>
    <w:link w:val="33"/>
    <w:uiPriority w:val="99"/>
  </w:style>
  <w:style w:type="character" w:customStyle="1" w:styleId="47">
    <w:name w:val="Body Text 2 Char"/>
    <w:basedOn w:val="11"/>
    <w:link w:val="20"/>
    <w:uiPriority w:val="99"/>
  </w:style>
  <w:style w:type="character" w:customStyle="1" w:styleId="48">
    <w:name w:val="Body Text 3 Char"/>
    <w:basedOn w:val="11"/>
    <w:link w:val="34"/>
    <w:uiPriority w:val="99"/>
    <w:rPr>
      <w:sz w:val="16"/>
      <w:szCs w:val="16"/>
    </w:rPr>
  </w:style>
  <w:style w:type="character" w:customStyle="1" w:styleId="49">
    <w:name w:val="Macro Text Char"/>
    <w:basedOn w:val="11"/>
    <w:link w:val="17"/>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Quote Char"/>
    <w:basedOn w:val="11"/>
    <w:link w:val="50"/>
    <w:uiPriority w:val="29"/>
    <w:rPr>
      <w:i/>
      <w:iCs/>
      <w:color w:val="000000" w:themeColor="text1"/>
      <w14:textFill>
        <w14:solidFill>
          <w14:schemeClr w14:val="tx1"/>
        </w14:solidFill>
      </w14:textFill>
    </w:rPr>
  </w:style>
  <w:style w:type="character" w:customStyle="1" w:styleId="52">
    <w:name w:val="Heading 4 Char"/>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54">
    <w:name w:val="Heading 6 Char"/>
    <w:basedOn w:val="11"/>
    <w:link w:val="7"/>
    <w:semiHidden/>
    <w:uiPriority w:val="9"/>
    <w:rPr>
      <w:rFonts w:asciiTheme="majorHAnsi" w:hAnsiTheme="majorHAnsi" w:eastAsiaTheme="majorEastAsia" w:cstheme="majorBidi"/>
      <w:i/>
      <w:iCs/>
      <w:color w:val="254061" w:themeColor="accent1" w:themeShade="80"/>
    </w:rPr>
  </w:style>
  <w:style w:type="character" w:customStyle="1" w:styleId="55">
    <w:name w:val="Heading 7 Ch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Heading 9 Char"/>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Intense Quote Char"/>
    <w:basedOn w:val="11"/>
    <w:link w:val="58"/>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Office_12.1.26015.26015_F1E327BC-269C-435d-A152-05C5408002CA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2013-12-23T20:15:00Z</dcterms:created>
  <dc:creator>python-docx</dc:creator>
  <dc:description>generated by python-docx</dc:description>
  <cp:lastModifiedBy>Ronald von der Weth Fischer</cp:lastModifiedBy>
  <dcterms:modified xsi:type="dcterms:W3CDTF">2026-07-01T15:57:58Z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2058-12.1.26015.26015</vt:lpwstr>
  </property>
  <property fmtid="{D5CDD505-2E9C-101B-9397-08002B2CF9AE}" pid="3" name="ICV">
    <vt:lpwstr>C564DE635E29153D4671456A07077BA5_42</vt:lpwstr>
  </property>
</Properties>
</file>