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Bdr>
          <w:top w:color="000000" w:space="0" w:sz="0" w:val="none"/>
          <w:left w:color="000000" w:space="0" w:sz="0" w:val="none"/>
          <w:bottom w:color="000000" w:space="0" w:sz="0" w:val="none"/>
          <w:right w:color="000000" w:space="0" w:sz="0" w:val="none"/>
          <w:between w:color="000000" w:space="0" w:sz="0" w:val="none"/>
        </w:pBdr>
        <w:spacing w:before="0" w:line="300" w:lineRule="auto"/>
        <w:rPr>
          <w:b w:val="1"/>
          <w:color w:val="444444"/>
          <w:sz w:val="46"/>
          <w:szCs w:val="46"/>
          <w:highlight w:val="white"/>
        </w:rPr>
      </w:pPr>
      <w:bookmarkStart w:colFirst="0" w:colLast="0" w:name="_8tv6d5d8w2g7" w:id="0"/>
      <w:bookmarkEnd w:id="0"/>
      <w:r w:rsidDel="00000000" w:rsidR="00000000" w:rsidRPr="00000000">
        <w:rPr>
          <w:b w:val="1"/>
          <w:color w:val="444444"/>
          <w:sz w:val="46"/>
          <w:szCs w:val="46"/>
          <w:highlight w:val="white"/>
          <w:rtl w:val="0"/>
        </w:rPr>
        <w:t xml:space="preserve">Flotabilidad de la lata de Coca-Cola</w:t>
      </w:r>
    </w:p>
    <w:p w:rsidR="00000000" w:rsidDel="00000000" w:rsidP="00000000" w:rsidRDefault="00000000" w:rsidRPr="00000000" w14:paraId="00000002">
      <w:pPr>
        <w:rPr>
          <w:b w:val="1"/>
          <w:color w:val="444444"/>
          <w:sz w:val="24"/>
          <w:szCs w:val="24"/>
          <w:highlight w:val="white"/>
        </w:rPr>
      </w:pPr>
      <w:r w:rsidDel="00000000" w:rsidR="00000000" w:rsidRPr="00000000">
        <w:rPr>
          <w:b w:val="1"/>
          <w:color w:val="040c28"/>
          <w:sz w:val="24"/>
          <w:szCs w:val="24"/>
          <w:rtl w:val="0"/>
        </w:rPr>
        <w:t xml:space="preserve">En EEUU</w:t>
      </w:r>
      <w:r w:rsidDel="00000000" w:rsidR="00000000" w:rsidRPr="00000000">
        <w:rPr>
          <w:rtl w:val="0"/>
        </w:rPr>
      </w:r>
    </w:p>
    <w:p w:rsidR="00000000" w:rsidDel="00000000" w:rsidP="00000000" w:rsidRDefault="00000000" w:rsidRPr="00000000" w14:paraId="00000003">
      <w:pPr>
        <w:rPr>
          <w:b w:val="1"/>
          <w:color w:val="444444"/>
          <w:sz w:val="24"/>
          <w:szCs w:val="24"/>
        </w:rPr>
      </w:pPr>
      <w:r w:rsidDel="00000000" w:rsidR="00000000" w:rsidRPr="00000000">
        <w:rPr>
          <w:color w:val="444444"/>
          <w:sz w:val="24"/>
          <w:szCs w:val="24"/>
          <w:rtl w:val="0"/>
        </w:rPr>
        <w:t xml:space="preserve">Coke:   </w:t>
      </w:r>
      <w:r w:rsidDel="00000000" w:rsidR="00000000" w:rsidRPr="00000000">
        <w:rPr>
          <w:color w:val="444444"/>
          <w:sz w:val="24"/>
          <w:szCs w:val="24"/>
          <w:highlight w:val="white"/>
          <w:rtl w:val="0"/>
        </w:rPr>
        <w:t xml:space="preserve"> 1,026 g/ml</w:t>
      </w:r>
      <w:r w:rsidDel="00000000" w:rsidR="00000000" w:rsidRPr="00000000">
        <w:rPr>
          <w:color w:val="444444"/>
          <w:sz w:val="24"/>
          <w:szCs w:val="24"/>
          <w:rtl w:val="0"/>
        </w:rPr>
        <w:t xml:space="preserve">; Diet Coke – </w:t>
      </w:r>
      <w:r w:rsidDel="00000000" w:rsidR="00000000" w:rsidRPr="00000000">
        <w:rPr>
          <w:color w:val="040c28"/>
          <w:sz w:val="24"/>
          <w:szCs w:val="24"/>
          <w:rtl w:val="0"/>
        </w:rPr>
        <w:t xml:space="preserve">  </w:t>
      </w:r>
      <w:r w:rsidDel="00000000" w:rsidR="00000000" w:rsidRPr="00000000">
        <w:rPr>
          <w:color w:val="444444"/>
          <w:sz w:val="24"/>
          <w:szCs w:val="24"/>
          <w:highlight w:val="white"/>
          <w:rtl w:val="0"/>
        </w:rPr>
        <w:t xml:space="preserve">0,911 g/ml</w:t>
      </w:r>
      <w:r w:rsidDel="00000000" w:rsidR="00000000" w:rsidRPr="00000000">
        <w:rPr>
          <w:color w:val="444444"/>
          <w:sz w:val="24"/>
          <w:szCs w:val="24"/>
          <w:rtl w:val="0"/>
        </w:rPr>
        <w:t xml:space="preserve">   </w:t>
      </w:r>
      <w:r w:rsidDel="00000000" w:rsidR="00000000" w:rsidRPr="00000000">
        <w:rPr>
          <w:b w:val="1"/>
          <w:color w:val="444444"/>
          <w:sz w:val="24"/>
          <w:szCs w:val="24"/>
          <w:rtl w:val="0"/>
        </w:rPr>
        <w:t xml:space="preserve">355 ml la lata</w:t>
      </w:r>
    </w:p>
    <w:p w:rsidR="00000000" w:rsidDel="00000000" w:rsidP="00000000" w:rsidRDefault="00000000" w:rsidRPr="00000000" w14:paraId="00000004">
      <w:pPr>
        <w:rPr>
          <w:color w:val="001d35"/>
          <w:sz w:val="24"/>
          <w:szCs w:val="24"/>
          <w:highlight w:val="white"/>
        </w:rPr>
      </w:pPr>
      <w:r w:rsidDel="00000000" w:rsidR="00000000" w:rsidRPr="00000000">
        <w:rPr>
          <w:color w:val="444444"/>
          <w:sz w:val="24"/>
          <w:szCs w:val="24"/>
          <w:rtl w:val="0"/>
        </w:rPr>
        <w:t xml:space="preserve">Agua: </w:t>
      </w:r>
      <w:r w:rsidDel="00000000" w:rsidR="00000000" w:rsidRPr="00000000">
        <w:rPr>
          <w:color w:val="040c28"/>
          <w:sz w:val="24"/>
          <w:szCs w:val="24"/>
          <w:rtl w:val="0"/>
        </w:rPr>
        <w:t xml:space="preserve"> </w:t>
      </w:r>
      <w:r w:rsidDel="00000000" w:rsidR="00000000" w:rsidRPr="00000000">
        <w:rPr>
          <w:color w:val="001d35"/>
          <w:sz w:val="24"/>
          <w:szCs w:val="24"/>
          <w:highlight w:val="white"/>
          <w:rtl w:val="0"/>
        </w:rPr>
        <w:t xml:space="preserve">0,998 g/cm3.</w:t>
      </w:r>
    </w:p>
    <w:p w:rsidR="00000000" w:rsidDel="00000000" w:rsidP="00000000" w:rsidRDefault="00000000" w:rsidRPr="00000000" w14:paraId="00000005">
      <w:pPr>
        <w:rPr>
          <w:color w:val="001d35"/>
          <w:sz w:val="24"/>
          <w:szCs w:val="24"/>
          <w:highlight w:val="white"/>
        </w:rPr>
      </w:pPr>
      <w:r w:rsidDel="00000000" w:rsidR="00000000" w:rsidRPr="00000000">
        <w:rPr>
          <w:color w:val="001d35"/>
          <w:sz w:val="24"/>
          <w:szCs w:val="24"/>
          <w:highlight w:val="white"/>
          <w:rtl w:val="0"/>
        </w:rPr>
        <w:t xml:space="preserve">agua carbonatada, jarabe de maíz con alto contenido de fructosa, color caramelo, ácido fosfórico, sabores naturales, cafeína.</w:t>
      </w:r>
    </w:p>
    <w:p w:rsidR="00000000" w:rsidDel="00000000" w:rsidP="00000000" w:rsidRDefault="00000000" w:rsidRPr="00000000" w14:paraId="00000006">
      <w:pPr>
        <w:rPr>
          <w:color w:val="001d35"/>
          <w:sz w:val="24"/>
          <w:szCs w:val="24"/>
          <w:highlight w:val="white"/>
        </w:rPr>
      </w:pPr>
      <w:r w:rsidDel="00000000" w:rsidR="00000000" w:rsidRPr="00000000">
        <w:rPr>
          <w:rtl w:val="0"/>
        </w:rPr>
      </w:r>
    </w:p>
    <w:p w:rsidR="00000000" w:rsidDel="00000000" w:rsidP="00000000" w:rsidRDefault="00000000" w:rsidRPr="00000000" w14:paraId="00000007">
      <w:pPr>
        <w:rPr>
          <w:b w:val="1"/>
          <w:color w:val="040c28"/>
          <w:sz w:val="24"/>
          <w:szCs w:val="24"/>
        </w:rPr>
      </w:pPr>
      <w:r w:rsidDel="00000000" w:rsidR="00000000" w:rsidRPr="00000000">
        <w:rPr>
          <w:b w:val="1"/>
          <w:color w:val="040c28"/>
          <w:sz w:val="24"/>
          <w:szCs w:val="24"/>
          <w:rtl w:val="0"/>
        </w:rPr>
        <w:t xml:space="preserve">En Chile</w:t>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between w:color="000000" w:space="0" w:sz="0" w:val="none"/>
        </w:pBdr>
        <w:spacing w:after="240" w:line="240" w:lineRule="auto"/>
        <w:rPr>
          <w:color w:val="444444"/>
          <w:sz w:val="24"/>
          <w:szCs w:val="24"/>
        </w:rPr>
      </w:pPr>
      <w:r w:rsidDel="00000000" w:rsidR="00000000" w:rsidRPr="00000000">
        <w:rPr>
          <w:b w:val="1"/>
          <w:color w:val="444444"/>
          <w:sz w:val="24"/>
          <w:szCs w:val="24"/>
          <w:rtl w:val="0"/>
        </w:rPr>
        <w:t xml:space="preserve">350 ml la lata</w:t>
      </w:r>
      <w:r w:rsidDel="00000000" w:rsidR="00000000" w:rsidRPr="00000000">
        <w:rPr>
          <w:color w:val="444444"/>
          <w:sz w:val="24"/>
          <w:szCs w:val="24"/>
          <w:rtl w:val="0"/>
        </w:rPr>
        <w:t xml:space="preserve"> </w:t>
      </w:r>
    </w:p>
    <w:p w:rsidR="00000000" w:rsidDel="00000000" w:rsidP="00000000" w:rsidRDefault="00000000" w:rsidRPr="00000000" w14:paraId="00000009">
      <w:pPr>
        <w:spacing w:line="240" w:lineRule="auto"/>
        <w:rPr>
          <w:color w:val="001d35"/>
          <w:sz w:val="24"/>
          <w:szCs w:val="24"/>
        </w:rPr>
      </w:pPr>
      <w:r w:rsidDel="00000000" w:rsidR="00000000" w:rsidRPr="00000000">
        <w:rPr>
          <w:color w:val="222222"/>
          <w:sz w:val="24"/>
          <w:szCs w:val="24"/>
          <w:rtl w:val="0"/>
        </w:rPr>
        <w:t xml:space="preserve">Agua carbonatada, color caramelo, ácido fosfórico, saborizantes naturales, Aspartamo, Benzoato de Sodio,Acesulfamo de Potasio, cafeína y ácido cítrico. Fenilcetonúricos: contiene fenilalanina.</w:t>
      </w:r>
      <w:r w:rsidDel="00000000" w:rsidR="00000000" w:rsidRPr="00000000">
        <w:rPr>
          <w:rtl w:val="0"/>
        </w:rPr>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between w:color="000000" w:space="0" w:sz="0" w:val="none"/>
        </w:pBdr>
        <w:spacing w:after="240" w:line="240" w:lineRule="auto"/>
        <w:rPr>
          <w:color w:val="444444"/>
          <w:sz w:val="24"/>
          <w:szCs w:val="24"/>
        </w:rPr>
      </w:pPr>
      <w:r w:rsidDel="00000000" w:rsidR="00000000" w:rsidRPr="00000000">
        <w:rPr>
          <w:rtl w:val="0"/>
        </w:rPr>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between w:color="000000" w:space="0" w:sz="0" w:val="none"/>
        </w:pBdr>
        <w:spacing w:after="240" w:line="240" w:lineRule="auto"/>
        <w:rPr>
          <w:b w:val="1"/>
          <w:color w:val="444444"/>
          <w:sz w:val="26"/>
          <w:szCs w:val="26"/>
        </w:rPr>
      </w:pPr>
      <w:r w:rsidDel="00000000" w:rsidR="00000000" w:rsidRPr="00000000">
        <w:rPr>
          <w:b w:val="1"/>
          <w:color w:val="444444"/>
          <w:sz w:val="26"/>
          <w:szCs w:val="26"/>
          <w:rtl w:val="0"/>
        </w:rPr>
        <w:t xml:space="preserve">Experimento:</w:t>
      </w:r>
    </w:p>
    <w:p w:rsidR="00000000" w:rsidDel="00000000" w:rsidP="00000000" w:rsidRDefault="00000000" w:rsidRPr="00000000" w14:paraId="0000000C">
      <w:pPr>
        <w:pBdr>
          <w:top w:color="000000" w:space="0" w:sz="0" w:val="none"/>
          <w:left w:color="000000" w:space="0" w:sz="0" w:val="none"/>
          <w:bottom w:color="000000" w:space="0" w:sz="0" w:val="none"/>
          <w:right w:color="000000" w:space="0" w:sz="0" w:val="none"/>
          <w:between w:color="000000" w:space="0" w:sz="0" w:val="none"/>
        </w:pBdr>
        <w:spacing w:after="240" w:line="240" w:lineRule="auto"/>
        <w:rPr>
          <w:color w:val="444444"/>
          <w:sz w:val="24"/>
          <w:szCs w:val="24"/>
        </w:rPr>
      </w:pPr>
      <w:r w:rsidDel="00000000" w:rsidR="00000000" w:rsidRPr="00000000">
        <w:rPr>
          <w:color w:val="444444"/>
          <w:sz w:val="24"/>
          <w:szCs w:val="24"/>
          <w:rtl w:val="0"/>
        </w:rPr>
        <w:t xml:space="preserve">Según mi experiencia las dos latas flotaron, Coca Cola normal y la Coca Cola light, para esto tengo tres posibilidades;</w:t>
      </w:r>
    </w:p>
    <w:p w:rsidR="00000000" w:rsidDel="00000000" w:rsidP="00000000" w:rsidRDefault="00000000" w:rsidRPr="00000000" w14:paraId="0000000D">
      <w:pPr>
        <w:numPr>
          <w:ilvl w:val="0"/>
          <w:numId w:val="1"/>
        </w:numPr>
        <w:pBdr>
          <w:top w:color="000000" w:space="0" w:sz="0" w:val="none"/>
          <w:left w:color="000000" w:space="0" w:sz="0" w:val="none"/>
          <w:bottom w:color="000000" w:space="0" w:sz="0" w:val="none"/>
          <w:right w:color="000000" w:space="0" w:sz="0" w:val="none"/>
          <w:between w:color="000000" w:space="0" w:sz="0" w:val="none"/>
        </w:pBdr>
        <w:spacing w:after="0" w:afterAutospacing="0" w:line="240" w:lineRule="auto"/>
        <w:ind w:left="720" w:hanging="360"/>
        <w:rPr>
          <w:color w:val="444444"/>
          <w:sz w:val="24"/>
          <w:szCs w:val="24"/>
          <w:u w:val="none"/>
        </w:rPr>
      </w:pPr>
      <w:r w:rsidDel="00000000" w:rsidR="00000000" w:rsidRPr="00000000">
        <w:rPr>
          <w:color w:val="444444"/>
          <w:sz w:val="24"/>
          <w:szCs w:val="24"/>
          <w:rtl w:val="0"/>
        </w:rPr>
        <w:t xml:space="preserve">Creo que esto pasó porque la densidad de las bebidas era mayor a la de el agua pero no suficiente para hundirse, o simplemente la densidad de esta es menor a la de el agua.</w:t>
      </w:r>
    </w:p>
    <w:p w:rsidR="00000000" w:rsidDel="00000000" w:rsidP="00000000" w:rsidRDefault="00000000" w:rsidRPr="00000000" w14:paraId="0000000E">
      <w:pPr>
        <w:numPr>
          <w:ilvl w:val="0"/>
          <w:numId w:val="1"/>
        </w:numPr>
        <w:pBdr>
          <w:top w:color="000000" w:space="0" w:sz="0" w:val="none"/>
          <w:left w:color="000000" w:space="0" w:sz="0" w:val="none"/>
          <w:bottom w:color="000000" w:space="0" w:sz="0" w:val="none"/>
          <w:right w:color="000000" w:space="0" w:sz="0" w:val="none"/>
          <w:between w:color="000000" w:space="0" w:sz="0" w:val="none"/>
        </w:pBdr>
        <w:spacing w:after="0" w:afterAutospacing="0" w:line="240" w:lineRule="auto"/>
        <w:ind w:left="720" w:hanging="360"/>
        <w:rPr>
          <w:color w:val="444444"/>
          <w:sz w:val="24"/>
          <w:szCs w:val="24"/>
          <w:u w:val="none"/>
        </w:rPr>
      </w:pPr>
      <w:r w:rsidDel="00000000" w:rsidR="00000000" w:rsidRPr="00000000">
        <w:rPr>
          <w:color w:val="444444"/>
          <w:sz w:val="24"/>
          <w:szCs w:val="24"/>
          <w:rtl w:val="0"/>
        </w:rPr>
        <w:t xml:space="preserve"> Puede ser que contenga más aire dentro de la lata que las bebidas estadounidenses, en un experimento igual que este la bebida en EEUU pasó de la lata pesar 355 ml a 352 ml, aire comprimido más el volumen de la lata.</w:t>
      </w:r>
    </w:p>
    <w:p w:rsidR="00000000" w:rsidDel="00000000" w:rsidP="00000000" w:rsidRDefault="00000000" w:rsidRPr="00000000" w14:paraId="0000000F">
      <w:pPr>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720" w:hanging="360"/>
        <w:rPr>
          <w:color w:val="444444"/>
          <w:sz w:val="24"/>
          <w:szCs w:val="24"/>
          <w:u w:val="none"/>
        </w:rPr>
      </w:pPr>
      <w:r w:rsidDel="00000000" w:rsidR="00000000" w:rsidRPr="00000000">
        <w:rPr>
          <w:color w:val="444444"/>
          <w:sz w:val="24"/>
          <w:szCs w:val="24"/>
          <w:rtl w:val="0"/>
        </w:rPr>
        <w:t xml:space="preserve">Las latas en Chile tienen un menor volumen por lo tanto la densidad de el volumen desplazado es mayor al de la lata.</w:t>
      </w:r>
    </w:p>
    <w:p w:rsidR="00000000" w:rsidDel="00000000" w:rsidP="00000000" w:rsidRDefault="00000000" w:rsidRPr="00000000" w14:paraId="00000010">
      <w:pPr>
        <w:pBdr>
          <w:top w:color="000000" w:space="0" w:sz="0" w:val="none"/>
          <w:left w:color="000000" w:space="0" w:sz="0" w:val="none"/>
          <w:bottom w:color="000000" w:space="0" w:sz="0" w:val="none"/>
          <w:right w:color="000000" w:space="0" w:sz="0" w:val="none"/>
          <w:between w:color="000000" w:space="0" w:sz="0" w:val="none"/>
        </w:pBdr>
        <w:spacing w:after="240" w:line="240" w:lineRule="auto"/>
        <w:rPr>
          <w:color w:val="444444"/>
          <w:sz w:val="24"/>
          <w:szCs w:val="24"/>
        </w:rPr>
      </w:pPr>
      <w:r w:rsidDel="00000000" w:rsidR="00000000" w:rsidRPr="00000000">
        <w:rPr>
          <w:color w:val="444444"/>
          <w:sz w:val="24"/>
          <w:szCs w:val="24"/>
          <w:rtl w:val="0"/>
        </w:rPr>
        <w:t xml:space="preserve">Este fenómeno tiene que ver con la densidad relativa de los líquidos y cómo interactúan entre sí. Si la densidad de un objeto es menor que la del líquido en el que lo pones, ese objeto flotará.</w:t>
      </w:r>
      <w:r w:rsidDel="00000000" w:rsidR="00000000" w:rsidRPr="00000000">
        <w:rPr>
          <w:rtl w:val="0"/>
        </w:rPr>
      </w:r>
    </w:p>
    <w:p w:rsidR="00000000" w:rsidDel="00000000" w:rsidP="00000000" w:rsidRDefault="00000000" w:rsidRPr="00000000" w14:paraId="00000011">
      <w:pPr>
        <w:pBdr>
          <w:top w:color="000000" w:space="0" w:sz="0" w:val="none"/>
          <w:left w:color="000000" w:space="0" w:sz="0" w:val="none"/>
          <w:bottom w:color="000000" w:space="0" w:sz="0" w:val="none"/>
          <w:right w:color="000000" w:space="0" w:sz="0" w:val="none"/>
          <w:between w:color="000000" w:space="0" w:sz="0" w:val="none"/>
        </w:pBdr>
        <w:spacing w:after="240" w:line="240" w:lineRule="auto"/>
        <w:rPr>
          <w:color w:val="444444"/>
          <w:sz w:val="24"/>
          <w:szCs w:val="24"/>
        </w:rPr>
      </w:pPr>
      <w:r w:rsidDel="00000000" w:rsidR="00000000" w:rsidRPr="00000000">
        <w:rPr>
          <w:i w:val="1"/>
          <w:color w:val="444444"/>
          <w:sz w:val="24"/>
          <w:szCs w:val="24"/>
          <w:rtl w:val="0"/>
        </w:rPr>
        <w:t xml:space="preserve">No fue posible encontrar la densidad de la Coca Cola en Chile entonces no podría asegurar ninguna respuesta, son solo suposiciones.</w:t>
      </w:r>
      <w:r w:rsidDel="00000000" w:rsidR="00000000" w:rsidRPr="00000000">
        <w:rPr>
          <w:rtl w:val="0"/>
        </w:rPr>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between w:color="000000" w:space="0" w:sz="0" w:val="none"/>
        </w:pBdr>
        <w:spacing w:after="240" w:line="240" w:lineRule="auto"/>
        <w:rPr>
          <w:color w:val="444444"/>
          <w:sz w:val="24"/>
          <w:szCs w:val="24"/>
        </w:rPr>
      </w:pPr>
      <w:r w:rsidDel="00000000" w:rsidR="00000000" w:rsidRPr="00000000">
        <w:rPr>
          <w:rtl w:val="0"/>
        </w:rPr>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between w:color="000000" w:space="0" w:sz="0" w:val="none"/>
        </w:pBdr>
        <w:spacing w:after="240" w:line="240" w:lineRule="auto"/>
        <w:rPr>
          <w:b w:val="1"/>
          <w:color w:val="444444"/>
          <w:sz w:val="24"/>
          <w:szCs w:val="24"/>
          <w:highlight w:val="white"/>
        </w:rPr>
      </w:pPr>
      <w:r w:rsidDel="00000000" w:rsidR="00000000" w:rsidRPr="00000000">
        <w:rPr>
          <w:b w:val="1"/>
          <w:color w:val="444444"/>
          <w:sz w:val="24"/>
          <w:szCs w:val="24"/>
          <w:highlight w:val="white"/>
          <w:rtl w:val="0"/>
        </w:rPr>
        <w:t xml:space="preserve">Experimento de Harvard:</w:t>
      </w:r>
    </w:p>
    <w:p w:rsidR="00000000" w:rsidDel="00000000" w:rsidP="00000000" w:rsidRDefault="00000000" w:rsidRPr="00000000" w14:paraId="00000014">
      <w:pPr>
        <w:pStyle w:val="Heading3"/>
        <w:keepNext w:val="0"/>
        <w:keepLines w:val="0"/>
        <w:pBdr>
          <w:top w:color="000000" w:space="0" w:sz="0" w:val="none"/>
          <w:left w:color="000000" w:space="0" w:sz="0" w:val="none"/>
          <w:bottom w:color="000000" w:space="0" w:sz="0" w:val="none"/>
          <w:right w:color="000000" w:space="0" w:sz="0" w:val="none"/>
          <w:between w:color="000000" w:space="0" w:sz="0" w:val="none"/>
        </w:pBdr>
        <w:spacing w:after="240" w:before="0" w:line="300" w:lineRule="auto"/>
        <w:rPr>
          <w:b w:val="1"/>
          <w:color w:val="444444"/>
          <w:sz w:val="24"/>
          <w:szCs w:val="24"/>
          <w:highlight w:val="white"/>
        </w:rPr>
      </w:pPr>
      <w:bookmarkStart w:colFirst="0" w:colLast="0" w:name="_s9kvl8n8fsbb" w:id="1"/>
      <w:bookmarkEnd w:id="1"/>
      <w:r w:rsidDel="00000000" w:rsidR="00000000" w:rsidRPr="00000000">
        <w:rPr>
          <w:b w:val="1"/>
          <w:color w:val="444444"/>
          <w:sz w:val="24"/>
          <w:szCs w:val="24"/>
          <w:highlight w:val="white"/>
          <w:rtl w:val="0"/>
        </w:rPr>
        <w:t xml:space="preserve">Comentarios</w:t>
      </w:r>
    </w:p>
    <w:p w:rsidR="00000000" w:rsidDel="00000000" w:rsidP="00000000" w:rsidRDefault="00000000" w:rsidRPr="00000000" w14:paraId="00000015">
      <w:pPr>
        <w:pBdr>
          <w:top w:color="000000" w:space="0" w:sz="0" w:val="none"/>
          <w:left w:color="000000" w:space="0" w:sz="0" w:val="none"/>
          <w:bottom w:color="000000" w:space="0" w:sz="0" w:val="none"/>
          <w:right w:color="000000" w:space="0" w:sz="0" w:val="none"/>
          <w:between w:color="000000" w:space="0" w:sz="0" w:val="none"/>
        </w:pBdr>
        <w:spacing w:after="240" w:lineRule="auto"/>
        <w:rPr>
          <w:color w:val="444444"/>
          <w:sz w:val="24"/>
          <w:szCs w:val="24"/>
          <w:highlight w:val="white"/>
        </w:rPr>
      </w:pPr>
      <w:r w:rsidDel="00000000" w:rsidR="00000000" w:rsidRPr="00000000">
        <w:rPr>
          <w:color w:val="444444"/>
          <w:sz w:val="24"/>
          <w:szCs w:val="24"/>
          <w:highlight w:val="white"/>
          <w:rtl w:val="0"/>
        </w:rPr>
        <w:t xml:space="preserve">Aunque el volumen de cada lata es de 355 ml, al verter el contenido en una probeta graduada, hemos descubierto que cada una contiene aproximadamente 352 ml de líquido. Dado que la masa y el volumen de la lata de aluminio y el gas comprimido son prácticamente iguales para la Coca-Cola y la Coca-Cola Light, el factor decisivo es la densidad del líquido. Nuestro experimento aproximado —pesando diferentes volúmenes de líquido en una probeta graduada— arroja una densidad media de 0,911 g/ml para la Coca-Cola Light y de 1,026 g/ml para la Coca-Cola normal. Como alternativa, se podría examinar la información nutricional de la lata de Coca-Cola normal y calcular la densidad de una solución compuesta por 352 gramos de agua y 39 gramos de azúcar disuelto.</w:t>
      </w:r>
    </w:p>
    <w:p w:rsidR="00000000" w:rsidDel="00000000" w:rsidP="00000000" w:rsidRDefault="00000000" w:rsidRPr="00000000" w14:paraId="00000016">
      <w:pPr>
        <w:rPr>
          <w:b w:val="1"/>
          <w:color w:val="444444"/>
          <w:sz w:val="27"/>
          <w:szCs w:val="27"/>
          <w:highlight w:val="white"/>
        </w:rPr>
      </w:pPr>
      <w:r w:rsidDel="00000000" w:rsidR="00000000" w:rsidRPr="00000000">
        <w:rPr>
          <w:b w:val="1"/>
          <w:color w:val="444444"/>
          <w:sz w:val="27"/>
          <w:szCs w:val="27"/>
          <w:highlight w:val="white"/>
          <w:rtl w:val="0"/>
        </w:rPr>
        <w:t xml:space="preserve">Fotos:</w:t>
      </w:r>
    </w:p>
    <w:p w:rsidR="00000000" w:rsidDel="00000000" w:rsidP="00000000" w:rsidRDefault="00000000" w:rsidRPr="00000000" w14:paraId="00000017">
      <w:pPr>
        <w:rPr>
          <w:b w:val="1"/>
          <w:color w:val="444444"/>
          <w:sz w:val="24"/>
          <w:szCs w:val="24"/>
          <w:highlight w:val="white"/>
        </w:rPr>
      </w:pPr>
      <w:r w:rsidDel="00000000" w:rsidR="00000000" w:rsidRPr="00000000">
        <w:rPr>
          <w:rtl w:val="0"/>
        </w:rPr>
      </w:r>
    </w:p>
    <w:p w:rsidR="00000000" w:rsidDel="00000000" w:rsidP="00000000" w:rsidRDefault="00000000" w:rsidRPr="00000000" w14:paraId="00000018">
      <w:pPr>
        <w:rPr>
          <w:color w:val="444444"/>
          <w:sz w:val="24"/>
          <w:szCs w:val="24"/>
          <w:highlight w:val="white"/>
        </w:rPr>
      </w:pPr>
      <w:r w:rsidDel="00000000" w:rsidR="00000000" w:rsidRPr="00000000">
        <w:rPr>
          <w:rtl w:val="0"/>
        </w:rPr>
      </w:r>
    </w:p>
    <w:p w:rsidR="00000000" w:rsidDel="00000000" w:rsidP="00000000" w:rsidRDefault="00000000" w:rsidRPr="00000000" w14:paraId="00000019">
      <w:pPr>
        <w:rPr>
          <w:color w:val="444444"/>
          <w:sz w:val="24"/>
          <w:szCs w:val="24"/>
          <w:highlight w:val="white"/>
        </w:rPr>
      </w:pPr>
      <w:r w:rsidDel="00000000" w:rsidR="00000000" w:rsidRPr="00000000">
        <w:rPr>
          <w:color w:val="444444"/>
          <w:sz w:val="24"/>
          <w:szCs w:val="24"/>
          <w:highlight w:val="white"/>
        </w:rPr>
        <w:drawing>
          <wp:inline distB="114300" distT="114300" distL="114300" distR="114300">
            <wp:extent cx="2366963" cy="2561507"/>
            <wp:effectExtent b="0" l="0" r="0" t="0"/>
            <wp:docPr id="1" name="image1.jpg"/>
            <a:graphic>
              <a:graphicData uri="http://schemas.openxmlformats.org/drawingml/2006/picture">
                <pic:pic>
                  <pic:nvPicPr>
                    <pic:cNvPr id="0" name="image1.jpg"/>
                    <pic:cNvPicPr preferRelativeResize="0"/>
                  </pic:nvPicPr>
                  <pic:blipFill>
                    <a:blip r:embed="rId6"/>
                    <a:srcRect b="7098" l="0" r="0" t="11581"/>
                    <a:stretch>
                      <a:fillRect/>
                    </a:stretch>
                  </pic:blipFill>
                  <pic:spPr>
                    <a:xfrm>
                      <a:off x="0" y="0"/>
                      <a:ext cx="2366963" cy="2561507"/>
                    </a:xfrm>
                    <a:prstGeom prst="rect"/>
                    <a:ln/>
                  </pic:spPr>
                </pic:pic>
              </a:graphicData>
            </a:graphic>
          </wp:inline>
        </w:drawing>
      </w:r>
      <w:r w:rsidDel="00000000" w:rsidR="00000000" w:rsidRPr="00000000">
        <w:rPr>
          <w:color w:val="444444"/>
          <w:sz w:val="24"/>
          <w:szCs w:val="24"/>
          <w:highlight w:val="white"/>
        </w:rPr>
        <w:drawing>
          <wp:inline distB="114300" distT="114300" distL="114300" distR="114300">
            <wp:extent cx="3277787" cy="2465226"/>
            <wp:effectExtent b="0" l="0" r="0" t="0"/>
            <wp:docPr id="4"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3277787" cy="2465226"/>
                    </a:xfrm>
                    <a:prstGeom prst="rect"/>
                    <a:ln/>
                  </pic:spPr>
                </pic:pic>
              </a:graphicData>
            </a:graphic>
          </wp:inline>
        </w:drawing>
      </w:r>
      <w:r w:rsidDel="00000000" w:rsidR="00000000" w:rsidRPr="00000000">
        <w:rPr>
          <w:color w:val="444444"/>
          <w:sz w:val="24"/>
          <w:szCs w:val="24"/>
          <w:highlight w:val="white"/>
        </w:rPr>
        <w:drawing>
          <wp:inline distB="114300" distT="114300" distL="114300" distR="114300">
            <wp:extent cx="2386013" cy="2340128"/>
            <wp:effectExtent b="0" l="0" r="0" t="0"/>
            <wp:docPr id="3" name="image2.jpg"/>
            <a:graphic>
              <a:graphicData uri="http://schemas.openxmlformats.org/drawingml/2006/picture">
                <pic:pic>
                  <pic:nvPicPr>
                    <pic:cNvPr id="0" name="image2.jpg"/>
                    <pic:cNvPicPr preferRelativeResize="0"/>
                  </pic:nvPicPr>
                  <pic:blipFill>
                    <a:blip r:embed="rId8"/>
                    <a:srcRect b="8717" l="0" r="0" t="17559"/>
                    <a:stretch>
                      <a:fillRect/>
                    </a:stretch>
                  </pic:blipFill>
                  <pic:spPr>
                    <a:xfrm>
                      <a:off x="0" y="0"/>
                      <a:ext cx="2386013" cy="2340128"/>
                    </a:xfrm>
                    <a:prstGeom prst="rect"/>
                    <a:ln/>
                  </pic:spPr>
                </pic:pic>
              </a:graphicData>
            </a:graphic>
          </wp:inline>
        </w:drawing>
      </w:r>
      <w:r w:rsidDel="00000000" w:rsidR="00000000" w:rsidRPr="00000000">
        <w:rPr>
          <w:color w:val="444444"/>
          <w:sz w:val="24"/>
          <w:szCs w:val="24"/>
          <w:highlight w:val="white"/>
        </w:rPr>
        <w:drawing>
          <wp:inline distB="114300" distT="114300" distL="114300" distR="114300">
            <wp:extent cx="2195513" cy="2341368"/>
            <wp:effectExtent b="0" l="0" r="0" t="0"/>
            <wp:docPr id="5" name="image3.jpg"/>
            <a:graphic>
              <a:graphicData uri="http://schemas.openxmlformats.org/drawingml/2006/picture">
                <pic:pic>
                  <pic:nvPicPr>
                    <pic:cNvPr id="0" name="image3.jpg"/>
                    <pic:cNvPicPr preferRelativeResize="0"/>
                  </pic:nvPicPr>
                  <pic:blipFill>
                    <a:blip r:embed="rId9"/>
                    <a:srcRect b="0" l="0" r="0" t="20423"/>
                    <a:stretch>
                      <a:fillRect/>
                    </a:stretch>
                  </pic:blipFill>
                  <pic:spPr>
                    <a:xfrm>
                      <a:off x="0" y="0"/>
                      <a:ext cx="2195513" cy="2341368"/>
                    </a:xfrm>
                    <a:prstGeom prst="rect"/>
                    <a:ln/>
                  </pic:spPr>
                </pic:pic>
              </a:graphicData>
            </a:graphic>
          </wp:inline>
        </w:drawing>
      </w:r>
      <w:r w:rsidDel="00000000" w:rsidR="00000000" w:rsidRPr="00000000">
        <w:rPr>
          <w:color w:val="444444"/>
          <w:sz w:val="24"/>
          <w:szCs w:val="24"/>
          <w:highlight w:val="white"/>
        </w:rPr>
        <w:drawing>
          <wp:inline distB="114300" distT="114300" distL="114300" distR="114300">
            <wp:extent cx="2979245" cy="2897498"/>
            <wp:effectExtent b="0" l="0" r="0" t="0"/>
            <wp:docPr id="2" name="image5.jpg"/>
            <a:graphic>
              <a:graphicData uri="http://schemas.openxmlformats.org/drawingml/2006/picture">
                <pic:pic>
                  <pic:nvPicPr>
                    <pic:cNvPr id="0" name="image5.jpg"/>
                    <pic:cNvPicPr preferRelativeResize="0"/>
                  </pic:nvPicPr>
                  <pic:blipFill>
                    <a:blip r:embed="rId10"/>
                    <a:srcRect b="10585" l="0" r="0" t="16438"/>
                    <a:stretch>
                      <a:fillRect/>
                    </a:stretch>
                  </pic:blipFill>
                  <pic:spPr>
                    <a:xfrm>
                      <a:off x="0" y="0"/>
                      <a:ext cx="2979245" cy="2897498"/>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color w:val="444444"/>
          <w:sz w:val="24"/>
          <w:szCs w:val="24"/>
          <w:highlight w:val="white"/>
        </w:rPr>
      </w:pPr>
      <w:r w:rsidDel="00000000" w:rsidR="00000000" w:rsidRPr="00000000">
        <w:rPr>
          <w:color w:val="444444"/>
          <w:sz w:val="24"/>
          <w:szCs w:val="24"/>
          <w:highlight w:val="white"/>
          <w:rtl w:val="0"/>
        </w:rPr>
        <w:t xml:space="preserve">Bibliografía:</w:t>
      </w:r>
    </w:p>
    <w:p w:rsidR="00000000" w:rsidDel="00000000" w:rsidP="00000000" w:rsidRDefault="00000000" w:rsidRPr="00000000" w14:paraId="0000001B">
      <w:pPr>
        <w:rPr>
          <w:color w:val="444444"/>
          <w:sz w:val="24"/>
          <w:szCs w:val="24"/>
          <w:highlight w:val="white"/>
        </w:rPr>
      </w:pPr>
      <w:hyperlink r:id="rId11">
        <w:r w:rsidDel="00000000" w:rsidR="00000000" w:rsidRPr="00000000">
          <w:rPr>
            <w:color w:val="1155cc"/>
            <w:highlight w:val="white"/>
            <w:u w:val="single"/>
            <w:rtl w:val="0"/>
          </w:rPr>
          <w:t xml:space="preserve">https://sciencedemonstrations-fas-harvard-edu.translate.goog/presentations/coke-can-buoyancy?_x_tr_sl=en&amp;_x_tr_tl=es&amp;_x_tr_hl=es&amp;_x_tr_pto=sge#:~:text=Our%20own%20rough%20experiment%E2%80%94weighing,g/mL%20for%20regular%20Coke</w:t>
        </w:r>
      </w:hyperlink>
      <w:r w:rsidDel="00000000" w:rsidR="00000000" w:rsidRPr="00000000">
        <w:rPr>
          <w:color w:val="444444"/>
          <w:highlight w:val="white"/>
          <w:rtl w:val="0"/>
        </w:rPr>
        <w:t xml:space="preserve">.</w:t>
      </w:r>
      <w:r w:rsidDel="00000000" w:rsidR="00000000" w:rsidRPr="00000000">
        <w:rPr>
          <w:rtl w:val="0"/>
        </w:rPr>
      </w:r>
    </w:p>
    <w:sectPr>
      <w:headerReference r:id="rId1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ciencedemonstrations-fas-harvard-edu.translate.goog/presentations/coke-can-buoyancy?_x_tr_sl=en&amp;_x_tr_tl=es&amp;_x_tr_hl=es&amp;_x_tr_pto=sge#:~:text=Our%20own%20rough%20experiment%E2%80%94weighing,g/mL%20for%20regular%20Coke" TargetMode="External"/><Relationship Id="rId10" Type="http://schemas.openxmlformats.org/officeDocument/2006/relationships/image" Target="media/image5.jpg"/><Relationship Id="rId12" Type="http://schemas.openxmlformats.org/officeDocument/2006/relationships/header" Target="head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4.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