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D8149" w14:textId="77777777" w:rsidR="00821B66" w:rsidRPr="00BF077B" w:rsidRDefault="00821B66" w:rsidP="00BF077B">
      <w:pPr>
        <w:pStyle w:val="ATSNormal"/>
        <w:rPr>
          <w:rStyle w:val="Ttulodellibro"/>
        </w:rPr>
      </w:pPr>
    </w:p>
    <w:p w14:paraId="5EE5A017" w14:textId="77777777" w:rsidR="00821B66" w:rsidRDefault="00821B66" w:rsidP="004B4A60">
      <w:pPr>
        <w:rPr>
          <w:b/>
          <w:u w:val="single"/>
          <w:lang w:val="es-ES_tradnl"/>
        </w:rPr>
      </w:pPr>
    </w:p>
    <w:p w14:paraId="2A3B72A4" w14:textId="77777777" w:rsidR="00821B66" w:rsidRDefault="00821B66" w:rsidP="004B4A60">
      <w:pPr>
        <w:rPr>
          <w:b/>
          <w:u w:val="single"/>
          <w:lang w:val="es-ES_tradnl"/>
        </w:rPr>
      </w:pPr>
    </w:p>
    <w:p w14:paraId="45A9C0B7" w14:textId="77777777" w:rsidR="00821B66" w:rsidRDefault="00821B66" w:rsidP="004B4A60">
      <w:pPr>
        <w:rPr>
          <w:b/>
          <w:u w:val="single"/>
          <w:lang w:val="es-ES_tradnl"/>
        </w:rPr>
      </w:pPr>
    </w:p>
    <w:p w14:paraId="1C52FCBB" w14:textId="77777777" w:rsidR="00821B66" w:rsidRDefault="00821B66" w:rsidP="004B4A60">
      <w:pPr>
        <w:rPr>
          <w:b/>
          <w:u w:val="single"/>
          <w:lang w:val="es-ES_tradnl"/>
        </w:rPr>
      </w:pPr>
    </w:p>
    <w:p w14:paraId="36B65A04" w14:textId="77777777" w:rsidR="00821B66" w:rsidRDefault="00821B66" w:rsidP="004B4A60">
      <w:pPr>
        <w:rPr>
          <w:b/>
          <w:u w:val="single"/>
          <w:lang w:val="es-ES_tradnl"/>
        </w:rPr>
      </w:pPr>
    </w:p>
    <w:p w14:paraId="0CA81B41" w14:textId="77777777" w:rsidR="00821B66" w:rsidRPr="0057246E" w:rsidRDefault="00821B66" w:rsidP="001B789F">
      <w:pPr>
        <w:pStyle w:val="ATSTitle"/>
      </w:pPr>
      <w:bookmarkStart w:id="0" w:name="name"/>
      <w:r>
        <w:t>Long-term monitoring status of Antarctic nearshore marine and terrestrial flora and fauna</w:t>
      </w:r>
      <w:bookmarkEnd w:id="0"/>
    </w:p>
    <w:p w14:paraId="282A5140" w14:textId="77777777" w:rsidR="00821B66" w:rsidRPr="0057246E" w:rsidRDefault="00821B66" w:rsidP="00F75424">
      <w:pPr>
        <w:jc w:val="center"/>
      </w:pPr>
    </w:p>
    <w:p w14:paraId="7A7BC669" w14:textId="77777777" w:rsidR="00821B66" w:rsidRPr="002F0A13" w:rsidRDefault="00821B66" w:rsidP="002F0A13"/>
    <w:p w14:paraId="797792E4" w14:textId="77777777" w:rsidR="00821B66" w:rsidRDefault="00821B66" w:rsidP="00F75424">
      <w:pPr>
        <w:jc w:val="center"/>
      </w:pPr>
      <w:bookmarkStart w:id="1" w:name="memo"/>
      <w:bookmarkEnd w:id="1"/>
    </w:p>
    <w:p w14:paraId="7B4B32A1" w14:textId="77777777" w:rsidR="00821B66" w:rsidRDefault="00821B66" w:rsidP="00F75424">
      <w:pPr>
        <w:jc w:val="center"/>
      </w:pPr>
    </w:p>
    <w:p w14:paraId="0EE249CB" w14:textId="77777777" w:rsidR="00821B66" w:rsidRDefault="00821B66" w:rsidP="00F75424">
      <w:pPr>
        <w:jc w:val="center"/>
      </w:pPr>
    </w:p>
    <w:p w14:paraId="1A35BB9A" w14:textId="77777777" w:rsidR="00821B66" w:rsidRDefault="00821B66" w:rsidP="00F75424">
      <w:pPr>
        <w:jc w:val="center"/>
      </w:pPr>
    </w:p>
    <w:p w14:paraId="1A6AC808" w14:textId="77777777" w:rsidR="00821B66" w:rsidRPr="00C26F2D" w:rsidRDefault="00821B66" w:rsidP="00F75424">
      <w:pPr>
        <w:jc w:val="center"/>
      </w:pPr>
    </w:p>
    <w:p w14:paraId="0D88A085" w14:textId="77777777" w:rsidR="00821B66" w:rsidRPr="0057246E" w:rsidRDefault="00821B66" w:rsidP="004B4A60"/>
    <w:p w14:paraId="4D82B7FA" w14:textId="77777777" w:rsidR="00821B66" w:rsidRDefault="00821B66" w:rsidP="00952E9F">
      <w:pPr>
        <w:sectPr w:rsidR="00821B66" w:rsidSect="00D5023C">
          <w:headerReference w:type="even" r:id="rId8"/>
          <w:headerReference w:type="default" r:id="rId9"/>
          <w:footerReference w:type="even" r:id="rId10"/>
          <w:footerReference w:type="default" r:id="rId11"/>
          <w:headerReference w:type="first" r:id="rId12"/>
          <w:footerReference w:type="first" r:id="rId13"/>
          <w:pgSz w:w="11907" w:h="16840" w:code="9"/>
          <w:pgMar w:top="1134" w:right="1701" w:bottom="1134" w:left="1701" w:header="709" w:footer="709" w:gutter="0"/>
          <w:cols w:space="708"/>
          <w:docGrid w:linePitch="360"/>
        </w:sectPr>
      </w:pPr>
    </w:p>
    <w:p w14:paraId="3A16516B" w14:textId="77777777" w:rsidR="00333116" w:rsidRPr="00DE77E5" w:rsidRDefault="00333116" w:rsidP="00333116">
      <w:pPr>
        <w:pStyle w:val="ATSHeading1"/>
      </w:pPr>
      <w:r>
        <w:lastRenderedPageBreak/>
        <w:t>Long-term monitoring status of Antarctic nearshore marine and terrestrial flora and fauna</w:t>
      </w:r>
    </w:p>
    <w:p w14:paraId="053E5841" w14:textId="77777777" w:rsidR="00333116" w:rsidRPr="00DE77E5" w:rsidRDefault="00333116" w:rsidP="00333116">
      <w:pPr>
        <w:pStyle w:val="ATSHeading2"/>
      </w:pPr>
      <w:r w:rsidRPr="00DE77E5">
        <w:t>Sum</w:t>
      </w:r>
      <w:r>
        <w:t>mary</w:t>
      </w:r>
    </w:p>
    <w:p w14:paraId="43CC7C0C" w14:textId="77777777" w:rsidR="00333116" w:rsidRDefault="00333116" w:rsidP="00333116">
      <w:pPr>
        <w:pStyle w:val="ASNormal"/>
      </w:pPr>
      <w:r>
        <w:t>Parties have long recognised the importance of monitoring for achieving the goals of the Environmental Protocol. A systematic assessment of</w:t>
      </w:r>
      <w:sdt>
        <w:sdtPr>
          <w:tag w:val="goog_rdk_2"/>
          <w:id w:val="-1882710884"/>
        </w:sdtPr>
        <w:sdtEndPr/>
        <w:sdtContent>
          <w:sdt>
            <w:sdtPr>
              <w:tag w:val="goog_rdk_3"/>
              <w:id w:val="78489455"/>
            </w:sdtPr>
            <w:sdtEndPr/>
            <w:sdtContent>
              <w:r>
                <w:t xml:space="preserve"> </w:t>
              </w:r>
              <w:r w:rsidRPr="00D04296">
                <w:t>nearshore marine and terrestrial</w:t>
              </w:r>
              <w:r>
                <w:t xml:space="preserve"> </w:t>
              </w:r>
              <w:r w:rsidRPr="009E29E3">
                <w:t xml:space="preserve">nearshore </w:t>
              </w:r>
            </w:sdtContent>
          </w:sdt>
        </w:sdtContent>
      </w:sdt>
      <w:r>
        <w:t>biodiversity monitoring shows that most focus has been on penguins and seals, though concentrated in some regions of the continent and sparse in others. Monitoring of plants and invertebrates is much less common despite their importance for understanding change. New automated methods offer effective ways to improve continent-wide monitoring to support decision-making.</w:t>
      </w:r>
    </w:p>
    <w:p w14:paraId="16BFA850" w14:textId="77777777" w:rsidR="00333116" w:rsidRDefault="00333116" w:rsidP="00333116">
      <w:pPr>
        <w:pStyle w:val="ATSHeading2"/>
        <w:rPr>
          <w:rFonts w:eastAsia="Arial"/>
        </w:rPr>
      </w:pPr>
      <w:r>
        <w:rPr>
          <w:rFonts w:eastAsia="Arial"/>
        </w:rPr>
        <w:t>Background</w:t>
      </w:r>
    </w:p>
    <w:p w14:paraId="51A8B145" w14:textId="77777777" w:rsidR="00333116" w:rsidRPr="00DD2A50" w:rsidRDefault="00333116" w:rsidP="00333116">
      <w:pPr>
        <w:pStyle w:val="ASNormal"/>
      </w:pPr>
      <w:r>
        <w:t xml:space="preserve">Environmental monitoring has long been of importance to the Parties as reflected in early discussions (ATCM15 WP21), and recent activities such as those of the Intersessional Contact Group on an international framework for environmental monitoring (ATCM47 WP6). Identification of long-term change in the biodiversity of nearshore marine and terrestrial biota can inform management practices for species, communities and ecosystems which may be vulnerable or at risk, enabling </w:t>
      </w:r>
      <w:r w:rsidRPr="00DD2A50">
        <w:t>Parties to recommend actions to mitigate risks (ATCM45 IP045).</w:t>
      </w:r>
    </w:p>
    <w:p w14:paraId="4FA58459" w14:textId="77777777" w:rsidR="00333116" w:rsidRDefault="00333116" w:rsidP="00333116">
      <w:pPr>
        <w:pStyle w:val="ASNormal"/>
      </w:pPr>
      <w:r w:rsidRPr="00DD2A50">
        <w:t xml:space="preserve">Reflecting its utility for informing decisions, monitoring of long-term </w:t>
      </w:r>
      <w:sdt>
        <w:sdtPr>
          <w:tag w:val="goog_rdk_4"/>
          <w:id w:val="-1094324004"/>
        </w:sdtPr>
        <w:sdtEndPr/>
        <w:sdtContent>
          <w:sdt>
            <w:sdtPr>
              <w:tag w:val="goog_rdk_5"/>
              <w:id w:val="2058963755"/>
            </w:sdtPr>
            <w:sdtEndPr/>
            <w:sdtContent>
              <w:r w:rsidRPr="00DD2A50">
                <w:t xml:space="preserve">ecosystem </w:t>
              </w:r>
            </w:sdtContent>
          </w:sdt>
        </w:sdtContent>
      </w:sdt>
      <w:r w:rsidRPr="00DD2A50">
        <w:t>change has become a priority in both the CEP Five-Year Work Plan</w:t>
      </w:r>
      <w:r>
        <w:t xml:space="preserve"> and the Climate Change Response Work Programme, and a primary topic of discussion for the joint workshops of the CEP and SC-CAMLR (ATCM47 WP37), including the upcoming joint workshop in association with ATCM 48.</w:t>
      </w:r>
    </w:p>
    <w:p w14:paraId="1BD333D5" w14:textId="77777777" w:rsidR="00333116" w:rsidRDefault="00333116" w:rsidP="00333116">
      <w:pPr>
        <w:pStyle w:val="ASNormal"/>
      </w:pPr>
      <w:r>
        <w:t xml:space="preserve">To improve long-term monitoring efforts for decision-making, understanding of the current scope of monitoring and the variables (parameters and/or indicators) being monitored is essential (ATCM47 WP6). </w:t>
      </w:r>
    </w:p>
    <w:p w14:paraId="107842A1" w14:textId="77777777" w:rsidR="00333116" w:rsidRDefault="00333116" w:rsidP="00333116">
      <w:pPr>
        <w:pStyle w:val="ASNormal"/>
        <w:rPr>
          <w:strike/>
        </w:rPr>
      </w:pPr>
      <w:r>
        <w:t>This paper summarises the findings of a synthetic review of published studies on the monitoring of fauna and flora conducted in Antarctic terrestrial and nearshore marine environments.</w:t>
      </w:r>
    </w:p>
    <w:p w14:paraId="70A0E291" w14:textId="77777777" w:rsidR="00333116" w:rsidRDefault="00333116" w:rsidP="00333116">
      <w:pPr>
        <w:pStyle w:val="ATSHeading2"/>
        <w:rPr>
          <w:rFonts w:eastAsia="Arial"/>
        </w:rPr>
      </w:pPr>
      <w:r>
        <w:rPr>
          <w:rFonts w:eastAsia="Arial"/>
        </w:rPr>
        <w:t>Key findings</w:t>
      </w:r>
    </w:p>
    <w:p w14:paraId="6720CAD6" w14:textId="77777777" w:rsidR="00333116" w:rsidRDefault="00333116" w:rsidP="00333116">
      <w:pPr>
        <w:pStyle w:val="ASNormal"/>
      </w:pPr>
      <w:r w:rsidRPr="5DEC42E4">
        <w:t>Around Antarctica, nearshore and terrestrial long-term monitoring efforts are concentrated along the western Antarctic Peninsula and Scotia Arc (Figure 1). The focus on this region likely reflects ease of accessibility to sites, as well as more ice-free areas on the peninsula (</w:t>
      </w:r>
      <w:sdt>
        <w:sdtPr>
          <w:tag w:val="goog_rdk_8"/>
          <w:id w:val="-651117660"/>
        </w:sdtPr>
        <w:sdtEndPr/>
        <w:sdtContent/>
      </w:sdt>
      <w:r w:rsidRPr="005666FE">
        <w:t>ATCM XL</w:t>
      </w:r>
      <w:r>
        <w:t xml:space="preserve"> </w:t>
      </w:r>
      <w:r w:rsidRPr="005666FE">
        <w:t>IP0</w:t>
      </w:r>
      <w:r>
        <w:t xml:space="preserve">84). Although the overall number of studies reporting monitoring for </w:t>
      </w:r>
      <w:r w:rsidRPr="005B6357">
        <w:t>≥</w:t>
      </w:r>
      <w:r>
        <w:t xml:space="preserve">3 years is limited (136), more than half of these provided data extending &gt;10 years. Only 10% of monitoring sites are located within Antarctic Specially Protected Areas (ASPAs). </w:t>
      </w:r>
    </w:p>
    <w:p w14:paraId="70125ED0" w14:textId="77777777" w:rsidR="00333116" w:rsidRDefault="00333116" w:rsidP="00333116">
      <w:pPr>
        <w:spacing w:before="100" w:beforeAutospacing="1" w:after="100" w:afterAutospacing="1"/>
      </w:pPr>
      <w:r>
        <w:rPr>
          <w:noProof/>
        </w:rPr>
        <w:lastRenderedPageBreak/>
        <w:drawing>
          <wp:inline distT="0" distB="0" distL="0" distR="0" wp14:anchorId="71325344" wp14:editId="32B13990">
            <wp:extent cx="5400675" cy="3821040"/>
            <wp:effectExtent l="0" t="0" r="0" b="1905"/>
            <wp:docPr id="1085698476" name="Picture 3"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698476" name="Picture 3" descr="A map of the worl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0675" cy="3821040"/>
                    </a:xfrm>
                    <a:prstGeom prst="rect">
                      <a:avLst/>
                    </a:prstGeom>
                  </pic:spPr>
                </pic:pic>
              </a:graphicData>
            </a:graphic>
          </wp:inline>
        </w:drawing>
      </w:r>
    </w:p>
    <w:p w14:paraId="0BCC410F" w14:textId="77777777" w:rsidR="00333116" w:rsidRDefault="00333116" w:rsidP="00333116">
      <w:pPr>
        <w:pStyle w:val="ASNormal"/>
      </w:pPr>
      <w:r>
        <w:rPr>
          <w:b/>
          <w:bCs/>
        </w:rPr>
        <w:t>Figure 1</w:t>
      </w:r>
      <w:r w:rsidRPr="005B6357">
        <w:t xml:space="preserve"> -</w:t>
      </w:r>
      <w:r>
        <w:t xml:space="preserve"> Map of nearshore and terrestrial long-term monitoring locations across Antarctica in relation to the 16 Antarctic Conservation Biogeographic Regions (ACBR). Dot size is relative to the number of studies at a given location. Reproduced from Jones et al. (2025).</w:t>
      </w:r>
    </w:p>
    <w:p w14:paraId="35E89AB7" w14:textId="77777777" w:rsidR="00333116" w:rsidRPr="007E1B35" w:rsidRDefault="00333116" w:rsidP="00333116">
      <w:pPr>
        <w:pStyle w:val="ASNormal"/>
      </w:pPr>
    </w:p>
    <w:p w14:paraId="37843626" w14:textId="77777777" w:rsidR="00333116" w:rsidRPr="005B6357" w:rsidRDefault="00333116" w:rsidP="00333116">
      <w:pPr>
        <w:pStyle w:val="ASNormal"/>
        <w:rPr>
          <w:szCs w:val="22"/>
        </w:rPr>
      </w:pPr>
      <w:r w:rsidRPr="005B6357">
        <w:rPr>
          <w:szCs w:val="22"/>
        </w:rPr>
        <w:t>Most monitoring is focused on birds and mammals (~65%). By contrast, smaller or cryptic terrestrial groups, such as mosses, lichens, fungi, invertebrates and microbes are less commonly monitored (&lt;15% of studies), despite their significance in Antarctic ecosystems (Figure 2).</w:t>
      </w:r>
    </w:p>
    <w:p w14:paraId="661E1736" w14:textId="77777777" w:rsidR="00333116" w:rsidRPr="005B6357" w:rsidRDefault="00333116" w:rsidP="00333116">
      <w:pPr>
        <w:pStyle w:val="ASNormal"/>
        <w:rPr>
          <w:szCs w:val="22"/>
        </w:rPr>
      </w:pPr>
      <w:r w:rsidRPr="005B6357">
        <w:rPr>
          <w:szCs w:val="22"/>
        </w:rPr>
        <w:t>Species abundance is the most measured parameter across all taxonomic groups, while &lt;10% of studies measure factors that account for health changes (e.g. growth rate, physiology, phenology). Monitoring studies often deploy different methodologies, including for the same parameters, complicating comparisons among them because methods are not standardised.</w:t>
      </w:r>
    </w:p>
    <w:p w14:paraId="2B6D506E" w14:textId="77777777" w:rsidR="00333116" w:rsidRDefault="00333116" w:rsidP="00333116">
      <w:pPr>
        <w:spacing w:before="100" w:beforeAutospacing="1" w:after="100" w:afterAutospacing="1"/>
      </w:pPr>
      <w:r>
        <w:rPr>
          <w:b/>
          <w:bCs/>
          <w:noProof/>
          <w:sz w:val="20"/>
          <w:szCs w:val="20"/>
        </w:rPr>
        <w:lastRenderedPageBreak/>
        <w:drawing>
          <wp:inline distT="0" distB="0" distL="0" distR="0" wp14:anchorId="53FA057B" wp14:editId="39B1140E">
            <wp:extent cx="5400675" cy="3033616"/>
            <wp:effectExtent l="0" t="0" r="0" b="1905"/>
            <wp:docPr id="1150561678" name="Picture 2"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561678" name="Picture 2" descr="A close-up of a diagra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00675" cy="3033616"/>
                    </a:xfrm>
                    <a:prstGeom prst="rect">
                      <a:avLst/>
                    </a:prstGeom>
                  </pic:spPr>
                </pic:pic>
              </a:graphicData>
            </a:graphic>
          </wp:inline>
        </w:drawing>
      </w:r>
    </w:p>
    <w:p w14:paraId="1BB34F53" w14:textId="77777777" w:rsidR="00333116" w:rsidRDefault="00333116" w:rsidP="00333116">
      <w:pPr>
        <w:pStyle w:val="ASNormal"/>
      </w:pPr>
      <w:r>
        <w:rPr>
          <w:b/>
          <w:bCs/>
        </w:rPr>
        <w:t xml:space="preserve">Figure 2 </w:t>
      </w:r>
      <w:r w:rsidRPr="005B6357">
        <w:t xml:space="preserve">- </w:t>
      </w:r>
      <w:r>
        <w:t>Synopsis of long-term monitoring studies of Antarctic nearshore and terrestrial biota. The most common biological parameters measured were 1) abundance, 2) breeding season, and 3) biodiversity, which included species composition, species richness, community structure and taxonomic surveys. Of the 136 long-term studies on Antarctic biota, only 58% attempt to measure and/or use environmental covariates alongside measured biological parameters to attribute change. Reproduced from Jones et al. (2025).</w:t>
      </w:r>
    </w:p>
    <w:p w14:paraId="48F6E1F1" w14:textId="77777777" w:rsidR="00333116" w:rsidRDefault="00333116" w:rsidP="00333116">
      <w:pPr>
        <w:pStyle w:val="ASNormal"/>
      </w:pPr>
    </w:p>
    <w:p w14:paraId="4246BCA2" w14:textId="77777777" w:rsidR="00333116" w:rsidRPr="005B6357" w:rsidRDefault="00333116" w:rsidP="00333116">
      <w:pPr>
        <w:pStyle w:val="ASNormal"/>
        <w:rPr>
          <w:szCs w:val="22"/>
        </w:rPr>
      </w:pPr>
      <w:r w:rsidRPr="005B6357">
        <w:rPr>
          <w:szCs w:val="22"/>
        </w:rPr>
        <w:t xml:space="preserve">Based on these findings, several improvements could readily be implemented to improve the value of long-term monitoring in Antarctica (Figure 3). These include: </w:t>
      </w:r>
    </w:p>
    <w:p w14:paraId="2EBF63C7" w14:textId="77777777" w:rsidR="00333116" w:rsidRPr="005B6357" w:rsidRDefault="00333116" w:rsidP="00333116">
      <w:pPr>
        <w:pStyle w:val="ATSBullet1"/>
        <w:numPr>
          <w:ilvl w:val="0"/>
          <w:numId w:val="11"/>
        </w:numPr>
      </w:pPr>
      <w:r w:rsidRPr="005B6357">
        <w:t xml:space="preserve">Improving consistency of data collection and the development of new approaches to improve comparability; </w:t>
      </w:r>
    </w:p>
    <w:p w14:paraId="7F63835C" w14:textId="77777777" w:rsidR="00333116" w:rsidRPr="005B6357" w:rsidRDefault="00333116" w:rsidP="00333116">
      <w:pPr>
        <w:pStyle w:val="ATSBullet1"/>
        <w:numPr>
          <w:ilvl w:val="0"/>
          <w:numId w:val="11"/>
        </w:numPr>
      </w:pPr>
      <w:r w:rsidRPr="005B6357">
        <w:t>Increasing representation of the entire ecosystem and all taxonomic groups, and establishing sentinel sites to ensure coverage of Antarctica is adequate both spatially and biologically (Appendix 1, see also ATCM47 IP057, ATCM47 IP072, ATCM47 IP147, WS-CC-2023/15);</w:t>
      </w:r>
    </w:p>
    <w:p w14:paraId="27B357DC" w14:textId="77777777" w:rsidR="00333116" w:rsidRPr="005B6357" w:rsidRDefault="00333116" w:rsidP="00333116">
      <w:pPr>
        <w:pStyle w:val="ATSBullet1"/>
        <w:numPr>
          <w:ilvl w:val="0"/>
          <w:numId w:val="11"/>
        </w:numPr>
      </w:pPr>
      <w:r w:rsidRPr="005B6357">
        <w:t xml:space="preserve">Coordinating biological monitoring with continuous collection of environmental data (e.g., temperature, sea ice extent) at appropriate spatial scales (Appendix 2, see </w:t>
      </w:r>
      <w:r w:rsidRPr="005B6357">
        <w:rPr>
          <w:highlight w:val="white"/>
        </w:rPr>
        <w:t>ATCM45 WP49</w:t>
      </w:r>
      <w:r w:rsidRPr="005B6357">
        <w:t>);</w:t>
      </w:r>
    </w:p>
    <w:p w14:paraId="263E5B14" w14:textId="77777777" w:rsidR="00333116" w:rsidRPr="005B6357" w:rsidRDefault="00333116" w:rsidP="00333116">
      <w:pPr>
        <w:pStyle w:val="ATSBullet1"/>
        <w:numPr>
          <w:ilvl w:val="0"/>
          <w:numId w:val="11"/>
        </w:numPr>
      </w:pPr>
      <w:r w:rsidRPr="005B6357">
        <w:t xml:space="preserve">Sharing of data under FAIR principles, and collaboration to enable more complete and robust comparisons over time (see </w:t>
      </w:r>
      <w:r w:rsidRPr="005B6357">
        <w:rPr>
          <w:highlight w:val="white"/>
        </w:rPr>
        <w:t>ATCM45 WP49</w:t>
      </w:r>
      <w:r w:rsidRPr="005B6357">
        <w:t>).</w:t>
      </w:r>
    </w:p>
    <w:p w14:paraId="4138E508" w14:textId="77777777" w:rsidR="00333116" w:rsidRPr="005B6357" w:rsidRDefault="00333116" w:rsidP="00333116">
      <w:pPr>
        <w:pStyle w:val="ASNormal"/>
        <w:rPr>
          <w:szCs w:val="22"/>
        </w:rPr>
      </w:pPr>
      <w:r w:rsidRPr="005B6357">
        <w:rPr>
          <w:szCs w:val="22"/>
        </w:rPr>
        <w:t xml:space="preserve">With rapid environmental changes already underway in polar ecosystems (Abram et al. 2025), the next decade is a decisive period for consolidating and establishing long-term ecological baselines. The upcoming International Polar Year (2032–33) and coordinated research efforts such as Antarctica </w:t>
      </w:r>
      <w:proofErr w:type="spellStart"/>
      <w:r w:rsidRPr="005B6357">
        <w:rPr>
          <w:szCs w:val="22"/>
        </w:rPr>
        <w:t>InSync</w:t>
      </w:r>
      <w:proofErr w:type="spellEnd"/>
      <w:r w:rsidRPr="005B6357">
        <w:rPr>
          <w:szCs w:val="22"/>
        </w:rPr>
        <w:t xml:space="preserve"> (2027–30) offer ideal platforms to unify efforts, share resources, and establish a durable legacy of environmental stewardship.</w:t>
      </w:r>
    </w:p>
    <w:p w14:paraId="3EB74AC8" w14:textId="77777777" w:rsidR="00333116" w:rsidRDefault="00333116" w:rsidP="00333116">
      <w:pPr>
        <w:spacing w:before="100" w:beforeAutospacing="1" w:after="100" w:afterAutospacing="1"/>
      </w:pPr>
      <w:r>
        <w:rPr>
          <w:b/>
          <w:bCs/>
          <w:noProof/>
          <w:sz w:val="20"/>
          <w:szCs w:val="20"/>
        </w:rPr>
        <w:lastRenderedPageBreak/>
        <w:drawing>
          <wp:inline distT="0" distB="0" distL="0" distR="0" wp14:anchorId="595B24CB" wp14:editId="189F5312">
            <wp:extent cx="5400675" cy="3019855"/>
            <wp:effectExtent l="0" t="0" r="0" b="3175"/>
            <wp:docPr id="945487379" name="Picture 4" descr="A map of the arc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487379" name="Picture 4" descr="A map of the arctic&#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00675" cy="3019855"/>
                    </a:xfrm>
                    <a:prstGeom prst="rect">
                      <a:avLst/>
                    </a:prstGeom>
                  </pic:spPr>
                </pic:pic>
              </a:graphicData>
            </a:graphic>
          </wp:inline>
        </w:drawing>
      </w:r>
    </w:p>
    <w:p w14:paraId="18BCC38F" w14:textId="77777777" w:rsidR="00333116" w:rsidRDefault="00333116" w:rsidP="00333116">
      <w:pPr>
        <w:pStyle w:val="ASNormal"/>
      </w:pPr>
      <w:r>
        <w:rPr>
          <w:b/>
          <w:bCs/>
        </w:rPr>
        <w:t xml:space="preserve">Figure 3 </w:t>
      </w:r>
      <w:r w:rsidRPr="005B6357">
        <w:t>-</w:t>
      </w:r>
      <w:r>
        <w:rPr>
          <w:b/>
          <w:bCs/>
        </w:rPr>
        <w:t xml:space="preserve"> </w:t>
      </w:r>
      <w:r>
        <w:t>Recommendations for improved long-term monitoring of Antarctic nearshore and terrestrial ecosystems based on the current limitations and gaps in published long-term monitoring studies. Modified from Jones et al. (2025).</w:t>
      </w:r>
    </w:p>
    <w:p w14:paraId="1CA703D1" w14:textId="77777777" w:rsidR="00333116" w:rsidRDefault="00333116" w:rsidP="00333116">
      <w:pPr>
        <w:pStyle w:val="ASNormal"/>
      </w:pPr>
    </w:p>
    <w:p w14:paraId="4E4A2B9D" w14:textId="77777777" w:rsidR="00333116" w:rsidRDefault="00333116" w:rsidP="00333116">
      <w:pPr>
        <w:pStyle w:val="ATSHeading2"/>
      </w:pPr>
      <w:r>
        <w:rPr>
          <w:rFonts w:eastAsia="Arial"/>
        </w:rPr>
        <w:t xml:space="preserve">Recommendations </w:t>
      </w:r>
    </w:p>
    <w:p w14:paraId="0E77F2D7" w14:textId="77777777" w:rsidR="00333116" w:rsidRDefault="00333116" w:rsidP="00333116">
      <w:pPr>
        <w:pStyle w:val="ASNormal"/>
      </w:pPr>
      <w:r>
        <w:t>Given these findings SCAR recommends that the Committee encourages Members to:</w:t>
      </w:r>
    </w:p>
    <w:p w14:paraId="2AABDC8D" w14:textId="77777777" w:rsidR="00333116" w:rsidRDefault="00333116" w:rsidP="00333116">
      <w:pPr>
        <w:pStyle w:val="ASNormal"/>
        <w:numPr>
          <w:ilvl w:val="0"/>
          <w:numId w:val="21"/>
        </w:numPr>
        <w:rPr>
          <w:color w:val="000000"/>
        </w:rPr>
      </w:pPr>
      <w:r w:rsidRPr="6496F97D">
        <w:rPr>
          <w:color w:val="000000" w:themeColor="text1"/>
        </w:rPr>
        <w:t xml:space="preserve">Support the commitment of national resources to existing and new nearshore and terrestrial monitoring </w:t>
      </w:r>
      <w:r>
        <w:t>programs</w:t>
      </w:r>
      <w:r w:rsidRPr="6496F97D">
        <w:rPr>
          <w:color w:val="000000" w:themeColor="text1"/>
        </w:rPr>
        <w:t>;</w:t>
      </w:r>
    </w:p>
    <w:p w14:paraId="1E38DAC7" w14:textId="77777777" w:rsidR="00333116" w:rsidRDefault="00333116" w:rsidP="00333116">
      <w:pPr>
        <w:pStyle w:val="ASNormal"/>
        <w:numPr>
          <w:ilvl w:val="0"/>
          <w:numId w:val="21"/>
        </w:numPr>
        <w:rPr>
          <w:color w:val="000000"/>
        </w:rPr>
      </w:pPr>
      <w:r>
        <w:rPr>
          <w:color w:val="000000"/>
        </w:rPr>
        <w:t>Support alignment of ongoing research programs in meteorology, climate s</w:t>
      </w:r>
      <w:r>
        <w:t>cience</w:t>
      </w:r>
      <w:r>
        <w:rPr>
          <w:color w:val="000000"/>
        </w:rPr>
        <w:t xml:space="preserve"> and biology to </w:t>
      </w:r>
      <w:r>
        <w:t>improve</w:t>
      </w:r>
      <w:r>
        <w:rPr>
          <w:color w:val="000000"/>
        </w:rPr>
        <w:t xml:space="preserve"> understanding of the drivers of biodiversity change and </w:t>
      </w:r>
      <w:r>
        <w:t xml:space="preserve">strengthen </w:t>
      </w:r>
      <w:r>
        <w:rPr>
          <w:color w:val="000000"/>
        </w:rPr>
        <w:t>options and decisions for mitigation;</w:t>
      </w:r>
    </w:p>
    <w:p w14:paraId="062DB7B3" w14:textId="77777777" w:rsidR="00333116" w:rsidRDefault="00333116" w:rsidP="00333116">
      <w:pPr>
        <w:pStyle w:val="ASNormal"/>
        <w:numPr>
          <w:ilvl w:val="0"/>
          <w:numId w:val="21"/>
        </w:numPr>
        <w:rPr>
          <w:color w:val="000000"/>
        </w:rPr>
      </w:pPr>
      <w:r w:rsidRPr="5DEC42E4">
        <w:t xml:space="preserve">Utilise </w:t>
      </w:r>
      <w:r w:rsidRPr="5DEC42E4">
        <w:rPr>
          <w:color w:val="000000" w:themeColor="text1"/>
        </w:rPr>
        <w:t>advan</w:t>
      </w:r>
      <w:r w:rsidRPr="5DEC42E4">
        <w:t>c</w:t>
      </w:r>
      <w:r w:rsidRPr="5DEC42E4">
        <w:rPr>
          <w:color w:val="000000" w:themeColor="text1"/>
        </w:rPr>
        <w:t xml:space="preserve">es </w:t>
      </w:r>
      <w:r w:rsidRPr="5DEC42E4">
        <w:t>in</w:t>
      </w:r>
      <w:r w:rsidRPr="5DEC42E4">
        <w:rPr>
          <w:color w:val="000000" w:themeColor="text1"/>
        </w:rPr>
        <w:t xml:space="preserve"> automated sensing and analysis platforms, </w:t>
      </w:r>
      <w:r w:rsidRPr="5DEC42E4">
        <w:t>alongside</w:t>
      </w:r>
      <w:r w:rsidRPr="5DEC42E4">
        <w:rPr>
          <w:color w:val="000000" w:themeColor="text1"/>
        </w:rPr>
        <w:t xml:space="preserve"> new capabilities in AI and machine</w:t>
      </w:r>
      <w:r w:rsidRPr="5DEC42E4">
        <w:t>-</w:t>
      </w:r>
      <w:r w:rsidRPr="5DEC42E4">
        <w:rPr>
          <w:color w:val="000000" w:themeColor="text1"/>
        </w:rPr>
        <w:t xml:space="preserve">learning, to monitor environments in real-time (e.g., ANTOS, </w:t>
      </w:r>
      <w:r w:rsidRPr="5DEC42E4">
        <w:t xml:space="preserve">INACH Red </w:t>
      </w:r>
      <w:r w:rsidRPr="5DEC42E4">
        <w:rPr>
          <w:color w:val="000000" w:themeColor="text1"/>
        </w:rPr>
        <w:t xml:space="preserve">and SAEF </w:t>
      </w:r>
      <w:proofErr w:type="spellStart"/>
      <w:r w:rsidRPr="5DEC42E4">
        <w:rPr>
          <w:color w:val="000000" w:themeColor="text1"/>
        </w:rPr>
        <w:t>AIoT</w:t>
      </w:r>
      <w:proofErr w:type="spellEnd"/>
      <w:r w:rsidRPr="5DEC42E4">
        <w:rPr>
          <w:color w:val="000000" w:themeColor="text1"/>
        </w:rPr>
        <w:t>) improving responses and decision-making options and supporting more informed and responsive management decisions;</w:t>
      </w:r>
    </w:p>
    <w:p w14:paraId="22ECF25F" w14:textId="77777777" w:rsidR="00333116" w:rsidRPr="005B6357" w:rsidRDefault="00333116" w:rsidP="00333116">
      <w:pPr>
        <w:pStyle w:val="ASNormal"/>
        <w:numPr>
          <w:ilvl w:val="0"/>
          <w:numId w:val="21"/>
        </w:numPr>
        <w:rPr>
          <w:color w:val="000000"/>
        </w:rPr>
      </w:pPr>
      <w:r w:rsidRPr="5DEC42E4">
        <w:rPr>
          <w:color w:val="000000" w:themeColor="text1"/>
        </w:rPr>
        <w:t xml:space="preserve">Collaborate, including with COMNAP and SCAR, to </w:t>
      </w:r>
      <w:r w:rsidRPr="5DEC42E4">
        <w:t xml:space="preserve">leverage </w:t>
      </w:r>
      <w:r w:rsidRPr="5DEC42E4">
        <w:rPr>
          <w:color w:val="000000" w:themeColor="text1"/>
        </w:rPr>
        <w:t>upcoming international programs (the 5</w:t>
      </w:r>
      <w:r w:rsidRPr="5DEC42E4">
        <w:rPr>
          <w:color w:val="000000" w:themeColor="text1"/>
          <w:vertAlign w:val="superscript"/>
        </w:rPr>
        <w:t>th</w:t>
      </w:r>
      <w:r w:rsidRPr="5DEC42E4">
        <w:rPr>
          <w:color w:val="000000" w:themeColor="text1"/>
        </w:rPr>
        <w:t xml:space="preserve"> IPY and Antarctica </w:t>
      </w:r>
      <w:proofErr w:type="spellStart"/>
      <w:r w:rsidRPr="5DEC42E4">
        <w:rPr>
          <w:color w:val="000000" w:themeColor="text1"/>
        </w:rPr>
        <w:t>InSync</w:t>
      </w:r>
      <w:proofErr w:type="spellEnd"/>
      <w:r w:rsidRPr="5DEC42E4">
        <w:rPr>
          <w:color w:val="000000" w:themeColor="text1"/>
        </w:rPr>
        <w:t xml:space="preserve">) </w:t>
      </w:r>
      <w:r w:rsidRPr="5DEC42E4">
        <w:t xml:space="preserve">to develop a sustained, circum-Antarctic platform for assessing environmental change and biodiversity responses, thereby strengthening the evidence needed to deliver the goals of the Protocol. </w:t>
      </w:r>
    </w:p>
    <w:p w14:paraId="771ADDA8" w14:textId="77777777" w:rsidR="00333116" w:rsidRDefault="00333116" w:rsidP="00333116">
      <w:pPr>
        <w:pStyle w:val="ASNormal"/>
        <w:rPr>
          <w:color w:val="000000"/>
        </w:rPr>
      </w:pPr>
    </w:p>
    <w:p w14:paraId="5CB66A3E" w14:textId="77777777" w:rsidR="00333116" w:rsidRDefault="00333116" w:rsidP="00333116">
      <w:pPr>
        <w:pStyle w:val="ASNormal"/>
        <w:rPr>
          <w:color w:val="000000"/>
        </w:rPr>
      </w:pPr>
    </w:p>
    <w:p w14:paraId="5D16C23C" w14:textId="77777777" w:rsidR="00333116" w:rsidRDefault="00333116" w:rsidP="00333116">
      <w:pPr>
        <w:pStyle w:val="ASNormal"/>
        <w:rPr>
          <w:color w:val="000000"/>
        </w:rPr>
      </w:pPr>
    </w:p>
    <w:p w14:paraId="4D265F59" w14:textId="77777777" w:rsidR="00333116" w:rsidRDefault="00333116" w:rsidP="00333116">
      <w:pPr>
        <w:pStyle w:val="ASNormal"/>
        <w:rPr>
          <w:color w:val="000000"/>
        </w:rPr>
      </w:pPr>
    </w:p>
    <w:p w14:paraId="5424B438" w14:textId="77777777" w:rsidR="00333116" w:rsidRPr="005B6357" w:rsidRDefault="00333116" w:rsidP="00333116">
      <w:pPr>
        <w:pStyle w:val="ATSHeading2"/>
      </w:pPr>
      <w:r w:rsidRPr="005B6357">
        <w:rPr>
          <w:rFonts w:eastAsia="Arial"/>
        </w:rPr>
        <w:lastRenderedPageBreak/>
        <w:t>References</w:t>
      </w:r>
    </w:p>
    <w:p w14:paraId="1F22AED9" w14:textId="77777777" w:rsidR="00333116" w:rsidRDefault="00333116" w:rsidP="00333116">
      <w:pPr>
        <w:pStyle w:val="ASNormal"/>
      </w:pPr>
      <w:r>
        <w:t xml:space="preserve">Abram, N.J., </w:t>
      </w:r>
      <w:proofErr w:type="spellStart"/>
      <w:r>
        <w:t>Purich</w:t>
      </w:r>
      <w:proofErr w:type="spellEnd"/>
      <w:r>
        <w:t xml:space="preserve">, A., England, M.H., McCormack, F. S., </w:t>
      </w:r>
      <w:proofErr w:type="spellStart"/>
      <w:r>
        <w:t>Strugnell</w:t>
      </w:r>
      <w:proofErr w:type="spellEnd"/>
      <w:r>
        <w:t xml:space="preserve">, J. M., Bergstrom, D. M., et al. (2025). Emerging evidence of abrupt changes in the Antarctic environment. </w:t>
      </w:r>
      <w:r>
        <w:rPr>
          <w:i/>
          <w:iCs/>
        </w:rPr>
        <w:t xml:space="preserve">Nature </w:t>
      </w:r>
      <w:r>
        <w:t>644:621–633. https://doi.org/10.1038/s41586-025-09349-5</w:t>
      </w:r>
    </w:p>
    <w:p w14:paraId="109A80E5" w14:textId="77777777" w:rsidR="00333116" w:rsidRDefault="00333116" w:rsidP="00333116">
      <w:pPr>
        <w:pStyle w:val="ASNormal"/>
      </w:pPr>
      <w:r>
        <w:t>ATCM15 WP21 (1989). Environmental Monitoring in Antarctica Working Paper. Antarctic Treaty Consultative Meeting XV. Paris, France.</w:t>
      </w:r>
    </w:p>
    <w:p w14:paraId="124F7E4D" w14:textId="77777777" w:rsidR="00333116" w:rsidRDefault="00333116" w:rsidP="00333116">
      <w:pPr>
        <w:pStyle w:val="ASNormal"/>
      </w:pPr>
      <w:r w:rsidRPr="002F5409">
        <w:t>ATCM XL/IP084 (2017)</w:t>
      </w:r>
      <w:r>
        <w:t xml:space="preserve"> </w:t>
      </w:r>
      <w:r w:rsidRPr="00705C4F">
        <w:t>Climate change impacts on Antarctic ice-free areas</w:t>
      </w:r>
      <w:r>
        <w:t xml:space="preserve">. Information Paper. Antarctic Treaty Consultative Meeting XL. </w:t>
      </w:r>
      <w:r w:rsidRPr="000B6601">
        <w:t>Beijing, China</w:t>
      </w:r>
      <w:r>
        <w:t xml:space="preserve">. </w:t>
      </w:r>
    </w:p>
    <w:p w14:paraId="0EAD10CA" w14:textId="77777777" w:rsidR="00333116" w:rsidRDefault="00333116" w:rsidP="00333116">
      <w:pPr>
        <w:pStyle w:val="ASNormal"/>
      </w:pPr>
      <w:r>
        <w:t>ATCM45 IP045 (2023). Managing threats to Antarctic terrestrial biodiversity. Information Paper. Antarctic Treaty Consultative Meeting XLV. Helsinki, Finland.</w:t>
      </w:r>
    </w:p>
    <w:p w14:paraId="2069CD6E" w14:textId="77777777" w:rsidR="00333116" w:rsidRDefault="00333116" w:rsidP="00333116">
      <w:pPr>
        <w:pStyle w:val="ASNormal"/>
      </w:pPr>
      <w:r>
        <w:t>ATCM45 WP049 (2023). Antarctic Nearshore and Terrestrial Observing System (ANTOS). Working Paper. Antarctic Treaty Consultative Meeting XLV. Helsinki, Finland.</w:t>
      </w:r>
    </w:p>
    <w:p w14:paraId="15FAC9B5" w14:textId="77777777" w:rsidR="00333116" w:rsidRDefault="00333116" w:rsidP="00333116">
      <w:pPr>
        <w:pStyle w:val="ASNormal"/>
      </w:pPr>
      <w:r>
        <w:t>ATCM47 WP6 (2025). An international framework for environmental monitoring - Report of the ICG and way forward. Working Paper. Antarctic Treaty Consultative Meeting XLVII. Milan, Italy.</w:t>
      </w:r>
    </w:p>
    <w:p w14:paraId="5118E8F0" w14:textId="77777777" w:rsidR="00333116" w:rsidRDefault="00333116" w:rsidP="00333116">
      <w:pPr>
        <w:pStyle w:val="ASNormal"/>
      </w:pPr>
      <w:r>
        <w:t xml:space="preserve">ATCM47 WP37 (2025). Preparation of the next Joint CEP/SC-CAMLR climate change and monitoring workshop. Information Paper. Antarctic Treaty Consultative Meeting XLVII. Milan, Italy. </w:t>
      </w:r>
    </w:p>
    <w:p w14:paraId="43AD2444" w14:textId="77777777" w:rsidR="00333116" w:rsidRDefault="00333116" w:rsidP="00333116">
      <w:pPr>
        <w:pStyle w:val="ASNormal"/>
      </w:pPr>
      <w:r>
        <w:t xml:space="preserve">ATCM47 IP147 (2025). Informing systematic protection of Antarctic terrestrial vegetation. Information Paper. Antarctic Treaty Consultative Meeting XLVII. Milan, Italy. </w:t>
      </w:r>
    </w:p>
    <w:p w14:paraId="64551FD0" w14:textId="77777777" w:rsidR="00333116" w:rsidRDefault="00333116" w:rsidP="00333116">
      <w:pPr>
        <w:pStyle w:val="ASNormal"/>
      </w:pPr>
      <w:r>
        <w:t xml:space="preserve">ATCM47 IP57 (2025). A multidimensional assessment of Antarctic terrestrial biological data. Information Paper. Antarctic Treaty Consultative Meeting XLVII. Milan, Italy.      </w:t>
      </w:r>
    </w:p>
    <w:p w14:paraId="30B269F8" w14:textId="77777777" w:rsidR="00333116" w:rsidRDefault="00333116" w:rsidP="00333116">
      <w:pPr>
        <w:pStyle w:val="ASNormal"/>
      </w:pPr>
      <w:r>
        <w:t>ATCM47 IP72 (2025). A dataset of Antarctic ecosystems in ice-free lands: classification, descriptions, and maps. Information Paper. Antarctic Treaty Consultative Meeting XLVII. Milan, Italy.</w:t>
      </w:r>
    </w:p>
    <w:p w14:paraId="47982F27" w14:textId="77777777" w:rsidR="00333116" w:rsidRDefault="00333116" w:rsidP="00333116">
      <w:pPr>
        <w:pStyle w:val="ASNormal"/>
      </w:pPr>
      <w:r>
        <w:t xml:space="preserve">INACH Red Latitudinal de </w:t>
      </w:r>
      <w:proofErr w:type="spellStart"/>
      <w:r>
        <w:t>Estaciones</w:t>
      </w:r>
      <w:proofErr w:type="spellEnd"/>
      <w:r>
        <w:t xml:space="preserve"> </w:t>
      </w:r>
      <w:proofErr w:type="spellStart"/>
      <w:r>
        <w:t>Multiparametricas</w:t>
      </w:r>
      <w:proofErr w:type="spellEnd"/>
      <w:r>
        <w:t xml:space="preserve"> </w:t>
      </w:r>
      <w:proofErr w:type="spellStart"/>
      <w:r>
        <w:t>en</w:t>
      </w:r>
      <w:proofErr w:type="spellEnd"/>
      <w:r>
        <w:t xml:space="preserve"> Antarctica, (</w:t>
      </w:r>
      <w:hyperlink r:id="rId17">
        <w:r>
          <w:rPr>
            <w:color w:val="1155CC"/>
            <w:u w:val="single"/>
          </w:rPr>
          <w:t>https://www.redsensoresinach.cl</w:t>
        </w:r>
      </w:hyperlink>
      <w:r>
        <w:t>)</w:t>
      </w:r>
    </w:p>
    <w:p w14:paraId="3455BFC3" w14:textId="77777777" w:rsidR="00333116" w:rsidRDefault="00333116" w:rsidP="00333116">
      <w:pPr>
        <w:pStyle w:val="ASNormal"/>
      </w:pPr>
      <w:r>
        <w:t xml:space="preserve">Jones, S. L., King, D. H., Cummings, V., Robinson, S. A., and Waterman, M. J. (2025) Research bias in long-term monitoring of Antarctic nearshore marine and terrestrial biota. </w:t>
      </w:r>
      <w:r>
        <w:rPr>
          <w:i/>
          <w:iCs/>
        </w:rPr>
        <w:t>Global Change Biology</w:t>
      </w:r>
      <w:r>
        <w:t xml:space="preserve"> </w:t>
      </w:r>
      <w:proofErr w:type="gramStart"/>
      <w:r>
        <w:rPr>
          <w:color w:val="1C1D1E"/>
          <w:highlight w:val="white"/>
        </w:rPr>
        <w:t>31:e</w:t>
      </w:r>
      <w:proofErr w:type="gramEnd"/>
      <w:r>
        <w:rPr>
          <w:color w:val="1C1D1E"/>
          <w:highlight w:val="white"/>
        </w:rPr>
        <w:t>70392</w:t>
      </w:r>
      <w:r>
        <w:rPr>
          <w:highlight w:val="white"/>
        </w:rPr>
        <w:t xml:space="preserve">. </w:t>
      </w:r>
      <w:hyperlink r:id="rId18">
        <w:r>
          <w:rPr>
            <w:highlight w:val="white"/>
          </w:rPr>
          <w:t>https://doi.org/10.1111/gcb.70392</w:t>
        </w:r>
      </w:hyperlink>
    </w:p>
    <w:p w14:paraId="58AA7873" w14:textId="77777777" w:rsidR="00333116" w:rsidRDefault="00333116" w:rsidP="00333116">
      <w:pPr>
        <w:pStyle w:val="ASNormal"/>
      </w:pPr>
      <w:r>
        <w:t>Securing Antarctica’s Environmental Future (SAEF) Artificial Intelligence of Things (</w:t>
      </w:r>
      <w:proofErr w:type="spellStart"/>
      <w:r>
        <w:t>AIoT</w:t>
      </w:r>
      <w:proofErr w:type="spellEnd"/>
      <w:r>
        <w:t xml:space="preserve">) Platform and dashboard, </w:t>
      </w:r>
      <w:hyperlink r:id="rId19">
        <w:r>
          <w:rPr>
            <w:color w:val="1155CC"/>
            <w:u w:val="single"/>
          </w:rPr>
          <w:t>https://uow.info/mosscam</w:t>
        </w:r>
      </w:hyperlink>
      <w:r>
        <w:t xml:space="preserve"> </w:t>
      </w:r>
    </w:p>
    <w:p w14:paraId="1EDBC11A" w14:textId="77777777" w:rsidR="00333116" w:rsidRDefault="00333116" w:rsidP="00333116">
      <w:pPr>
        <w:pStyle w:val="ASNormal"/>
      </w:pPr>
      <w:r>
        <w:t>WS-CC-2023/15 Cummings, V.J., Lohrer, D. 2023. Taking climate change effects on benthos into account in CCAMLR. Paper to CCAMLR workshop on climate change (ccamlr.org)</w:t>
      </w:r>
      <w:r>
        <w:br w:type="page"/>
      </w:r>
    </w:p>
    <w:p w14:paraId="6F8BB671" w14:textId="77777777" w:rsidR="00333116" w:rsidRPr="005B6357" w:rsidRDefault="00333116" w:rsidP="00333116">
      <w:pPr>
        <w:pStyle w:val="ATSHeading2"/>
      </w:pPr>
      <w:r w:rsidRPr="005B6357">
        <w:lastRenderedPageBreak/>
        <w:t xml:space="preserve">Appendix 1 </w:t>
      </w:r>
    </w:p>
    <w:p w14:paraId="5DE30F80" w14:textId="77777777" w:rsidR="00333116" w:rsidRPr="005B6357" w:rsidRDefault="00333116" w:rsidP="00333116">
      <w:pPr>
        <w:pStyle w:val="ASNormal"/>
      </w:pPr>
      <w:r w:rsidRPr="005B6357">
        <w:t xml:space="preserve">Recommended sites based on ANTOS Survey (II). Sites are categorized into (Column 1) those experiencing rapid change and (Column 2) those with existing research infrastructure and advocates for further research. Column 3 lists ACBRs where no Survey respondents reported monitoring or support for sites. Sites with a fish symbol represent marine sites, those with a plant symbol denote terrestrial sites, and sites with both symbols have both marine and terrestrial monitoring. (Reproduced from Borgmeier et al. </w:t>
      </w:r>
      <w:r>
        <w:t xml:space="preserve">2025; </w:t>
      </w:r>
      <w:hyperlink r:id="rId20" w:history="1">
        <w:r w:rsidRPr="00B96ED6">
          <w:rPr>
            <w:rStyle w:val="Hipervnculo"/>
          </w:rPr>
          <w:t>https://scar.org/science/cross/antos</w:t>
        </w:r>
      </w:hyperlink>
      <w:r w:rsidRPr="005B6357">
        <w:t>). See also ATCM47 IP147 Fig A3 for other important sites for monitoring terrestrial biodiversity.</w:t>
      </w:r>
    </w:p>
    <w:p w14:paraId="6AD6847A" w14:textId="77777777" w:rsidR="00333116" w:rsidRDefault="00333116" w:rsidP="00333116">
      <w:pPr>
        <w:pStyle w:val="ASNormal"/>
      </w:pPr>
      <w:r>
        <w:rPr>
          <w:noProof/>
        </w:rPr>
        <w:drawing>
          <wp:inline distT="114300" distB="114300" distL="114300" distR="114300" wp14:anchorId="33428C6B" wp14:editId="1B11A52A">
            <wp:extent cx="4781862" cy="3515194"/>
            <wp:effectExtent l="0" t="0" r="0" b="3175"/>
            <wp:docPr id="2122923557" name="image2.jpg" descr="A table with black and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2122923557" name="image2.jpg" descr="A table with black and white text&#10;&#10;AI-generated content may be incorrect."/>
                    <pic:cNvPicPr preferRelativeResize="0"/>
                  </pic:nvPicPr>
                  <pic:blipFill>
                    <a:blip r:embed="rId21"/>
                    <a:srcRect/>
                    <a:stretch>
                      <a:fillRect/>
                    </a:stretch>
                  </pic:blipFill>
                  <pic:spPr>
                    <a:xfrm>
                      <a:off x="0" y="0"/>
                      <a:ext cx="4802535" cy="3530391"/>
                    </a:xfrm>
                    <a:prstGeom prst="rect">
                      <a:avLst/>
                    </a:prstGeom>
                    <a:ln/>
                  </pic:spPr>
                </pic:pic>
              </a:graphicData>
            </a:graphic>
          </wp:inline>
        </w:drawing>
      </w:r>
    </w:p>
    <w:p w14:paraId="42A53A80" w14:textId="77777777" w:rsidR="00333116" w:rsidRDefault="00333116" w:rsidP="00333116">
      <w:pPr>
        <w:pStyle w:val="ASNormal"/>
        <w:rPr>
          <w:sz w:val="20"/>
          <w:szCs w:val="20"/>
        </w:rPr>
      </w:pPr>
    </w:p>
    <w:p w14:paraId="57C215D8" w14:textId="77777777" w:rsidR="00333116" w:rsidRDefault="00333116" w:rsidP="00333116">
      <w:pPr>
        <w:pStyle w:val="ASNormal"/>
        <w:rPr>
          <w:b/>
          <w:bCs/>
          <w:sz w:val="20"/>
          <w:szCs w:val="20"/>
        </w:rPr>
      </w:pPr>
      <w:r>
        <w:br w:type="page"/>
      </w:r>
    </w:p>
    <w:p w14:paraId="4BCCD509" w14:textId="77777777" w:rsidR="00333116" w:rsidRDefault="00333116" w:rsidP="00333116">
      <w:pPr>
        <w:pStyle w:val="ATSHeading2"/>
      </w:pPr>
      <w:r w:rsidRPr="5DEC42E4">
        <w:lastRenderedPageBreak/>
        <w:t xml:space="preserve">Appendix 2 </w:t>
      </w:r>
    </w:p>
    <w:p w14:paraId="0C15A4BF" w14:textId="77777777" w:rsidR="00333116" w:rsidRPr="009B3ECA" w:rsidRDefault="00333116" w:rsidP="00333116">
      <w:pPr>
        <w:pStyle w:val="ASNormal"/>
        <w:rPr>
          <w:lang w:val="es-AR"/>
        </w:rPr>
      </w:pPr>
      <w:r w:rsidRPr="005B6357">
        <w:t xml:space="preserve">Climate sensing stations that have been established in Antarctica by the Instituto Chileno </w:t>
      </w:r>
      <w:proofErr w:type="spellStart"/>
      <w:r w:rsidRPr="005B6357">
        <w:t>Antarctico</w:t>
      </w:r>
      <w:proofErr w:type="spellEnd"/>
      <w:r w:rsidRPr="005B6357">
        <w:t xml:space="preserve"> (INACH). Several are potentially good locations for biodiversity assessments and long-term monitoring as identified in Appendix 1. </w:t>
      </w:r>
      <w:r w:rsidRPr="009B3ECA">
        <w:rPr>
          <w:lang w:val="es-AR"/>
        </w:rPr>
        <w:t xml:space="preserve">(INACH Red Latitudinal de Estaciones </w:t>
      </w:r>
      <w:proofErr w:type="spellStart"/>
      <w:r w:rsidRPr="009B3ECA">
        <w:rPr>
          <w:lang w:val="es-AR"/>
        </w:rPr>
        <w:t>Multiparametricas</w:t>
      </w:r>
      <w:proofErr w:type="spellEnd"/>
      <w:r w:rsidRPr="009B3ECA">
        <w:rPr>
          <w:lang w:val="es-AR"/>
        </w:rPr>
        <w:t xml:space="preserve"> en </w:t>
      </w:r>
      <w:proofErr w:type="spellStart"/>
      <w:r w:rsidRPr="009B3ECA">
        <w:rPr>
          <w:lang w:val="es-AR"/>
        </w:rPr>
        <w:t>Antarctica</w:t>
      </w:r>
      <w:proofErr w:type="spellEnd"/>
      <w:r w:rsidRPr="009B3ECA">
        <w:rPr>
          <w:lang w:val="es-AR"/>
        </w:rPr>
        <w:t xml:space="preserve">; </w:t>
      </w:r>
      <w:hyperlink r:id="rId22" w:history="1">
        <w:r w:rsidRPr="009B3ECA">
          <w:rPr>
            <w:rStyle w:val="Hipervnculo"/>
            <w:lang w:val="es-AR"/>
          </w:rPr>
          <w:t>https://www.redsensoresinach.cl</w:t>
        </w:r>
      </w:hyperlink>
      <w:r w:rsidRPr="009B3ECA">
        <w:rPr>
          <w:lang w:val="es-AR"/>
        </w:rPr>
        <w:t xml:space="preserve">). </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2460"/>
        <w:gridCol w:w="2010"/>
        <w:gridCol w:w="2490"/>
      </w:tblGrid>
      <w:tr w:rsidR="00333116" w14:paraId="75D667E5" w14:textId="77777777" w:rsidTr="005B3646">
        <w:trPr>
          <w:tblHeader/>
        </w:trPr>
        <w:tc>
          <w:tcPr>
            <w:tcW w:w="2040" w:type="dxa"/>
            <w:tcMar>
              <w:top w:w="100" w:type="dxa"/>
              <w:left w:w="100" w:type="dxa"/>
              <w:bottom w:w="100" w:type="dxa"/>
              <w:right w:w="100" w:type="dxa"/>
            </w:tcMar>
          </w:tcPr>
          <w:p w14:paraId="355DEB22" w14:textId="77777777" w:rsidR="00333116" w:rsidRPr="005B6357" w:rsidRDefault="00333116" w:rsidP="005B3646">
            <w:pPr>
              <w:pStyle w:val="ASNormal"/>
              <w:rPr>
                <w:b/>
                <w:bCs/>
                <w:sz w:val="20"/>
                <w:szCs w:val="21"/>
              </w:rPr>
            </w:pPr>
            <w:r w:rsidRPr="005B6357">
              <w:rPr>
                <w:b/>
                <w:bCs/>
                <w:sz w:val="20"/>
                <w:szCs w:val="21"/>
              </w:rPr>
              <w:t>Climate Station</w:t>
            </w:r>
          </w:p>
        </w:tc>
        <w:tc>
          <w:tcPr>
            <w:tcW w:w="2460" w:type="dxa"/>
            <w:tcMar>
              <w:top w:w="100" w:type="dxa"/>
              <w:left w:w="100" w:type="dxa"/>
              <w:bottom w:w="100" w:type="dxa"/>
              <w:right w:w="100" w:type="dxa"/>
            </w:tcMar>
          </w:tcPr>
          <w:p w14:paraId="6F125695" w14:textId="77777777" w:rsidR="00333116" w:rsidRPr="005B6357" w:rsidRDefault="00333116" w:rsidP="005B3646">
            <w:pPr>
              <w:pStyle w:val="ASNormal"/>
              <w:rPr>
                <w:b/>
                <w:bCs/>
                <w:sz w:val="20"/>
                <w:szCs w:val="21"/>
              </w:rPr>
            </w:pPr>
            <w:r w:rsidRPr="005B6357">
              <w:rPr>
                <w:b/>
                <w:bCs/>
                <w:sz w:val="20"/>
                <w:szCs w:val="21"/>
              </w:rPr>
              <w:t>Location (coordinates)</w:t>
            </w:r>
          </w:p>
        </w:tc>
        <w:tc>
          <w:tcPr>
            <w:tcW w:w="2010" w:type="dxa"/>
            <w:tcMar>
              <w:top w:w="100" w:type="dxa"/>
              <w:left w:w="100" w:type="dxa"/>
              <w:bottom w:w="100" w:type="dxa"/>
              <w:right w:w="100" w:type="dxa"/>
            </w:tcMar>
          </w:tcPr>
          <w:p w14:paraId="2D908D2A" w14:textId="77777777" w:rsidR="00333116" w:rsidRPr="005B6357" w:rsidRDefault="00333116" w:rsidP="005B3646">
            <w:pPr>
              <w:pStyle w:val="ASNormal"/>
              <w:rPr>
                <w:b/>
                <w:bCs/>
                <w:sz w:val="20"/>
                <w:szCs w:val="21"/>
              </w:rPr>
            </w:pPr>
            <w:r w:rsidRPr="005B6357">
              <w:rPr>
                <w:b/>
                <w:bCs/>
                <w:sz w:val="20"/>
                <w:szCs w:val="21"/>
              </w:rPr>
              <w:t>Climate Station</w:t>
            </w:r>
          </w:p>
        </w:tc>
        <w:tc>
          <w:tcPr>
            <w:tcW w:w="2490" w:type="dxa"/>
            <w:tcMar>
              <w:top w:w="100" w:type="dxa"/>
              <w:left w:w="100" w:type="dxa"/>
              <w:bottom w:w="100" w:type="dxa"/>
              <w:right w:w="100" w:type="dxa"/>
            </w:tcMar>
          </w:tcPr>
          <w:p w14:paraId="1D8441A0" w14:textId="77777777" w:rsidR="00333116" w:rsidRPr="005B6357" w:rsidRDefault="00333116" w:rsidP="005B3646">
            <w:pPr>
              <w:pStyle w:val="ASNormal"/>
              <w:rPr>
                <w:b/>
                <w:bCs/>
                <w:sz w:val="20"/>
                <w:szCs w:val="21"/>
              </w:rPr>
            </w:pPr>
            <w:r w:rsidRPr="005B6357">
              <w:rPr>
                <w:b/>
                <w:bCs/>
                <w:sz w:val="20"/>
                <w:szCs w:val="21"/>
              </w:rPr>
              <w:t>Location (coordinates)</w:t>
            </w:r>
          </w:p>
        </w:tc>
      </w:tr>
      <w:tr w:rsidR="00333116" w14:paraId="39B09E32" w14:textId="77777777" w:rsidTr="005B3646">
        <w:trPr>
          <w:tblHeader/>
        </w:trPr>
        <w:tc>
          <w:tcPr>
            <w:tcW w:w="2040" w:type="dxa"/>
            <w:tcMar>
              <w:top w:w="100" w:type="dxa"/>
              <w:left w:w="100" w:type="dxa"/>
              <w:bottom w:w="100" w:type="dxa"/>
              <w:right w:w="100" w:type="dxa"/>
            </w:tcMar>
          </w:tcPr>
          <w:p w14:paraId="3D5CB50D" w14:textId="77777777" w:rsidR="00333116" w:rsidRPr="005B6357" w:rsidRDefault="00333116" w:rsidP="005B3646">
            <w:pPr>
              <w:pStyle w:val="ASNormal"/>
              <w:rPr>
                <w:sz w:val="20"/>
                <w:szCs w:val="21"/>
              </w:rPr>
            </w:pPr>
            <w:r w:rsidRPr="005B6357">
              <w:rPr>
                <w:sz w:val="20"/>
                <w:szCs w:val="21"/>
              </w:rPr>
              <w:t>Base J</w:t>
            </w:r>
          </w:p>
        </w:tc>
        <w:tc>
          <w:tcPr>
            <w:tcW w:w="2460" w:type="dxa"/>
            <w:tcMar>
              <w:top w:w="100" w:type="dxa"/>
              <w:left w:w="100" w:type="dxa"/>
              <w:bottom w:w="100" w:type="dxa"/>
              <w:right w:w="100" w:type="dxa"/>
            </w:tcMar>
          </w:tcPr>
          <w:p w14:paraId="289A8D1D"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66.008, Lon:-65.339</w:t>
            </w:r>
          </w:p>
        </w:tc>
        <w:tc>
          <w:tcPr>
            <w:tcW w:w="2010" w:type="dxa"/>
            <w:tcMar>
              <w:top w:w="100" w:type="dxa"/>
              <w:left w:w="100" w:type="dxa"/>
              <w:bottom w:w="100" w:type="dxa"/>
              <w:right w:w="100" w:type="dxa"/>
            </w:tcMar>
          </w:tcPr>
          <w:p w14:paraId="4C245FC3" w14:textId="77777777" w:rsidR="00333116" w:rsidRPr="005B6357" w:rsidRDefault="00333116" w:rsidP="005B3646">
            <w:pPr>
              <w:pStyle w:val="ASNormal"/>
              <w:rPr>
                <w:sz w:val="20"/>
                <w:szCs w:val="21"/>
              </w:rPr>
            </w:pPr>
            <w:proofErr w:type="spellStart"/>
            <w:r w:rsidRPr="005B6357">
              <w:rPr>
                <w:sz w:val="20"/>
                <w:szCs w:val="21"/>
              </w:rPr>
              <w:t>Glaciar</w:t>
            </w:r>
            <w:proofErr w:type="spellEnd"/>
            <w:r w:rsidRPr="005B6357">
              <w:rPr>
                <w:sz w:val="20"/>
                <w:szCs w:val="21"/>
              </w:rPr>
              <w:t xml:space="preserve"> Unión</w:t>
            </w:r>
          </w:p>
        </w:tc>
        <w:tc>
          <w:tcPr>
            <w:tcW w:w="2490" w:type="dxa"/>
            <w:tcMar>
              <w:top w:w="100" w:type="dxa"/>
              <w:left w:w="100" w:type="dxa"/>
              <w:bottom w:w="100" w:type="dxa"/>
              <w:right w:w="100" w:type="dxa"/>
            </w:tcMar>
          </w:tcPr>
          <w:p w14:paraId="2A7A8798"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79.768, Lon:-82.912</w:t>
            </w:r>
          </w:p>
        </w:tc>
      </w:tr>
      <w:tr w:rsidR="00333116" w14:paraId="7391E932" w14:textId="77777777" w:rsidTr="005B3646">
        <w:trPr>
          <w:tblHeader/>
        </w:trPr>
        <w:tc>
          <w:tcPr>
            <w:tcW w:w="2040" w:type="dxa"/>
            <w:tcMar>
              <w:top w:w="100" w:type="dxa"/>
              <w:left w:w="100" w:type="dxa"/>
              <w:bottom w:w="100" w:type="dxa"/>
              <w:right w:w="100" w:type="dxa"/>
            </w:tcMar>
          </w:tcPr>
          <w:p w14:paraId="47B1C50C" w14:textId="77777777" w:rsidR="00333116" w:rsidRPr="005B6357" w:rsidRDefault="00333116" w:rsidP="005B3646">
            <w:pPr>
              <w:pStyle w:val="ASNormal"/>
              <w:rPr>
                <w:sz w:val="20"/>
                <w:szCs w:val="21"/>
              </w:rPr>
            </w:pPr>
            <w:r w:rsidRPr="005B6357">
              <w:rPr>
                <w:sz w:val="20"/>
                <w:szCs w:val="21"/>
              </w:rPr>
              <w:t>Base O’Higgins</w:t>
            </w:r>
          </w:p>
        </w:tc>
        <w:tc>
          <w:tcPr>
            <w:tcW w:w="2460" w:type="dxa"/>
            <w:tcMar>
              <w:top w:w="100" w:type="dxa"/>
              <w:left w:w="100" w:type="dxa"/>
              <w:bottom w:w="100" w:type="dxa"/>
              <w:right w:w="100" w:type="dxa"/>
            </w:tcMar>
          </w:tcPr>
          <w:p w14:paraId="09E131E2"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63.322, Lon:-57.898</w:t>
            </w:r>
          </w:p>
        </w:tc>
        <w:tc>
          <w:tcPr>
            <w:tcW w:w="2010" w:type="dxa"/>
            <w:tcMar>
              <w:top w:w="100" w:type="dxa"/>
              <w:left w:w="100" w:type="dxa"/>
              <w:bottom w:w="100" w:type="dxa"/>
              <w:right w:w="100" w:type="dxa"/>
            </w:tcMar>
          </w:tcPr>
          <w:p w14:paraId="1F435A62" w14:textId="77777777" w:rsidR="00333116" w:rsidRPr="005B6357" w:rsidRDefault="00333116" w:rsidP="005B3646">
            <w:pPr>
              <w:pStyle w:val="ASNormal"/>
              <w:rPr>
                <w:sz w:val="20"/>
                <w:szCs w:val="21"/>
              </w:rPr>
            </w:pPr>
            <w:r w:rsidRPr="005B6357">
              <w:rPr>
                <w:sz w:val="20"/>
                <w:szCs w:val="21"/>
              </w:rPr>
              <w:t>Isla Livington</w:t>
            </w:r>
          </w:p>
        </w:tc>
        <w:tc>
          <w:tcPr>
            <w:tcW w:w="2490" w:type="dxa"/>
            <w:tcMar>
              <w:top w:w="100" w:type="dxa"/>
              <w:left w:w="100" w:type="dxa"/>
              <w:bottom w:w="100" w:type="dxa"/>
              <w:right w:w="100" w:type="dxa"/>
            </w:tcMar>
          </w:tcPr>
          <w:p w14:paraId="75EF2CAD"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62.68, Lon:-60.412</w:t>
            </w:r>
          </w:p>
        </w:tc>
      </w:tr>
      <w:tr w:rsidR="00333116" w14:paraId="5125EF6C" w14:textId="77777777" w:rsidTr="005B3646">
        <w:trPr>
          <w:tblHeader/>
        </w:trPr>
        <w:tc>
          <w:tcPr>
            <w:tcW w:w="2040" w:type="dxa"/>
            <w:tcMar>
              <w:top w:w="100" w:type="dxa"/>
              <w:left w:w="100" w:type="dxa"/>
              <w:bottom w:w="100" w:type="dxa"/>
              <w:right w:w="100" w:type="dxa"/>
            </w:tcMar>
          </w:tcPr>
          <w:p w14:paraId="3FAC2936" w14:textId="77777777" w:rsidR="00333116" w:rsidRPr="005B6357" w:rsidRDefault="00333116" w:rsidP="005B3646">
            <w:pPr>
              <w:pStyle w:val="ASNormal"/>
              <w:rPr>
                <w:sz w:val="20"/>
                <w:szCs w:val="21"/>
              </w:rPr>
            </w:pPr>
            <w:r w:rsidRPr="005B6357">
              <w:rPr>
                <w:sz w:val="20"/>
                <w:szCs w:val="21"/>
              </w:rPr>
              <w:t>Base Prat</w:t>
            </w:r>
          </w:p>
        </w:tc>
        <w:tc>
          <w:tcPr>
            <w:tcW w:w="2460" w:type="dxa"/>
            <w:tcMar>
              <w:top w:w="100" w:type="dxa"/>
              <w:left w:w="100" w:type="dxa"/>
              <w:bottom w:w="100" w:type="dxa"/>
              <w:right w:w="100" w:type="dxa"/>
            </w:tcMar>
          </w:tcPr>
          <w:p w14:paraId="4AB5D4CF"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62.479, Lon:-59.664</w:t>
            </w:r>
          </w:p>
        </w:tc>
        <w:tc>
          <w:tcPr>
            <w:tcW w:w="2010" w:type="dxa"/>
            <w:tcMar>
              <w:top w:w="100" w:type="dxa"/>
              <w:left w:w="100" w:type="dxa"/>
              <w:bottom w:w="100" w:type="dxa"/>
              <w:right w:w="100" w:type="dxa"/>
            </w:tcMar>
          </w:tcPr>
          <w:p w14:paraId="3CB1DB05" w14:textId="77777777" w:rsidR="00333116" w:rsidRPr="005B6357" w:rsidRDefault="00333116" w:rsidP="005B3646">
            <w:pPr>
              <w:pStyle w:val="ASNormal"/>
              <w:rPr>
                <w:sz w:val="20"/>
                <w:szCs w:val="21"/>
              </w:rPr>
            </w:pPr>
            <w:proofErr w:type="spellStart"/>
            <w:r w:rsidRPr="005B6357">
              <w:rPr>
                <w:sz w:val="20"/>
                <w:szCs w:val="21"/>
              </w:rPr>
              <w:t>Islote</w:t>
            </w:r>
            <w:proofErr w:type="spellEnd"/>
            <w:r w:rsidRPr="005B6357">
              <w:rPr>
                <w:sz w:val="20"/>
                <w:szCs w:val="21"/>
              </w:rPr>
              <w:t xml:space="preserve"> </w:t>
            </w:r>
            <w:proofErr w:type="spellStart"/>
            <w:r w:rsidRPr="005B6357">
              <w:rPr>
                <w:sz w:val="20"/>
                <w:szCs w:val="21"/>
              </w:rPr>
              <w:t>Alcock</w:t>
            </w:r>
            <w:proofErr w:type="spellEnd"/>
          </w:p>
        </w:tc>
        <w:tc>
          <w:tcPr>
            <w:tcW w:w="2490" w:type="dxa"/>
            <w:tcMar>
              <w:top w:w="100" w:type="dxa"/>
              <w:left w:w="100" w:type="dxa"/>
              <w:bottom w:w="100" w:type="dxa"/>
              <w:right w:w="100" w:type="dxa"/>
            </w:tcMar>
          </w:tcPr>
          <w:p w14:paraId="0E2C3625"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64.24, Lon:-61.131</w:t>
            </w:r>
          </w:p>
        </w:tc>
      </w:tr>
      <w:tr w:rsidR="00333116" w14:paraId="790A9C73" w14:textId="77777777" w:rsidTr="005B3646">
        <w:trPr>
          <w:tblHeader/>
        </w:trPr>
        <w:tc>
          <w:tcPr>
            <w:tcW w:w="2040" w:type="dxa"/>
            <w:tcMar>
              <w:top w:w="100" w:type="dxa"/>
              <w:left w:w="100" w:type="dxa"/>
              <w:bottom w:w="100" w:type="dxa"/>
              <w:right w:w="100" w:type="dxa"/>
            </w:tcMar>
          </w:tcPr>
          <w:p w14:paraId="375EF51A" w14:textId="77777777" w:rsidR="00333116" w:rsidRPr="005B6357" w:rsidRDefault="00333116" w:rsidP="005B3646">
            <w:pPr>
              <w:pStyle w:val="ASNormal"/>
              <w:rPr>
                <w:sz w:val="20"/>
                <w:szCs w:val="21"/>
              </w:rPr>
            </w:pPr>
            <w:r w:rsidRPr="005B6357">
              <w:rPr>
                <w:sz w:val="20"/>
                <w:szCs w:val="21"/>
              </w:rPr>
              <w:t>Boonen Rivera</w:t>
            </w:r>
          </w:p>
        </w:tc>
        <w:tc>
          <w:tcPr>
            <w:tcW w:w="2460" w:type="dxa"/>
            <w:tcMar>
              <w:top w:w="100" w:type="dxa"/>
              <w:left w:w="100" w:type="dxa"/>
              <w:bottom w:w="100" w:type="dxa"/>
              <w:right w:w="100" w:type="dxa"/>
            </w:tcMar>
          </w:tcPr>
          <w:p w14:paraId="50EDAB61"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63.538, Lon:-57.406</w:t>
            </w:r>
          </w:p>
        </w:tc>
        <w:tc>
          <w:tcPr>
            <w:tcW w:w="2010" w:type="dxa"/>
            <w:tcMar>
              <w:top w:w="100" w:type="dxa"/>
              <w:left w:w="100" w:type="dxa"/>
              <w:bottom w:w="100" w:type="dxa"/>
              <w:right w:w="100" w:type="dxa"/>
            </w:tcMar>
          </w:tcPr>
          <w:p w14:paraId="48D48646" w14:textId="77777777" w:rsidR="00333116" w:rsidRPr="005B6357" w:rsidRDefault="00333116" w:rsidP="005B3646">
            <w:pPr>
              <w:pStyle w:val="ASNormal"/>
              <w:rPr>
                <w:sz w:val="20"/>
                <w:szCs w:val="21"/>
              </w:rPr>
            </w:pPr>
            <w:proofErr w:type="spellStart"/>
            <w:r w:rsidRPr="005B6357">
              <w:rPr>
                <w:sz w:val="20"/>
                <w:szCs w:val="21"/>
              </w:rPr>
              <w:t>Islote</w:t>
            </w:r>
            <w:proofErr w:type="spellEnd"/>
            <w:r w:rsidRPr="005B6357">
              <w:rPr>
                <w:sz w:val="20"/>
                <w:szCs w:val="21"/>
              </w:rPr>
              <w:t xml:space="preserve"> D </w:t>
            </w:r>
            <w:proofErr w:type="spellStart"/>
            <w:r w:rsidRPr="005B6357">
              <w:rPr>
                <w:sz w:val="20"/>
                <w:szCs w:val="21"/>
              </w:rPr>
              <w:t>hainaut</w:t>
            </w:r>
            <w:proofErr w:type="spellEnd"/>
          </w:p>
        </w:tc>
        <w:tc>
          <w:tcPr>
            <w:tcW w:w="2490" w:type="dxa"/>
            <w:tcMar>
              <w:top w:w="100" w:type="dxa"/>
              <w:left w:w="100" w:type="dxa"/>
              <w:bottom w:w="100" w:type="dxa"/>
              <w:right w:w="100" w:type="dxa"/>
            </w:tcMar>
          </w:tcPr>
          <w:p w14:paraId="1C3003B3"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63.903, Lon:-60.793</w:t>
            </w:r>
          </w:p>
        </w:tc>
      </w:tr>
      <w:tr w:rsidR="00333116" w14:paraId="10F0D8BE" w14:textId="77777777" w:rsidTr="005B3646">
        <w:trPr>
          <w:tblHeader/>
        </w:trPr>
        <w:tc>
          <w:tcPr>
            <w:tcW w:w="2040" w:type="dxa"/>
            <w:tcMar>
              <w:top w:w="100" w:type="dxa"/>
              <w:left w:w="100" w:type="dxa"/>
              <w:bottom w:w="100" w:type="dxa"/>
              <w:right w:w="100" w:type="dxa"/>
            </w:tcMar>
          </w:tcPr>
          <w:p w14:paraId="2720F159" w14:textId="77777777" w:rsidR="00333116" w:rsidRPr="005B6357" w:rsidRDefault="00333116" w:rsidP="005B3646">
            <w:pPr>
              <w:pStyle w:val="ASNormal"/>
              <w:rPr>
                <w:sz w:val="20"/>
                <w:szCs w:val="21"/>
              </w:rPr>
            </w:pPr>
            <w:r w:rsidRPr="005B6357">
              <w:rPr>
                <w:sz w:val="20"/>
                <w:szCs w:val="21"/>
              </w:rPr>
              <w:t>Cabo Melville</w:t>
            </w:r>
          </w:p>
        </w:tc>
        <w:tc>
          <w:tcPr>
            <w:tcW w:w="2460" w:type="dxa"/>
            <w:tcMar>
              <w:top w:w="100" w:type="dxa"/>
              <w:left w:w="100" w:type="dxa"/>
              <w:bottom w:w="100" w:type="dxa"/>
              <w:right w:w="100" w:type="dxa"/>
            </w:tcMar>
          </w:tcPr>
          <w:p w14:paraId="35D7A9B1"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62.021, Lon:-57.624</w:t>
            </w:r>
          </w:p>
        </w:tc>
        <w:tc>
          <w:tcPr>
            <w:tcW w:w="2010" w:type="dxa"/>
            <w:tcMar>
              <w:top w:w="100" w:type="dxa"/>
              <w:left w:w="100" w:type="dxa"/>
              <w:bottom w:w="100" w:type="dxa"/>
              <w:right w:w="100" w:type="dxa"/>
            </w:tcMar>
          </w:tcPr>
          <w:p w14:paraId="2D95B448" w14:textId="77777777" w:rsidR="00333116" w:rsidRPr="005B6357" w:rsidRDefault="00333116" w:rsidP="005B3646">
            <w:pPr>
              <w:pStyle w:val="ASNormal"/>
              <w:rPr>
                <w:sz w:val="20"/>
                <w:szCs w:val="21"/>
              </w:rPr>
            </w:pPr>
            <w:r w:rsidRPr="005B6357">
              <w:rPr>
                <w:sz w:val="20"/>
                <w:szCs w:val="21"/>
              </w:rPr>
              <w:t>Monte Vinson</w:t>
            </w:r>
          </w:p>
        </w:tc>
        <w:tc>
          <w:tcPr>
            <w:tcW w:w="2490" w:type="dxa"/>
            <w:tcMar>
              <w:top w:w="100" w:type="dxa"/>
              <w:left w:w="100" w:type="dxa"/>
              <w:bottom w:w="100" w:type="dxa"/>
              <w:right w:w="100" w:type="dxa"/>
            </w:tcMar>
          </w:tcPr>
          <w:p w14:paraId="633204D9"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78.523, Lon:-85.557</w:t>
            </w:r>
          </w:p>
        </w:tc>
      </w:tr>
      <w:tr w:rsidR="00333116" w14:paraId="2FBAF1F6" w14:textId="77777777" w:rsidTr="005B3646">
        <w:tc>
          <w:tcPr>
            <w:tcW w:w="2040" w:type="dxa"/>
            <w:tcMar>
              <w:top w:w="100" w:type="dxa"/>
              <w:left w:w="100" w:type="dxa"/>
              <w:bottom w:w="100" w:type="dxa"/>
              <w:right w:w="100" w:type="dxa"/>
            </w:tcMar>
          </w:tcPr>
          <w:p w14:paraId="02B7B7AF" w14:textId="77777777" w:rsidR="00333116" w:rsidRPr="005B6357" w:rsidRDefault="00333116" w:rsidP="005B3646">
            <w:pPr>
              <w:pStyle w:val="ASNormal"/>
              <w:rPr>
                <w:sz w:val="20"/>
                <w:szCs w:val="21"/>
              </w:rPr>
            </w:pPr>
            <w:r w:rsidRPr="005B6357">
              <w:rPr>
                <w:sz w:val="20"/>
                <w:szCs w:val="21"/>
              </w:rPr>
              <w:t>Carvajal</w:t>
            </w:r>
          </w:p>
        </w:tc>
        <w:tc>
          <w:tcPr>
            <w:tcW w:w="2460" w:type="dxa"/>
            <w:tcMar>
              <w:top w:w="100" w:type="dxa"/>
              <w:left w:w="100" w:type="dxa"/>
              <w:bottom w:w="100" w:type="dxa"/>
              <w:right w:w="100" w:type="dxa"/>
            </w:tcMar>
          </w:tcPr>
          <w:p w14:paraId="5D0E7310"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67.776, Lon:-68.867</w:t>
            </w:r>
          </w:p>
        </w:tc>
        <w:tc>
          <w:tcPr>
            <w:tcW w:w="2010" w:type="dxa"/>
            <w:tcMar>
              <w:top w:w="100" w:type="dxa"/>
              <w:left w:w="100" w:type="dxa"/>
              <w:bottom w:w="100" w:type="dxa"/>
              <w:right w:w="100" w:type="dxa"/>
            </w:tcMar>
          </w:tcPr>
          <w:p w14:paraId="0E611964" w14:textId="77777777" w:rsidR="00333116" w:rsidRPr="005B6357" w:rsidRDefault="00333116" w:rsidP="005B3646">
            <w:pPr>
              <w:pStyle w:val="ASNormal"/>
              <w:rPr>
                <w:sz w:val="20"/>
                <w:szCs w:val="21"/>
              </w:rPr>
            </w:pPr>
            <w:proofErr w:type="spellStart"/>
            <w:r w:rsidRPr="005B6357">
              <w:rPr>
                <w:sz w:val="20"/>
                <w:szCs w:val="21"/>
              </w:rPr>
              <w:t>Peñón</w:t>
            </w:r>
            <w:proofErr w:type="spellEnd"/>
            <w:r w:rsidRPr="005B6357">
              <w:rPr>
                <w:sz w:val="20"/>
                <w:szCs w:val="21"/>
              </w:rPr>
              <w:t xml:space="preserve"> Escuela de Montaña</w:t>
            </w:r>
          </w:p>
        </w:tc>
        <w:tc>
          <w:tcPr>
            <w:tcW w:w="2490" w:type="dxa"/>
            <w:tcMar>
              <w:top w:w="100" w:type="dxa"/>
              <w:left w:w="100" w:type="dxa"/>
              <w:bottom w:w="100" w:type="dxa"/>
              <w:right w:w="100" w:type="dxa"/>
            </w:tcMar>
          </w:tcPr>
          <w:p w14:paraId="3E17BD03"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79.792, Lon:-82.987</w:t>
            </w:r>
          </w:p>
        </w:tc>
      </w:tr>
      <w:tr w:rsidR="00333116" w14:paraId="72A4904C" w14:textId="77777777" w:rsidTr="005B3646">
        <w:tc>
          <w:tcPr>
            <w:tcW w:w="2040" w:type="dxa"/>
            <w:tcMar>
              <w:top w:w="100" w:type="dxa"/>
              <w:left w:w="100" w:type="dxa"/>
              <w:bottom w:w="100" w:type="dxa"/>
              <w:right w:w="100" w:type="dxa"/>
            </w:tcMar>
          </w:tcPr>
          <w:p w14:paraId="31E123FD" w14:textId="77777777" w:rsidR="00333116" w:rsidRPr="005B6357" w:rsidRDefault="00333116" w:rsidP="005B3646">
            <w:pPr>
              <w:pStyle w:val="ASNormal"/>
              <w:rPr>
                <w:sz w:val="20"/>
                <w:szCs w:val="21"/>
              </w:rPr>
            </w:pPr>
            <w:r w:rsidRPr="005B6357">
              <w:rPr>
                <w:sz w:val="20"/>
                <w:szCs w:val="21"/>
              </w:rPr>
              <w:t>Escudero</w:t>
            </w:r>
          </w:p>
        </w:tc>
        <w:tc>
          <w:tcPr>
            <w:tcW w:w="2460" w:type="dxa"/>
            <w:tcMar>
              <w:top w:w="100" w:type="dxa"/>
              <w:left w:w="100" w:type="dxa"/>
              <w:bottom w:w="100" w:type="dxa"/>
              <w:right w:w="100" w:type="dxa"/>
            </w:tcMar>
          </w:tcPr>
          <w:p w14:paraId="252E6E8A"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62.203, Lon:-58.962</w:t>
            </w:r>
          </w:p>
        </w:tc>
        <w:tc>
          <w:tcPr>
            <w:tcW w:w="2010" w:type="dxa"/>
            <w:tcMar>
              <w:top w:w="100" w:type="dxa"/>
              <w:left w:w="100" w:type="dxa"/>
              <w:bottom w:w="100" w:type="dxa"/>
              <w:right w:w="100" w:type="dxa"/>
            </w:tcMar>
          </w:tcPr>
          <w:p w14:paraId="01535E82" w14:textId="77777777" w:rsidR="00333116" w:rsidRPr="005B6357" w:rsidRDefault="00333116" w:rsidP="005B3646">
            <w:pPr>
              <w:pStyle w:val="ASNormal"/>
              <w:rPr>
                <w:sz w:val="20"/>
                <w:szCs w:val="21"/>
              </w:rPr>
            </w:pPr>
            <w:proofErr w:type="spellStart"/>
            <w:r w:rsidRPr="005B6357">
              <w:rPr>
                <w:sz w:val="20"/>
                <w:szCs w:val="21"/>
              </w:rPr>
              <w:t>Pta.Py</w:t>
            </w:r>
            <w:proofErr w:type="spellEnd"/>
          </w:p>
        </w:tc>
        <w:tc>
          <w:tcPr>
            <w:tcW w:w="2490" w:type="dxa"/>
            <w:tcMar>
              <w:top w:w="100" w:type="dxa"/>
              <w:left w:w="100" w:type="dxa"/>
              <w:bottom w:w="100" w:type="dxa"/>
              <w:right w:w="100" w:type="dxa"/>
            </w:tcMar>
          </w:tcPr>
          <w:p w14:paraId="765D4171"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64.878, Lon:-63.591</w:t>
            </w:r>
          </w:p>
        </w:tc>
      </w:tr>
      <w:tr w:rsidR="00333116" w14:paraId="78207386" w14:textId="77777777" w:rsidTr="005B3646">
        <w:tc>
          <w:tcPr>
            <w:tcW w:w="2040" w:type="dxa"/>
            <w:tcMar>
              <w:top w:w="100" w:type="dxa"/>
              <w:left w:w="100" w:type="dxa"/>
              <w:bottom w:w="100" w:type="dxa"/>
              <w:right w:w="100" w:type="dxa"/>
            </w:tcMar>
          </w:tcPr>
          <w:p w14:paraId="2E40AFEB" w14:textId="77777777" w:rsidR="00333116" w:rsidRPr="005B6357" w:rsidRDefault="00333116" w:rsidP="005B3646">
            <w:pPr>
              <w:pStyle w:val="ASNormal"/>
              <w:rPr>
                <w:sz w:val="20"/>
                <w:szCs w:val="21"/>
              </w:rPr>
            </w:pPr>
            <w:r w:rsidRPr="005B6357">
              <w:rPr>
                <w:sz w:val="20"/>
                <w:szCs w:val="21"/>
              </w:rPr>
              <w:t>Gabriel González Videla</w:t>
            </w:r>
          </w:p>
        </w:tc>
        <w:tc>
          <w:tcPr>
            <w:tcW w:w="2460" w:type="dxa"/>
            <w:tcMar>
              <w:top w:w="100" w:type="dxa"/>
              <w:left w:w="100" w:type="dxa"/>
              <w:bottom w:w="100" w:type="dxa"/>
              <w:right w:w="100" w:type="dxa"/>
            </w:tcMar>
          </w:tcPr>
          <w:p w14:paraId="02A98B0A"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64.824, Long:-62.858</w:t>
            </w:r>
          </w:p>
        </w:tc>
        <w:tc>
          <w:tcPr>
            <w:tcW w:w="2010" w:type="dxa"/>
            <w:tcMar>
              <w:top w:w="100" w:type="dxa"/>
              <w:left w:w="100" w:type="dxa"/>
              <w:bottom w:w="100" w:type="dxa"/>
              <w:right w:w="100" w:type="dxa"/>
            </w:tcMar>
          </w:tcPr>
          <w:p w14:paraId="3D47A8BE" w14:textId="77777777" w:rsidR="00333116" w:rsidRPr="005B6357" w:rsidRDefault="00333116" w:rsidP="005B3646">
            <w:pPr>
              <w:pStyle w:val="ASNormal"/>
              <w:rPr>
                <w:sz w:val="20"/>
                <w:szCs w:val="21"/>
              </w:rPr>
            </w:pPr>
            <w:r w:rsidRPr="005B6357">
              <w:rPr>
                <w:sz w:val="20"/>
                <w:szCs w:val="21"/>
              </w:rPr>
              <w:t>Punta Armonía</w:t>
            </w:r>
          </w:p>
        </w:tc>
        <w:tc>
          <w:tcPr>
            <w:tcW w:w="2490" w:type="dxa"/>
            <w:tcMar>
              <w:top w:w="100" w:type="dxa"/>
              <w:left w:w="100" w:type="dxa"/>
              <w:bottom w:w="100" w:type="dxa"/>
              <w:right w:w="100" w:type="dxa"/>
            </w:tcMar>
          </w:tcPr>
          <w:p w14:paraId="01215E04" w14:textId="77777777" w:rsidR="00333116" w:rsidRPr="005B6357" w:rsidRDefault="00333116" w:rsidP="005B3646">
            <w:pPr>
              <w:pStyle w:val="ASNormal"/>
              <w:rPr>
                <w:sz w:val="20"/>
                <w:szCs w:val="21"/>
              </w:rPr>
            </w:pPr>
            <w:proofErr w:type="gramStart"/>
            <w:r w:rsidRPr="005B6357">
              <w:rPr>
                <w:sz w:val="20"/>
                <w:szCs w:val="21"/>
              </w:rPr>
              <w:t>Lat:-</w:t>
            </w:r>
            <w:proofErr w:type="gramEnd"/>
            <w:r w:rsidRPr="005B6357">
              <w:rPr>
                <w:sz w:val="20"/>
                <w:szCs w:val="21"/>
              </w:rPr>
              <w:t>62.304, Lon:-59.197</w:t>
            </w:r>
          </w:p>
        </w:tc>
      </w:tr>
    </w:tbl>
    <w:p w14:paraId="0FFCE51A" w14:textId="77777777" w:rsidR="00333116" w:rsidRDefault="00333116" w:rsidP="00333116">
      <w:pPr>
        <w:pStyle w:val="ASNormal"/>
      </w:pPr>
    </w:p>
    <w:p w14:paraId="73EDDA67" w14:textId="77777777" w:rsidR="00333116" w:rsidRDefault="00333116" w:rsidP="00333116">
      <w:pPr>
        <w:pStyle w:val="ASNormal"/>
        <w:rPr>
          <w:color w:val="000000"/>
        </w:rPr>
      </w:pPr>
    </w:p>
    <w:p w14:paraId="06E097F5" w14:textId="77777777" w:rsidR="00333116" w:rsidRPr="002008E9" w:rsidRDefault="00333116" w:rsidP="00333116">
      <w:pPr>
        <w:pStyle w:val="ASNormal"/>
      </w:pPr>
    </w:p>
    <w:p w14:paraId="2AD8CB5C" w14:textId="77777777" w:rsidR="00821B66" w:rsidRDefault="00821B66" w:rsidP="00952E9F"/>
    <w:sectPr w:rsidR="00821B66" w:rsidSect="00333116">
      <w:headerReference w:type="default" r:id="rId23"/>
      <w:footerReference w:type="default" r:id="rId24"/>
      <w:type w:val="oddPage"/>
      <w:pgSz w:w="11907" w:h="16840"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F10F5" w14:textId="77777777" w:rsidR="00925773" w:rsidRDefault="00925773">
      <w:r>
        <w:separator/>
      </w:r>
    </w:p>
  </w:endnote>
  <w:endnote w:type="continuationSeparator" w:id="0">
    <w:p w14:paraId="6325B901" w14:textId="77777777" w:rsidR="00925773" w:rsidRDefault="00925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537C2" w14:textId="77777777" w:rsidR="00821B66" w:rsidRDefault="00821B66" w:rsidP="00CF5C82">
    <w:pPr>
      <w:framePr w:wrap="around" w:vAnchor="text" w:hAnchor="margin" w:xAlign="right" w:y="1"/>
    </w:pPr>
    <w:r>
      <w:fldChar w:fldCharType="begin"/>
    </w:r>
    <w:r>
      <w:instrText xml:space="preserve">PAGE  </w:instrText>
    </w:r>
    <w:r w:rsidR="00925773">
      <w:fldChar w:fldCharType="separate"/>
    </w:r>
    <w:r>
      <w:fldChar w:fldCharType="end"/>
    </w:r>
  </w:p>
  <w:p w14:paraId="5C48D46F" w14:textId="77777777" w:rsidR="00821B66" w:rsidRDefault="00821B66" w:rsidP="00FA0B9F">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7BC06" w14:textId="77777777" w:rsidR="00821B66" w:rsidRDefault="00821B66" w:rsidP="00CF5C82">
    <w:pPr>
      <w:framePr w:wrap="around" w:vAnchor="text" w:hAnchor="margin" w:xAlign="right" w:y="1"/>
    </w:pPr>
    <w:r>
      <w:fldChar w:fldCharType="begin"/>
    </w:r>
    <w:r>
      <w:instrText xml:space="preserve">PAGE  </w:instrText>
    </w:r>
    <w:r>
      <w:fldChar w:fldCharType="separate"/>
    </w:r>
    <w:r>
      <w:rPr>
        <w:noProof/>
      </w:rPr>
      <w:t>1</w:t>
    </w:r>
    <w:r>
      <w:fldChar w:fldCharType="end"/>
    </w:r>
  </w:p>
  <w:p w14:paraId="4CF51529" w14:textId="736F5638" w:rsidR="00821B66" w:rsidRDefault="00821B66" w:rsidP="00333116">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2A4AB" w14:textId="77777777" w:rsidR="00821B66" w:rsidRDefault="00821B6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F256D" w14:textId="77777777" w:rsidR="00333116" w:rsidRDefault="00333116" w:rsidP="00CF5C82">
    <w:pPr>
      <w:framePr w:wrap="around" w:vAnchor="text" w:hAnchor="margin" w:xAlign="right" w:y="1"/>
    </w:pPr>
    <w:r>
      <w:fldChar w:fldCharType="begin"/>
    </w:r>
    <w:r>
      <w:instrText xml:space="preserve">PAGE  </w:instrText>
    </w:r>
    <w:r>
      <w:fldChar w:fldCharType="separate"/>
    </w:r>
    <w:r>
      <w:rPr>
        <w:noProof/>
      </w:rPr>
      <w:t>3</w:t>
    </w:r>
    <w:r>
      <w:fldChar w:fldCharType="end"/>
    </w:r>
  </w:p>
  <w:p w14:paraId="6D9BB663" w14:textId="77777777" w:rsidR="00333116" w:rsidRDefault="00333116" w:rsidP="00E311C9">
    <w:pPr>
      <w:ind w:right="360"/>
    </w:pPr>
  </w:p>
  <w:p w14:paraId="09B0F478" w14:textId="77777777" w:rsidR="00333116" w:rsidRDefault="00333116"/>
  <w:p w14:paraId="649F66D9" w14:textId="77777777" w:rsidR="00333116" w:rsidRDefault="00333116"/>
  <w:p w14:paraId="52398911" w14:textId="77777777" w:rsidR="00333116" w:rsidRDefault="003331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9B75C" w14:textId="77777777" w:rsidR="00925773" w:rsidRDefault="00925773">
      <w:r>
        <w:separator/>
      </w:r>
    </w:p>
  </w:footnote>
  <w:footnote w:type="continuationSeparator" w:id="0">
    <w:p w14:paraId="1A71D291" w14:textId="77777777" w:rsidR="00925773" w:rsidRDefault="00925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72A54" w14:textId="77777777" w:rsidR="00821B66" w:rsidRDefault="00821B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272" w:type="dxa"/>
      <w:jc w:val="center"/>
      <w:tblLook w:val="01E0" w:firstRow="1" w:lastRow="1" w:firstColumn="1" w:lastColumn="1" w:noHBand="0" w:noVBand="0"/>
    </w:tblPr>
    <w:tblGrid>
      <w:gridCol w:w="5495"/>
      <w:gridCol w:w="3005"/>
      <w:gridCol w:w="1248"/>
      <w:gridCol w:w="1134"/>
      <w:gridCol w:w="390"/>
    </w:tblGrid>
    <w:tr w:rsidR="002228C6" w14:paraId="7B22FF5F" w14:textId="77777777" w:rsidTr="002E12EC">
      <w:trPr>
        <w:trHeight w:val="344"/>
        <w:jc w:val="center"/>
      </w:trPr>
      <w:tc>
        <w:tcPr>
          <w:tcW w:w="5495" w:type="dxa"/>
        </w:tcPr>
        <w:p w14:paraId="0836ABC8" w14:textId="77777777" w:rsidR="00821B66" w:rsidRDefault="00821B66" w:rsidP="00F968D4">
          <w:bookmarkStart w:id="2" w:name="_Hlk218605822"/>
        </w:p>
      </w:tc>
      <w:tc>
        <w:tcPr>
          <w:tcW w:w="4253" w:type="dxa"/>
          <w:gridSpan w:val="2"/>
        </w:tcPr>
        <w:p w14:paraId="3468BE3F" w14:textId="77777777" w:rsidR="00821B66" w:rsidRPr="00BD47E4" w:rsidRDefault="00821B66" w:rsidP="002A07BC">
          <w:pPr>
            <w:jc w:val="right"/>
            <w:rPr>
              <w:b/>
              <w:sz w:val="32"/>
              <w:szCs w:val="32"/>
            </w:rPr>
          </w:pPr>
          <w:bookmarkStart w:id="3" w:name="type"/>
          <w:r w:rsidRPr="00BD47E4">
            <w:rPr>
              <w:b/>
              <w:sz w:val="32"/>
              <w:szCs w:val="32"/>
            </w:rPr>
            <w:t>WP</w:t>
          </w:r>
          <w:bookmarkEnd w:id="3"/>
        </w:p>
      </w:tc>
      <w:tc>
        <w:tcPr>
          <w:tcW w:w="1524" w:type="dxa"/>
          <w:gridSpan w:val="2"/>
        </w:tcPr>
        <w:p w14:paraId="31573F45" w14:textId="77777777" w:rsidR="00821B66" w:rsidRPr="00BD47E4" w:rsidRDefault="00821B66" w:rsidP="00DB7C09">
          <w:pPr>
            <w:rPr>
              <w:b/>
              <w:sz w:val="32"/>
              <w:szCs w:val="32"/>
            </w:rPr>
          </w:pPr>
          <w:bookmarkStart w:id="4" w:name="number"/>
          <w:r w:rsidRPr="00BD47E4">
            <w:rPr>
              <w:b/>
              <w:sz w:val="32"/>
              <w:szCs w:val="32"/>
            </w:rPr>
            <w:t>33</w:t>
          </w:r>
          <w:bookmarkEnd w:id="4"/>
        </w:p>
      </w:tc>
    </w:tr>
    <w:tr w:rsidR="002228C6" w14:paraId="65F40792" w14:textId="77777777" w:rsidTr="002E12EC">
      <w:trPr>
        <w:trHeight w:val="2165"/>
        <w:jc w:val="center"/>
      </w:trPr>
      <w:tc>
        <w:tcPr>
          <w:tcW w:w="5495" w:type="dxa"/>
        </w:tcPr>
        <w:p w14:paraId="08ABE064" w14:textId="77777777" w:rsidR="00821B66" w:rsidRPr="00EE4D48" w:rsidRDefault="00821B66" w:rsidP="002A07BC">
          <w:pPr>
            <w:rPr>
              <w:b/>
              <w:sz w:val="28"/>
              <w:szCs w:val="28"/>
            </w:rPr>
          </w:pPr>
          <w:r>
            <w:rPr>
              <w:b/>
              <w:noProof/>
              <w:sz w:val="28"/>
              <w:szCs w:val="28"/>
            </w:rPr>
            <w:drawing>
              <wp:anchor distT="0" distB="0" distL="114300" distR="114300" simplePos="0" relativeHeight="251658240" behindDoc="1" locked="0" layoutInCell="1" allowOverlap="1" wp14:anchorId="1714CD5C" wp14:editId="14171093">
                <wp:simplePos x="0" y="0"/>
                <wp:positionH relativeFrom="column">
                  <wp:posOffset>0</wp:posOffset>
                </wp:positionH>
                <wp:positionV relativeFrom="paragraph">
                  <wp:posOffset>3810</wp:posOffset>
                </wp:positionV>
                <wp:extent cx="3218688" cy="1839250"/>
                <wp:effectExtent l="0" t="0" r="1270" b="8890"/>
                <wp:wrapNone/>
                <wp:docPr id="20325777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44783" name="Imagen 1" descr="Imagen que contien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242528" cy="1852873"/>
                        </a:xfrm>
                        <a:prstGeom prst="rect">
                          <a:avLst/>
                        </a:prstGeom>
                      </pic:spPr>
                    </pic:pic>
                  </a:graphicData>
                </a:graphic>
                <wp14:sizeRelH relativeFrom="margin">
                  <wp14:pctWidth>0</wp14:pctWidth>
                </wp14:sizeRelH>
                <wp14:sizeRelV relativeFrom="margin">
                  <wp14:pctHeight>0</wp14:pctHeight>
                </wp14:sizeRelV>
              </wp:anchor>
            </w:drawing>
          </w:r>
        </w:p>
      </w:tc>
      <w:tc>
        <w:tcPr>
          <w:tcW w:w="5777" w:type="dxa"/>
          <w:gridSpan w:val="4"/>
          <w:vAlign w:val="center"/>
        </w:tcPr>
        <w:p w14:paraId="44CC1FFD" w14:textId="77777777" w:rsidR="00821B66" w:rsidRPr="00FE5146" w:rsidRDefault="00821B66" w:rsidP="00490760">
          <w:pPr>
            <w:jc w:val="right"/>
            <w:rPr>
              <w:sz w:val="144"/>
              <w:szCs w:val="144"/>
            </w:rPr>
          </w:pPr>
          <w:r w:rsidRPr="00FE5146">
            <w:rPr>
              <w:sz w:val="144"/>
              <w:szCs w:val="144"/>
            </w:rPr>
            <w:t>ENG</w:t>
          </w:r>
        </w:p>
      </w:tc>
    </w:tr>
    <w:tr w:rsidR="002228C6" w14:paraId="0C2E5283" w14:textId="77777777" w:rsidTr="002E12EC">
      <w:trPr>
        <w:trHeight w:val="409"/>
        <w:jc w:val="center"/>
      </w:trPr>
      <w:tc>
        <w:tcPr>
          <w:tcW w:w="8500" w:type="dxa"/>
          <w:gridSpan w:val="2"/>
        </w:tcPr>
        <w:p w14:paraId="5DD363FF" w14:textId="77777777" w:rsidR="00821B66" w:rsidRDefault="00821B66" w:rsidP="002C30DA">
          <w:pPr>
            <w:jc w:val="right"/>
          </w:pPr>
          <w:r>
            <w:t>Agenda Item:</w:t>
          </w:r>
        </w:p>
      </w:tc>
      <w:tc>
        <w:tcPr>
          <w:tcW w:w="2382" w:type="dxa"/>
          <w:gridSpan w:val="2"/>
        </w:tcPr>
        <w:p w14:paraId="11B0266D" w14:textId="77777777" w:rsidR="00821B66" w:rsidRDefault="00821B66" w:rsidP="002C30DA">
          <w:pPr>
            <w:jc w:val="right"/>
          </w:pPr>
          <w:bookmarkStart w:id="5" w:name="agenda"/>
          <w:r>
            <w:t>CEP 10</w:t>
          </w:r>
          <w:bookmarkEnd w:id="5"/>
        </w:p>
      </w:tc>
      <w:tc>
        <w:tcPr>
          <w:tcW w:w="390" w:type="dxa"/>
        </w:tcPr>
        <w:p w14:paraId="2DBECF95" w14:textId="77777777" w:rsidR="00821B66" w:rsidRDefault="00821B66" w:rsidP="00387A65">
          <w:pPr>
            <w:jc w:val="right"/>
          </w:pPr>
        </w:p>
      </w:tc>
    </w:tr>
    <w:tr w:rsidR="002228C6" w14:paraId="16F2E2F4" w14:textId="77777777" w:rsidTr="002E12EC">
      <w:trPr>
        <w:trHeight w:val="397"/>
        <w:jc w:val="center"/>
      </w:trPr>
      <w:tc>
        <w:tcPr>
          <w:tcW w:w="8500" w:type="dxa"/>
          <w:gridSpan w:val="2"/>
        </w:tcPr>
        <w:p w14:paraId="682014B9" w14:textId="77777777" w:rsidR="00821B66" w:rsidRDefault="00821B66" w:rsidP="002C30DA">
          <w:pPr>
            <w:jc w:val="right"/>
          </w:pPr>
          <w:r>
            <w:t>Presented by:</w:t>
          </w:r>
        </w:p>
      </w:tc>
      <w:tc>
        <w:tcPr>
          <w:tcW w:w="2382" w:type="dxa"/>
          <w:gridSpan w:val="2"/>
        </w:tcPr>
        <w:p w14:paraId="31C7F2B2" w14:textId="77777777" w:rsidR="00821B66" w:rsidRDefault="00821B66" w:rsidP="002C30DA">
          <w:pPr>
            <w:jc w:val="right"/>
          </w:pPr>
          <w:bookmarkStart w:id="6" w:name="party"/>
          <w:r>
            <w:t>SCAR</w:t>
          </w:r>
          <w:bookmarkEnd w:id="6"/>
        </w:p>
      </w:tc>
      <w:tc>
        <w:tcPr>
          <w:tcW w:w="390" w:type="dxa"/>
        </w:tcPr>
        <w:p w14:paraId="5EB6694F" w14:textId="77777777" w:rsidR="00821B66" w:rsidRDefault="00821B66" w:rsidP="00387A65">
          <w:pPr>
            <w:jc w:val="right"/>
          </w:pPr>
        </w:p>
      </w:tc>
    </w:tr>
    <w:tr w:rsidR="002228C6" w14:paraId="1935C16A" w14:textId="77777777" w:rsidTr="002E12EC">
      <w:trPr>
        <w:trHeight w:val="409"/>
        <w:jc w:val="center"/>
      </w:trPr>
      <w:tc>
        <w:tcPr>
          <w:tcW w:w="8500" w:type="dxa"/>
          <w:gridSpan w:val="2"/>
        </w:tcPr>
        <w:p w14:paraId="7EF969A7" w14:textId="77777777" w:rsidR="00821B66" w:rsidRDefault="00821B66" w:rsidP="002C30DA">
          <w:pPr>
            <w:jc w:val="right"/>
          </w:pPr>
          <w:r>
            <w:t>Original:</w:t>
          </w:r>
        </w:p>
      </w:tc>
      <w:tc>
        <w:tcPr>
          <w:tcW w:w="2382" w:type="dxa"/>
          <w:gridSpan w:val="2"/>
        </w:tcPr>
        <w:p w14:paraId="415722A8" w14:textId="77777777" w:rsidR="00821B66" w:rsidRDefault="00821B66" w:rsidP="002C30DA">
          <w:pPr>
            <w:jc w:val="right"/>
          </w:pPr>
          <w:bookmarkStart w:id="7" w:name="language"/>
          <w:r>
            <w:t>English</w:t>
          </w:r>
          <w:bookmarkEnd w:id="7"/>
        </w:p>
      </w:tc>
      <w:tc>
        <w:tcPr>
          <w:tcW w:w="390" w:type="dxa"/>
        </w:tcPr>
        <w:p w14:paraId="46D94B97" w14:textId="77777777" w:rsidR="00821B66" w:rsidRDefault="00821B66" w:rsidP="00387A65">
          <w:pPr>
            <w:jc w:val="right"/>
          </w:pPr>
        </w:p>
      </w:tc>
    </w:tr>
    <w:tr w:rsidR="002228C6" w14:paraId="3CDE2E06" w14:textId="77777777" w:rsidTr="002E12EC">
      <w:trPr>
        <w:trHeight w:val="409"/>
        <w:jc w:val="center"/>
      </w:trPr>
      <w:tc>
        <w:tcPr>
          <w:tcW w:w="8500" w:type="dxa"/>
          <w:gridSpan w:val="2"/>
        </w:tcPr>
        <w:p w14:paraId="3E49C604" w14:textId="77777777" w:rsidR="00821B66" w:rsidRDefault="00821B66" w:rsidP="0002555C">
          <w:pPr>
            <w:jc w:val="right"/>
          </w:pPr>
          <w:r>
            <w:t>Submitted:</w:t>
          </w:r>
        </w:p>
      </w:tc>
      <w:tc>
        <w:tcPr>
          <w:tcW w:w="2382" w:type="dxa"/>
          <w:gridSpan w:val="2"/>
        </w:tcPr>
        <w:p w14:paraId="2F3E5E5F" w14:textId="77777777" w:rsidR="00821B66" w:rsidRDefault="00821B66" w:rsidP="0002555C">
          <w:pPr>
            <w:jc w:val="right"/>
          </w:pPr>
          <w:bookmarkStart w:id="8" w:name="date_submission"/>
          <w:r>
            <w:t>27 Mar 2026</w:t>
          </w:r>
          <w:bookmarkEnd w:id="8"/>
        </w:p>
      </w:tc>
      <w:tc>
        <w:tcPr>
          <w:tcW w:w="390" w:type="dxa"/>
        </w:tcPr>
        <w:p w14:paraId="06B730F7" w14:textId="77777777" w:rsidR="00821B66" w:rsidRDefault="00821B66" w:rsidP="0002555C">
          <w:pPr>
            <w:jc w:val="right"/>
          </w:pPr>
        </w:p>
      </w:tc>
    </w:tr>
    <w:tr w:rsidR="002228C6" w14:paraId="07C5328D" w14:textId="77777777" w:rsidTr="0002555C">
      <w:trPr>
        <w:trHeight w:val="409"/>
        <w:jc w:val="center"/>
      </w:trPr>
      <w:tc>
        <w:tcPr>
          <w:tcW w:w="8500" w:type="dxa"/>
          <w:gridSpan w:val="2"/>
        </w:tcPr>
        <w:p w14:paraId="32988229" w14:textId="77777777" w:rsidR="00821B66" w:rsidRDefault="00821B66" w:rsidP="0002555C">
          <w:pPr>
            <w:jc w:val="right"/>
          </w:pPr>
          <w:r>
            <w:t>Revision:</w:t>
          </w:r>
        </w:p>
      </w:tc>
      <w:tc>
        <w:tcPr>
          <w:tcW w:w="2382" w:type="dxa"/>
          <w:gridSpan w:val="2"/>
        </w:tcPr>
        <w:p w14:paraId="1FC61A8A" w14:textId="77777777" w:rsidR="00821B66" w:rsidRDefault="00821B66" w:rsidP="0002555C">
          <w:pPr>
            <w:jc w:val="right"/>
          </w:pPr>
          <w:bookmarkStart w:id="9" w:name="date_revision"/>
          <w:r>
            <w:t>---</w:t>
          </w:r>
          <w:bookmarkEnd w:id="9"/>
        </w:p>
      </w:tc>
      <w:tc>
        <w:tcPr>
          <w:tcW w:w="390" w:type="dxa"/>
        </w:tcPr>
        <w:p w14:paraId="0DF4EA17" w14:textId="77777777" w:rsidR="00821B66" w:rsidRDefault="00821B66" w:rsidP="0002555C">
          <w:pPr>
            <w:jc w:val="right"/>
          </w:pPr>
        </w:p>
      </w:tc>
    </w:tr>
    <w:bookmarkEnd w:id="2"/>
  </w:tbl>
  <w:p w14:paraId="3330F58F" w14:textId="77777777" w:rsidR="00821B66" w:rsidRDefault="00821B6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42476" w14:textId="77777777" w:rsidR="00821B66" w:rsidRDefault="00821B6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6" w:type="dxa"/>
      <w:jc w:val="center"/>
      <w:tblLook w:val="01E0" w:firstRow="1" w:lastRow="1" w:firstColumn="1" w:lastColumn="1" w:noHBand="0" w:noVBand="0"/>
    </w:tblPr>
    <w:tblGrid>
      <w:gridCol w:w="9694"/>
      <w:gridCol w:w="1332"/>
    </w:tblGrid>
    <w:tr w:rsidR="00333116" w14:paraId="0DDF5004" w14:textId="77777777">
      <w:trPr>
        <w:trHeight w:val="354"/>
        <w:jc w:val="center"/>
      </w:trPr>
      <w:tc>
        <w:tcPr>
          <w:tcW w:w="9694" w:type="dxa"/>
        </w:tcPr>
        <w:p w14:paraId="0EF9E9E4" w14:textId="77777777" w:rsidR="00333116" w:rsidRPr="00BD47E4" w:rsidRDefault="00333116" w:rsidP="00C26F2D">
          <w:pPr>
            <w:jc w:val="right"/>
            <w:rPr>
              <w:b/>
              <w:sz w:val="32"/>
              <w:szCs w:val="32"/>
            </w:rPr>
          </w:pPr>
          <w:r>
            <w:rPr>
              <w:b/>
              <w:sz w:val="32"/>
              <w:szCs w:val="32"/>
            </w:rPr>
            <w:t>WP</w:t>
          </w:r>
        </w:p>
      </w:tc>
      <w:tc>
        <w:tcPr>
          <w:tcW w:w="1332" w:type="dxa"/>
        </w:tcPr>
        <w:p w14:paraId="248E9B0F" w14:textId="6633FC9F" w:rsidR="00333116" w:rsidRPr="00BD47E4" w:rsidRDefault="00333116" w:rsidP="00080F4C">
          <w:pPr>
            <w:rPr>
              <w:b/>
              <w:sz w:val="32"/>
              <w:szCs w:val="32"/>
            </w:rPr>
          </w:pPr>
          <w:r>
            <w:rPr>
              <w:b/>
              <w:sz w:val="32"/>
              <w:szCs w:val="32"/>
            </w:rPr>
            <w:t>33</w:t>
          </w:r>
        </w:p>
      </w:tc>
    </w:tr>
  </w:tbl>
  <w:p w14:paraId="4B0D5A75" w14:textId="77777777" w:rsidR="00333116" w:rsidRDefault="00333116"/>
  <w:p w14:paraId="5A540C66" w14:textId="77777777" w:rsidR="00333116" w:rsidRDefault="00333116"/>
  <w:p w14:paraId="656C9359" w14:textId="77777777" w:rsidR="00333116" w:rsidRDefault="00333116"/>
  <w:p w14:paraId="115DA58F" w14:textId="77777777" w:rsidR="00333116" w:rsidRDefault="003331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044987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E0EC7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B63ED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9D2F98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114CC6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E141F9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DA27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982BAE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6C13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DCC03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29190D"/>
    <w:multiLevelType w:val="hybridMultilevel"/>
    <w:tmpl w:val="745A0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F9465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86577EA"/>
    <w:multiLevelType w:val="hybridMultilevel"/>
    <w:tmpl w:val="21A63D98"/>
    <w:lvl w:ilvl="0" w:tplc="6D4A2BFE">
      <w:start w:val="1"/>
      <w:numFmt w:val="bullet"/>
      <w:pStyle w:val="ATSBullet1"/>
      <w:lvlText w:val=""/>
      <w:lvlJc w:val="left"/>
      <w:pPr>
        <w:tabs>
          <w:tab w:val="num" w:pos="360"/>
        </w:tabs>
        <w:ind w:left="360" w:hanging="360"/>
      </w:pPr>
      <w:rPr>
        <w:rFonts w:ascii="Symbol" w:hAnsi="Symbol" w:hint="default"/>
        <w:color w:val="auto"/>
      </w:rPr>
    </w:lvl>
    <w:lvl w:ilvl="1" w:tplc="22A8D73A" w:tentative="1">
      <w:start w:val="1"/>
      <w:numFmt w:val="bullet"/>
      <w:lvlText w:val="o"/>
      <w:lvlJc w:val="left"/>
      <w:pPr>
        <w:tabs>
          <w:tab w:val="num" w:pos="1440"/>
        </w:tabs>
        <w:ind w:left="1440" w:hanging="360"/>
      </w:pPr>
      <w:rPr>
        <w:rFonts w:ascii="Courier New" w:hAnsi="Courier New" w:cs="Courier New" w:hint="default"/>
      </w:rPr>
    </w:lvl>
    <w:lvl w:ilvl="2" w:tplc="8416DEE0" w:tentative="1">
      <w:start w:val="1"/>
      <w:numFmt w:val="bullet"/>
      <w:lvlText w:val=""/>
      <w:lvlJc w:val="left"/>
      <w:pPr>
        <w:tabs>
          <w:tab w:val="num" w:pos="2160"/>
        </w:tabs>
        <w:ind w:left="2160" w:hanging="360"/>
      </w:pPr>
      <w:rPr>
        <w:rFonts w:ascii="Wingdings" w:hAnsi="Wingdings" w:hint="default"/>
      </w:rPr>
    </w:lvl>
    <w:lvl w:ilvl="3" w:tplc="F7F4F0DC" w:tentative="1">
      <w:start w:val="1"/>
      <w:numFmt w:val="bullet"/>
      <w:lvlText w:val=""/>
      <w:lvlJc w:val="left"/>
      <w:pPr>
        <w:tabs>
          <w:tab w:val="num" w:pos="2880"/>
        </w:tabs>
        <w:ind w:left="2880" w:hanging="360"/>
      </w:pPr>
      <w:rPr>
        <w:rFonts w:ascii="Symbol" w:hAnsi="Symbol" w:hint="default"/>
      </w:rPr>
    </w:lvl>
    <w:lvl w:ilvl="4" w:tplc="CEECEF78" w:tentative="1">
      <w:start w:val="1"/>
      <w:numFmt w:val="bullet"/>
      <w:lvlText w:val="o"/>
      <w:lvlJc w:val="left"/>
      <w:pPr>
        <w:tabs>
          <w:tab w:val="num" w:pos="3600"/>
        </w:tabs>
        <w:ind w:left="3600" w:hanging="360"/>
      </w:pPr>
      <w:rPr>
        <w:rFonts w:ascii="Courier New" w:hAnsi="Courier New" w:cs="Courier New" w:hint="default"/>
      </w:rPr>
    </w:lvl>
    <w:lvl w:ilvl="5" w:tplc="647C5D24" w:tentative="1">
      <w:start w:val="1"/>
      <w:numFmt w:val="bullet"/>
      <w:lvlText w:val=""/>
      <w:lvlJc w:val="left"/>
      <w:pPr>
        <w:tabs>
          <w:tab w:val="num" w:pos="4320"/>
        </w:tabs>
        <w:ind w:left="4320" w:hanging="360"/>
      </w:pPr>
      <w:rPr>
        <w:rFonts w:ascii="Wingdings" w:hAnsi="Wingdings" w:hint="default"/>
      </w:rPr>
    </w:lvl>
    <w:lvl w:ilvl="6" w:tplc="AA645522" w:tentative="1">
      <w:start w:val="1"/>
      <w:numFmt w:val="bullet"/>
      <w:lvlText w:val=""/>
      <w:lvlJc w:val="left"/>
      <w:pPr>
        <w:tabs>
          <w:tab w:val="num" w:pos="5040"/>
        </w:tabs>
        <w:ind w:left="5040" w:hanging="360"/>
      </w:pPr>
      <w:rPr>
        <w:rFonts w:ascii="Symbol" w:hAnsi="Symbol" w:hint="default"/>
      </w:rPr>
    </w:lvl>
    <w:lvl w:ilvl="7" w:tplc="59128EB2" w:tentative="1">
      <w:start w:val="1"/>
      <w:numFmt w:val="bullet"/>
      <w:lvlText w:val="o"/>
      <w:lvlJc w:val="left"/>
      <w:pPr>
        <w:tabs>
          <w:tab w:val="num" w:pos="5760"/>
        </w:tabs>
        <w:ind w:left="5760" w:hanging="360"/>
      </w:pPr>
      <w:rPr>
        <w:rFonts w:ascii="Courier New" w:hAnsi="Courier New" w:cs="Courier New" w:hint="default"/>
      </w:rPr>
    </w:lvl>
    <w:lvl w:ilvl="8" w:tplc="B52AB97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D35C15"/>
    <w:multiLevelType w:val="hybridMultilevel"/>
    <w:tmpl w:val="A8A2E45C"/>
    <w:lvl w:ilvl="0" w:tplc="D592E59A">
      <w:start w:val="1"/>
      <w:numFmt w:val="decimal"/>
      <w:lvlText w:val="%1)"/>
      <w:lvlJc w:val="left"/>
      <w:pPr>
        <w:tabs>
          <w:tab w:val="num" w:pos="340"/>
        </w:tabs>
        <w:ind w:left="340" w:hanging="340"/>
      </w:pPr>
      <w:rPr>
        <w:rFonts w:hint="default"/>
      </w:rPr>
    </w:lvl>
    <w:lvl w:ilvl="1" w:tplc="0180CE80" w:tentative="1">
      <w:start w:val="1"/>
      <w:numFmt w:val="lowerLetter"/>
      <w:lvlText w:val="%2."/>
      <w:lvlJc w:val="left"/>
      <w:pPr>
        <w:tabs>
          <w:tab w:val="num" w:pos="1440"/>
        </w:tabs>
        <w:ind w:left="1440" w:hanging="360"/>
      </w:pPr>
    </w:lvl>
    <w:lvl w:ilvl="2" w:tplc="82FC761A" w:tentative="1">
      <w:start w:val="1"/>
      <w:numFmt w:val="lowerRoman"/>
      <w:lvlText w:val="%3."/>
      <w:lvlJc w:val="right"/>
      <w:pPr>
        <w:tabs>
          <w:tab w:val="num" w:pos="2160"/>
        </w:tabs>
        <w:ind w:left="2160" w:hanging="180"/>
      </w:pPr>
    </w:lvl>
    <w:lvl w:ilvl="3" w:tplc="41BE8950" w:tentative="1">
      <w:start w:val="1"/>
      <w:numFmt w:val="decimal"/>
      <w:lvlText w:val="%4."/>
      <w:lvlJc w:val="left"/>
      <w:pPr>
        <w:tabs>
          <w:tab w:val="num" w:pos="2880"/>
        </w:tabs>
        <w:ind w:left="2880" w:hanging="360"/>
      </w:pPr>
    </w:lvl>
    <w:lvl w:ilvl="4" w:tplc="2368AAC0" w:tentative="1">
      <w:start w:val="1"/>
      <w:numFmt w:val="lowerLetter"/>
      <w:lvlText w:val="%5."/>
      <w:lvlJc w:val="left"/>
      <w:pPr>
        <w:tabs>
          <w:tab w:val="num" w:pos="3600"/>
        </w:tabs>
        <w:ind w:left="3600" w:hanging="360"/>
      </w:pPr>
    </w:lvl>
    <w:lvl w:ilvl="5" w:tplc="24088B36" w:tentative="1">
      <w:start w:val="1"/>
      <w:numFmt w:val="lowerRoman"/>
      <w:lvlText w:val="%6."/>
      <w:lvlJc w:val="right"/>
      <w:pPr>
        <w:tabs>
          <w:tab w:val="num" w:pos="4320"/>
        </w:tabs>
        <w:ind w:left="4320" w:hanging="180"/>
      </w:pPr>
    </w:lvl>
    <w:lvl w:ilvl="6" w:tplc="064C07A0" w:tentative="1">
      <w:start w:val="1"/>
      <w:numFmt w:val="decimal"/>
      <w:lvlText w:val="%7."/>
      <w:lvlJc w:val="left"/>
      <w:pPr>
        <w:tabs>
          <w:tab w:val="num" w:pos="5040"/>
        </w:tabs>
        <w:ind w:left="5040" w:hanging="360"/>
      </w:pPr>
    </w:lvl>
    <w:lvl w:ilvl="7" w:tplc="C218A614" w:tentative="1">
      <w:start w:val="1"/>
      <w:numFmt w:val="lowerLetter"/>
      <w:lvlText w:val="%8."/>
      <w:lvlJc w:val="left"/>
      <w:pPr>
        <w:tabs>
          <w:tab w:val="num" w:pos="5760"/>
        </w:tabs>
        <w:ind w:left="5760" w:hanging="360"/>
      </w:pPr>
    </w:lvl>
    <w:lvl w:ilvl="8" w:tplc="B97099E2" w:tentative="1">
      <w:start w:val="1"/>
      <w:numFmt w:val="lowerRoman"/>
      <w:lvlText w:val="%9."/>
      <w:lvlJc w:val="right"/>
      <w:pPr>
        <w:tabs>
          <w:tab w:val="num" w:pos="6480"/>
        </w:tabs>
        <w:ind w:left="6480" w:hanging="180"/>
      </w:pPr>
    </w:lvl>
  </w:abstractNum>
  <w:abstractNum w:abstractNumId="14" w15:restartNumberingAfterBreak="0">
    <w:nsid w:val="642F3AFA"/>
    <w:multiLevelType w:val="hybridMultilevel"/>
    <w:tmpl w:val="9DF09BE6"/>
    <w:lvl w:ilvl="0" w:tplc="F9BE82FC">
      <w:start w:val="1"/>
      <w:numFmt w:val="decimal"/>
      <w:lvlText w:val="%1."/>
      <w:lvlJc w:val="left"/>
      <w:pPr>
        <w:tabs>
          <w:tab w:val="num" w:pos="1057"/>
        </w:tabs>
        <w:ind w:left="1057" w:hanging="360"/>
      </w:pPr>
      <w:rPr>
        <w:rFonts w:hint="default"/>
      </w:rPr>
    </w:lvl>
    <w:lvl w:ilvl="1" w:tplc="7F8CC6B6" w:tentative="1">
      <w:start w:val="1"/>
      <w:numFmt w:val="lowerLetter"/>
      <w:lvlText w:val="%2."/>
      <w:lvlJc w:val="left"/>
      <w:pPr>
        <w:tabs>
          <w:tab w:val="num" w:pos="2137"/>
        </w:tabs>
        <w:ind w:left="2137" w:hanging="360"/>
      </w:pPr>
    </w:lvl>
    <w:lvl w:ilvl="2" w:tplc="DC4872B6" w:tentative="1">
      <w:start w:val="1"/>
      <w:numFmt w:val="lowerRoman"/>
      <w:lvlText w:val="%3."/>
      <w:lvlJc w:val="right"/>
      <w:pPr>
        <w:tabs>
          <w:tab w:val="num" w:pos="2857"/>
        </w:tabs>
        <w:ind w:left="2857" w:hanging="180"/>
      </w:pPr>
    </w:lvl>
    <w:lvl w:ilvl="3" w:tplc="4A74BBB8" w:tentative="1">
      <w:start w:val="1"/>
      <w:numFmt w:val="decimal"/>
      <w:lvlText w:val="%4."/>
      <w:lvlJc w:val="left"/>
      <w:pPr>
        <w:tabs>
          <w:tab w:val="num" w:pos="3577"/>
        </w:tabs>
        <w:ind w:left="3577" w:hanging="360"/>
      </w:pPr>
    </w:lvl>
    <w:lvl w:ilvl="4" w:tplc="3438C19A" w:tentative="1">
      <w:start w:val="1"/>
      <w:numFmt w:val="lowerLetter"/>
      <w:lvlText w:val="%5."/>
      <w:lvlJc w:val="left"/>
      <w:pPr>
        <w:tabs>
          <w:tab w:val="num" w:pos="4297"/>
        </w:tabs>
        <w:ind w:left="4297" w:hanging="360"/>
      </w:pPr>
    </w:lvl>
    <w:lvl w:ilvl="5" w:tplc="D5DE1C20" w:tentative="1">
      <w:start w:val="1"/>
      <w:numFmt w:val="lowerRoman"/>
      <w:lvlText w:val="%6."/>
      <w:lvlJc w:val="right"/>
      <w:pPr>
        <w:tabs>
          <w:tab w:val="num" w:pos="5017"/>
        </w:tabs>
        <w:ind w:left="5017" w:hanging="180"/>
      </w:pPr>
    </w:lvl>
    <w:lvl w:ilvl="6" w:tplc="4E08FD2A" w:tentative="1">
      <w:start w:val="1"/>
      <w:numFmt w:val="decimal"/>
      <w:lvlText w:val="%7."/>
      <w:lvlJc w:val="left"/>
      <w:pPr>
        <w:tabs>
          <w:tab w:val="num" w:pos="5737"/>
        </w:tabs>
        <w:ind w:left="5737" w:hanging="360"/>
      </w:pPr>
    </w:lvl>
    <w:lvl w:ilvl="7" w:tplc="C840CA44" w:tentative="1">
      <w:start w:val="1"/>
      <w:numFmt w:val="lowerLetter"/>
      <w:lvlText w:val="%8."/>
      <w:lvlJc w:val="left"/>
      <w:pPr>
        <w:tabs>
          <w:tab w:val="num" w:pos="6457"/>
        </w:tabs>
        <w:ind w:left="6457" w:hanging="360"/>
      </w:pPr>
    </w:lvl>
    <w:lvl w:ilvl="8" w:tplc="375E701A" w:tentative="1">
      <w:start w:val="1"/>
      <w:numFmt w:val="lowerRoman"/>
      <w:lvlText w:val="%9."/>
      <w:lvlJc w:val="right"/>
      <w:pPr>
        <w:tabs>
          <w:tab w:val="num" w:pos="7177"/>
        </w:tabs>
        <w:ind w:left="7177" w:hanging="180"/>
      </w:pPr>
    </w:lvl>
  </w:abstractNum>
  <w:abstractNum w:abstractNumId="15" w15:restartNumberingAfterBreak="0">
    <w:nsid w:val="7212657C"/>
    <w:multiLevelType w:val="hybridMultilevel"/>
    <w:tmpl w:val="0A8E2A84"/>
    <w:lvl w:ilvl="0" w:tplc="57002300">
      <w:start w:val="1"/>
      <w:numFmt w:val="decimal"/>
      <w:pStyle w:val="ATSNumber1"/>
      <w:lvlText w:val="%1)"/>
      <w:lvlJc w:val="left"/>
      <w:pPr>
        <w:tabs>
          <w:tab w:val="num" w:pos="720"/>
        </w:tabs>
        <w:ind w:left="720" w:hanging="360"/>
      </w:pPr>
    </w:lvl>
    <w:lvl w:ilvl="1" w:tplc="39EEAAB4" w:tentative="1">
      <w:start w:val="1"/>
      <w:numFmt w:val="lowerLetter"/>
      <w:lvlText w:val="%2."/>
      <w:lvlJc w:val="left"/>
      <w:pPr>
        <w:tabs>
          <w:tab w:val="num" w:pos="1440"/>
        </w:tabs>
        <w:ind w:left="1440" w:hanging="360"/>
      </w:pPr>
    </w:lvl>
    <w:lvl w:ilvl="2" w:tplc="57164610" w:tentative="1">
      <w:start w:val="1"/>
      <w:numFmt w:val="lowerRoman"/>
      <w:lvlText w:val="%3."/>
      <w:lvlJc w:val="right"/>
      <w:pPr>
        <w:tabs>
          <w:tab w:val="num" w:pos="2160"/>
        </w:tabs>
        <w:ind w:left="2160" w:hanging="180"/>
      </w:pPr>
    </w:lvl>
    <w:lvl w:ilvl="3" w:tplc="67BE5DD6" w:tentative="1">
      <w:start w:val="1"/>
      <w:numFmt w:val="decimal"/>
      <w:lvlText w:val="%4."/>
      <w:lvlJc w:val="left"/>
      <w:pPr>
        <w:tabs>
          <w:tab w:val="num" w:pos="2880"/>
        </w:tabs>
        <w:ind w:left="2880" w:hanging="360"/>
      </w:pPr>
    </w:lvl>
    <w:lvl w:ilvl="4" w:tplc="5E649EC6" w:tentative="1">
      <w:start w:val="1"/>
      <w:numFmt w:val="lowerLetter"/>
      <w:lvlText w:val="%5."/>
      <w:lvlJc w:val="left"/>
      <w:pPr>
        <w:tabs>
          <w:tab w:val="num" w:pos="3600"/>
        </w:tabs>
        <w:ind w:left="3600" w:hanging="360"/>
      </w:pPr>
    </w:lvl>
    <w:lvl w:ilvl="5" w:tplc="7BE2F00A" w:tentative="1">
      <w:start w:val="1"/>
      <w:numFmt w:val="lowerRoman"/>
      <w:lvlText w:val="%6."/>
      <w:lvlJc w:val="right"/>
      <w:pPr>
        <w:tabs>
          <w:tab w:val="num" w:pos="4320"/>
        </w:tabs>
        <w:ind w:left="4320" w:hanging="180"/>
      </w:pPr>
    </w:lvl>
    <w:lvl w:ilvl="6" w:tplc="6FB0244A" w:tentative="1">
      <w:start w:val="1"/>
      <w:numFmt w:val="decimal"/>
      <w:lvlText w:val="%7."/>
      <w:lvlJc w:val="left"/>
      <w:pPr>
        <w:tabs>
          <w:tab w:val="num" w:pos="5040"/>
        </w:tabs>
        <w:ind w:left="5040" w:hanging="360"/>
      </w:pPr>
    </w:lvl>
    <w:lvl w:ilvl="7" w:tplc="AFF85DA4" w:tentative="1">
      <w:start w:val="1"/>
      <w:numFmt w:val="lowerLetter"/>
      <w:lvlText w:val="%8."/>
      <w:lvlJc w:val="left"/>
      <w:pPr>
        <w:tabs>
          <w:tab w:val="num" w:pos="5760"/>
        </w:tabs>
        <w:ind w:left="5760" w:hanging="360"/>
      </w:pPr>
    </w:lvl>
    <w:lvl w:ilvl="8" w:tplc="BB623570" w:tentative="1">
      <w:start w:val="1"/>
      <w:numFmt w:val="lowerRoman"/>
      <w:lvlText w:val="%9."/>
      <w:lvlJc w:val="right"/>
      <w:pPr>
        <w:tabs>
          <w:tab w:val="num" w:pos="6480"/>
        </w:tabs>
        <w:ind w:left="6480" w:hanging="180"/>
      </w:pPr>
    </w:lvl>
  </w:abstractNum>
  <w:abstractNum w:abstractNumId="16" w15:restartNumberingAfterBreak="0">
    <w:nsid w:val="743D2161"/>
    <w:multiLevelType w:val="hybridMultilevel"/>
    <w:tmpl w:val="B0868D9E"/>
    <w:lvl w:ilvl="0" w:tplc="6ECA9ACC">
      <w:start w:val="1"/>
      <w:numFmt w:val="bullet"/>
      <w:pStyle w:val="ATSBullet2"/>
      <w:lvlText w:val="-"/>
      <w:lvlJc w:val="left"/>
      <w:pPr>
        <w:tabs>
          <w:tab w:val="num" w:pos="1080"/>
        </w:tabs>
        <w:ind w:left="1080" w:hanging="360"/>
      </w:pPr>
      <w:rPr>
        <w:rFonts w:ascii="Times New Roman" w:hAnsi="Times New Roman" w:cs="Times New Roman" w:hint="default"/>
        <w:color w:val="auto"/>
      </w:rPr>
    </w:lvl>
    <w:lvl w:ilvl="1" w:tplc="21BC8382" w:tentative="1">
      <w:start w:val="1"/>
      <w:numFmt w:val="bullet"/>
      <w:lvlText w:val="o"/>
      <w:lvlJc w:val="left"/>
      <w:pPr>
        <w:tabs>
          <w:tab w:val="num" w:pos="2517"/>
        </w:tabs>
        <w:ind w:left="2517" w:hanging="360"/>
      </w:pPr>
      <w:rPr>
        <w:rFonts w:ascii="Courier New" w:hAnsi="Courier New" w:cs="Courier New" w:hint="default"/>
      </w:rPr>
    </w:lvl>
    <w:lvl w:ilvl="2" w:tplc="BC48BBCC" w:tentative="1">
      <w:start w:val="1"/>
      <w:numFmt w:val="bullet"/>
      <w:lvlText w:val=""/>
      <w:lvlJc w:val="left"/>
      <w:pPr>
        <w:tabs>
          <w:tab w:val="num" w:pos="3237"/>
        </w:tabs>
        <w:ind w:left="3237" w:hanging="360"/>
      </w:pPr>
      <w:rPr>
        <w:rFonts w:ascii="Wingdings" w:hAnsi="Wingdings" w:hint="default"/>
      </w:rPr>
    </w:lvl>
    <w:lvl w:ilvl="3" w:tplc="2AC2C274" w:tentative="1">
      <w:start w:val="1"/>
      <w:numFmt w:val="bullet"/>
      <w:lvlText w:val=""/>
      <w:lvlJc w:val="left"/>
      <w:pPr>
        <w:tabs>
          <w:tab w:val="num" w:pos="3957"/>
        </w:tabs>
        <w:ind w:left="3957" w:hanging="360"/>
      </w:pPr>
      <w:rPr>
        <w:rFonts w:ascii="Symbol" w:hAnsi="Symbol" w:hint="default"/>
      </w:rPr>
    </w:lvl>
    <w:lvl w:ilvl="4" w:tplc="72EAE0A4" w:tentative="1">
      <w:start w:val="1"/>
      <w:numFmt w:val="bullet"/>
      <w:lvlText w:val="o"/>
      <w:lvlJc w:val="left"/>
      <w:pPr>
        <w:tabs>
          <w:tab w:val="num" w:pos="4677"/>
        </w:tabs>
        <w:ind w:left="4677" w:hanging="360"/>
      </w:pPr>
      <w:rPr>
        <w:rFonts w:ascii="Courier New" w:hAnsi="Courier New" w:cs="Courier New" w:hint="default"/>
      </w:rPr>
    </w:lvl>
    <w:lvl w:ilvl="5" w:tplc="85EE7166" w:tentative="1">
      <w:start w:val="1"/>
      <w:numFmt w:val="bullet"/>
      <w:lvlText w:val=""/>
      <w:lvlJc w:val="left"/>
      <w:pPr>
        <w:tabs>
          <w:tab w:val="num" w:pos="5397"/>
        </w:tabs>
        <w:ind w:left="5397" w:hanging="360"/>
      </w:pPr>
      <w:rPr>
        <w:rFonts w:ascii="Wingdings" w:hAnsi="Wingdings" w:hint="default"/>
      </w:rPr>
    </w:lvl>
    <w:lvl w:ilvl="6" w:tplc="B27026E6" w:tentative="1">
      <w:start w:val="1"/>
      <w:numFmt w:val="bullet"/>
      <w:lvlText w:val=""/>
      <w:lvlJc w:val="left"/>
      <w:pPr>
        <w:tabs>
          <w:tab w:val="num" w:pos="6117"/>
        </w:tabs>
        <w:ind w:left="6117" w:hanging="360"/>
      </w:pPr>
      <w:rPr>
        <w:rFonts w:ascii="Symbol" w:hAnsi="Symbol" w:hint="default"/>
      </w:rPr>
    </w:lvl>
    <w:lvl w:ilvl="7" w:tplc="CA328F72" w:tentative="1">
      <w:start w:val="1"/>
      <w:numFmt w:val="bullet"/>
      <w:lvlText w:val="o"/>
      <w:lvlJc w:val="left"/>
      <w:pPr>
        <w:tabs>
          <w:tab w:val="num" w:pos="6837"/>
        </w:tabs>
        <w:ind w:left="6837" w:hanging="360"/>
      </w:pPr>
      <w:rPr>
        <w:rFonts w:ascii="Courier New" w:hAnsi="Courier New" w:cs="Courier New" w:hint="default"/>
      </w:rPr>
    </w:lvl>
    <w:lvl w:ilvl="8" w:tplc="7E421ACE" w:tentative="1">
      <w:start w:val="1"/>
      <w:numFmt w:val="bullet"/>
      <w:lvlText w:val=""/>
      <w:lvlJc w:val="left"/>
      <w:pPr>
        <w:tabs>
          <w:tab w:val="num" w:pos="7557"/>
        </w:tabs>
        <w:ind w:left="7557" w:hanging="360"/>
      </w:pPr>
      <w:rPr>
        <w:rFonts w:ascii="Wingdings" w:hAnsi="Wingdings" w:hint="default"/>
      </w:rPr>
    </w:lvl>
  </w:abstractNum>
  <w:abstractNum w:abstractNumId="17" w15:restartNumberingAfterBreak="0">
    <w:nsid w:val="7C866FC0"/>
    <w:multiLevelType w:val="hybridMultilevel"/>
    <w:tmpl w:val="57EA2900"/>
    <w:lvl w:ilvl="0" w:tplc="35A45DCA">
      <w:start w:val="1"/>
      <w:numFmt w:val="decimal"/>
      <w:pStyle w:val="ATSNumber2"/>
      <w:lvlText w:val="%1."/>
      <w:lvlJc w:val="left"/>
      <w:pPr>
        <w:tabs>
          <w:tab w:val="num" w:pos="720"/>
        </w:tabs>
        <w:ind w:left="720" w:hanging="360"/>
      </w:pPr>
      <w:rPr>
        <w:rFonts w:hint="default"/>
      </w:rPr>
    </w:lvl>
    <w:lvl w:ilvl="1" w:tplc="6658D11E" w:tentative="1">
      <w:start w:val="1"/>
      <w:numFmt w:val="lowerLetter"/>
      <w:lvlText w:val="%2."/>
      <w:lvlJc w:val="left"/>
      <w:pPr>
        <w:tabs>
          <w:tab w:val="num" w:pos="1440"/>
        </w:tabs>
        <w:ind w:left="1440" w:hanging="360"/>
      </w:pPr>
    </w:lvl>
    <w:lvl w:ilvl="2" w:tplc="FC98E6F4" w:tentative="1">
      <w:start w:val="1"/>
      <w:numFmt w:val="lowerRoman"/>
      <w:lvlText w:val="%3."/>
      <w:lvlJc w:val="right"/>
      <w:pPr>
        <w:tabs>
          <w:tab w:val="num" w:pos="2160"/>
        </w:tabs>
        <w:ind w:left="2160" w:hanging="180"/>
      </w:pPr>
    </w:lvl>
    <w:lvl w:ilvl="3" w:tplc="DA34AA6E" w:tentative="1">
      <w:start w:val="1"/>
      <w:numFmt w:val="decimal"/>
      <w:lvlText w:val="%4."/>
      <w:lvlJc w:val="left"/>
      <w:pPr>
        <w:tabs>
          <w:tab w:val="num" w:pos="2880"/>
        </w:tabs>
        <w:ind w:left="2880" w:hanging="360"/>
      </w:pPr>
    </w:lvl>
    <w:lvl w:ilvl="4" w:tplc="D3D2C40E" w:tentative="1">
      <w:start w:val="1"/>
      <w:numFmt w:val="lowerLetter"/>
      <w:lvlText w:val="%5."/>
      <w:lvlJc w:val="left"/>
      <w:pPr>
        <w:tabs>
          <w:tab w:val="num" w:pos="3600"/>
        </w:tabs>
        <w:ind w:left="3600" w:hanging="360"/>
      </w:pPr>
    </w:lvl>
    <w:lvl w:ilvl="5" w:tplc="D77AEF30" w:tentative="1">
      <w:start w:val="1"/>
      <w:numFmt w:val="lowerRoman"/>
      <w:lvlText w:val="%6."/>
      <w:lvlJc w:val="right"/>
      <w:pPr>
        <w:tabs>
          <w:tab w:val="num" w:pos="4320"/>
        </w:tabs>
        <w:ind w:left="4320" w:hanging="180"/>
      </w:pPr>
    </w:lvl>
    <w:lvl w:ilvl="6" w:tplc="944A8376" w:tentative="1">
      <w:start w:val="1"/>
      <w:numFmt w:val="decimal"/>
      <w:lvlText w:val="%7."/>
      <w:lvlJc w:val="left"/>
      <w:pPr>
        <w:tabs>
          <w:tab w:val="num" w:pos="5040"/>
        </w:tabs>
        <w:ind w:left="5040" w:hanging="360"/>
      </w:pPr>
    </w:lvl>
    <w:lvl w:ilvl="7" w:tplc="B99E9C30" w:tentative="1">
      <w:start w:val="1"/>
      <w:numFmt w:val="lowerLetter"/>
      <w:lvlText w:val="%8."/>
      <w:lvlJc w:val="left"/>
      <w:pPr>
        <w:tabs>
          <w:tab w:val="num" w:pos="5760"/>
        </w:tabs>
        <w:ind w:left="5760" w:hanging="360"/>
      </w:pPr>
    </w:lvl>
    <w:lvl w:ilvl="8" w:tplc="5C244896"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6"/>
  </w:num>
  <w:num w:numId="13">
    <w:abstractNumId w:val="15"/>
  </w:num>
  <w:num w:numId="14">
    <w:abstractNumId w:val="13"/>
  </w:num>
  <w:num w:numId="15">
    <w:abstractNumId w:val="14"/>
  </w:num>
  <w:num w:numId="16">
    <w:abstractNumId w:val="11"/>
  </w:num>
  <w:num w:numId="17">
    <w:abstractNumId w:val="12"/>
  </w:num>
  <w:num w:numId="18">
    <w:abstractNumId w:val="16"/>
  </w:num>
  <w:num w:numId="19">
    <w:abstractNumId w:val="15"/>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8C6"/>
    <w:rsid w:val="002228C6"/>
    <w:rsid w:val="00333116"/>
    <w:rsid w:val="00783043"/>
    <w:rsid w:val="00821B66"/>
    <w:rsid w:val="00925773"/>
    <w:rsid w:val="00A71BC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EBAD89"/>
  <w15:chartTrackingRefBased/>
  <w15:docId w15:val="{71F73FAD-E009-4836-B462-FCE3E248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6">
    <w:lsdException w:name="Normal" w:qFormat="1"/>
    <w:lsdException w:name="caption" w:semiHidden="1" w:unhideWhenUsed="1" w:qFormat="1"/>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89F"/>
    <w:rPr>
      <w:sz w:val="22"/>
      <w:szCs w:val="24"/>
      <w:lang w:val="en-GB" w:eastAsia="en-US"/>
    </w:rPr>
  </w:style>
  <w:style w:type="paragraph" w:styleId="Ttulo1">
    <w:name w:val="heading 1"/>
    <w:basedOn w:val="Normal"/>
    <w:next w:val="Normal"/>
    <w:rsid w:val="001B789F"/>
    <w:pPr>
      <w:keepNext/>
      <w:spacing w:before="180" w:after="360"/>
      <w:jc w:val="center"/>
      <w:outlineLvl w:val="0"/>
    </w:pPr>
    <w:rPr>
      <w:rFonts w:ascii="Arial" w:hAnsi="Arial"/>
      <w:b/>
      <w:kern w:val="28"/>
      <w:sz w:val="32"/>
      <w:szCs w:val="20"/>
    </w:rPr>
  </w:style>
  <w:style w:type="paragraph" w:styleId="Ttulo2">
    <w:name w:val="heading 2"/>
    <w:basedOn w:val="Normal"/>
    <w:next w:val="Normal"/>
    <w:rsid w:val="001B789F"/>
    <w:pPr>
      <w:keepNext/>
      <w:spacing w:before="120" w:after="240"/>
      <w:outlineLvl w:val="1"/>
    </w:pPr>
    <w:rPr>
      <w:b/>
      <w:i/>
      <w:sz w:val="28"/>
      <w:szCs w:val="20"/>
    </w:rPr>
  </w:style>
  <w:style w:type="paragraph" w:styleId="Ttulo3">
    <w:name w:val="heading 3"/>
    <w:basedOn w:val="Normal"/>
    <w:next w:val="Normal"/>
    <w:rsid w:val="001B789F"/>
    <w:pPr>
      <w:keepNext/>
      <w:spacing w:before="120" w:after="180"/>
      <w:outlineLvl w:val="2"/>
    </w:pPr>
    <w:rPr>
      <w:rFonts w:eastAsia="SimSun"/>
      <w:b/>
      <w:sz w:val="24"/>
      <w:szCs w:val="20"/>
      <w:lang w:eastAsia="zh-CN"/>
    </w:rPr>
  </w:style>
  <w:style w:type="paragraph" w:styleId="Ttulo4">
    <w:name w:val="heading 4"/>
    <w:basedOn w:val="Normal"/>
    <w:next w:val="Normal"/>
    <w:rsid w:val="001B789F"/>
    <w:pPr>
      <w:keepNext/>
      <w:spacing w:before="60" w:after="120"/>
      <w:outlineLvl w:val="3"/>
    </w:pPr>
    <w:rPr>
      <w:b/>
      <w:bCs/>
      <w:i/>
      <w:szCs w:val="28"/>
    </w:rPr>
  </w:style>
  <w:style w:type="paragraph" w:styleId="Ttulo5">
    <w:name w:val="heading 5"/>
    <w:basedOn w:val="Normal"/>
    <w:next w:val="Normal"/>
    <w:rsid w:val="001B789F"/>
    <w:pPr>
      <w:spacing w:before="240" w:after="60"/>
      <w:outlineLvl w:val="4"/>
    </w:pPr>
    <w:rPr>
      <w:b/>
      <w:bCs/>
      <w:i/>
      <w:iCs/>
      <w:sz w:val="26"/>
      <w:szCs w:val="26"/>
    </w:rPr>
  </w:style>
  <w:style w:type="paragraph" w:styleId="Ttulo6">
    <w:name w:val="heading 6"/>
    <w:basedOn w:val="Normal"/>
    <w:next w:val="Normal"/>
    <w:rsid w:val="001B789F"/>
    <w:pPr>
      <w:spacing w:before="240" w:after="60"/>
      <w:outlineLvl w:val="5"/>
    </w:pPr>
    <w:rPr>
      <w:b/>
      <w:bCs/>
      <w:szCs w:val="22"/>
    </w:rPr>
  </w:style>
  <w:style w:type="paragraph" w:styleId="Ttulo7">
    <w:name w:val="heading 7"/>
    <w:basedOn w:val="Normal"/>
    <w:next w:val="Normal"/>
    <w:rsid w:val="001B789F"/>
    <w:pPr>
      <w:spacing w:before="240" w:after="60"/>
      <w:outlineLvl w:val="6"/>
    </w:pPr>
    <w:rPr>
      <w:sz w:val="24"/>
    </w:rPr>
  </w:style>
  <w:style w:type="paragraph" w:styleId="Ttulo8">
    <w:name w:val="heading 8"/>
    <w:basedOn w:val="Normal"/>
    <w:next w:val="Normal"/>
    <w:rsid w:val="001B789F"/>
    <w:pPr>
      <w:spacing w:before="240" w:after="60"/>
      <w:outlineLvl w:val="7"/>
    </w:pPr>
    <w:rPr>
      <w:i/>
      <w:iCs/>
      <w:sz w:val="24"/>
    </w:rPr>
  </w:style>
  <w:style w:type="paragraph" w:styleId="Ttulo9">
    <w:name w:val="heading 9"/>
    <w:basedOn w:val="Normal"/>
    <w:next w:val="Normal"/>
    <w:rsid w:val="001B789F"/>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TSNormal">
    <w:name w:val="ATS Normal"/>
    <w:basedOn w:val="Normal"/>
    <w:qFormat/>
    <w:rsid w:val="001B789F"/>
    <w:pPr>
      <w:spacing w:before="120" w:after="120"/>
    </w:pPr>
    <w:rPr>
      <w:lang w:eastAsia="en-GB"/>
    </w:rPr>
  </w:style>
  <w:style w:type="paragraph" w:customStyle="1" w:styleId="ATSBullet1">
    <w:name w:val="ATS Bullet 1"/>
    <w:basedOn w:val="ATSNormal"/>
    <w:qFormat/>
    <w:rsid w:val="001B789F"/>
    <w:pPr>
      <w:numPr>
        <w:numId w:val="17"/>
      </w:numPr>
      <w:spacing w:before="60" w:after="0"/>
    </w:pPr>
  </w:style>
  <w:style w:type="paragraph" w:customStyle="1" w:styleId="ATSBullet2">
    <w:name w:val="ATS Bullet 2"/>
    <w:basedOn w:val="ATSNormal"/>
    <w:qFormat/>
    <w:rsid w:val="001B789F"/>
    <w:pPr>
      <w:numPr>
        <w:numId w:val="18"/>
      </w:numPr>
      <w:tabs>
        <w:tab w:val="left" w:pos="720"/>
      </w:tabs>
      <w:spacing w:before="60" w:after="0"/>
    </w:pPr>
  </w:style>
  <w:style w:type="paragraph" w:customStyle="1" w:styleId="ATSCompact">
    <w:name w:val="ATS Compact"/>
    <w:basedOn w:val="ATSNormal"/>
    <w:qFormat/>
    <w:rsid w:val="001B789F"/>
    <w:pPr>
      <w:spacing w:before="0" w:after="0"/>
    </w:pPr>
  </w:style>
  <w:style w:type="paragraph" w:customStyle="1" w:styleId="ATSHeading1">
    <w:name w:val="ATS Heading 1"/>
    <w:basedOn w:val="ATSNormal"/>
    <w:next w:val="ATSNormal"/>
    <w:qFormat/>
    <w:rsid w:val="001B789F"/>
    <w:pPr>
      <w:spacing w:before="360" w:after="360"/>
      <w:jc w:val="center"/>
    </w:pPr>
    <w:rPr>
      <w:rFonts w:ascii="Arial" w:hAnsi="Arial"/>
      <w:b/>
      <w:sz w:val="32"/>
    </w:rPr>
  </w:style>
  <w:style w:type="paragraph" w:customStyle="1" w:styleId="ATSHeading2">
    <w:name w:val="ATS Heading 2"/>
    <w:basedOn w:val="ATSNormal"/>
    <w:next w:val="ATSNormal"/>
    <w:link w:val="ATSHeading2Char"/>
    <w:qFormat/>
    <w:rsid w:val="001B789F"/>
    <w:pPr>
      <w:spacing w:before="480"/>
      <w:jc w:val="both"/>
    </w:pPr>
    <w:rPr>
      <w:rFonts w:ascii="Arial" w:hAnsi="Arial"/>
      <w:b/>
      <w:i/>
      <w:sz w:val="24"/>
      <w:szCs w:val="22"/>
    </w:rPr>
  </w:style>
  <w:style w:type="paragraph" w:customStyle="1" w:styleId="ATSHeading3">
    <w:name w:val="ATS Heading 3"/>
    <w:basedOn w:val="ATSNormal"/>
    <w:next w:val="ATSNormal"/>
    <w:qFormat/>
    <w:rsid w:val="001B789F"/>
    <w:pPr>
      <w:spacing w:before="240" w:after="60"/>
    </w:pPr>
    <w:rPr>
      <w:b/>
    </w:rPr>
  </w:style>
  <w:style w:type="paragraph" w:customStyle="1" w:styleId="ATSHeading4">
    <w:name w:val="ATS Heading 4"/>
    <w:basedOn w:val="ATSNormal"/>
    <w:next w:val="ATSNormal"/>
    <w:qFormat/>
    <w:rsid w:val="001B789F"/>
    <w:pPr>
      <w:spacing w:before="240" w:after="60"/>
    </w:pPr>
    <w:rPr>
      <w:i/>
    </w:rPr>
  </w:style>
  <w:style w:type="paragraph" w:customStyle="1" w:styleId="AtsNumber">
    <w:name w:val="Ats Number"/>
    <w:basedOn w:val="ATSNormal"/>
    <w:qFormat/>
    <w:rsid w:val="001B789F"/>
    <w:pPr>
      <w:spacing w:before="60" w:after="0"/>
    </w:pPr>
  </w:style>
  <w:style w:type="paragraph" w:customStyle="1" w:styleId="ATSNumber1">
    <w:name w:val="ATS Number 1"/>
    <w:basedOn w:val="ATSNormal"/>
    <w:qFormat/>
    <w:rsid w:val="001B789F"/>
    <w:pPr>
      <w:numPr>
        <w:numId w:val="19"/>
      </w:numPr>
      <w:spacing w:before="60" w:after="0"/>
    </w:pPr>
  </w:style>
  <w:style w:type="paragraph" w:customStyle="1" w:styleId="ATSNumber2">
    <w:name w:val="ATS Number 2"/>
    <w:basedOn w:val="ATSNormal"/>
    <w:autoRedefine/>
    <w:qFormat/>
    <w:rsid w:val="001B789F"/>
    <w:pPr>
      <w:numPr>
        <w:numId w:val="20"/>
      </w:numPr>
      <w:spacing w:after="0"/>
      <w:jc w:val="both"/>
    </w:pPr>
  </w:style>
  <w:style w:type="paragraph" w:customStyle="1" w:styleId="ATSQuote">
    <w:name w:val="ATS Quote"/>
    <w:basedOn w:val="Normal"/>
    <w:qFormat/>
    <w:rsid w:val="001B789F"/>
    <w:pPr>
      <w:ind w:left="357"/>
    </w:pPr>
    <w:rPr>
      <w:i/>
      <w:szCs w:val="18"/>
    </w:rPr>
  </w:style>
  <w:style w:type="paragraph" w:customStyle="1" w:styleId="ATSTitle">
    <w:name w:val="ATS Title"/>
    <w:basedOn w:val="Normal"/>
    <w:qFormat/>
    <w:rsid w:val="001B789F"/>
    <w:pPr>
      <w:spacing w:before="360" w:after="360"/>
      <w:contextualSpacing/>
      <w:jc w:val="center"/>
    </w:pPr>
    <w:rPr>
      <w:rFonts w:ascii="Arial" w:hAnsi="Arial"/>
      <w:b/>
      <w:sz w:val="48"/>
    </w:rPr>
  </w:style>
  <w:style w:type="paragraph" w:styleId="Textodeglobo">
    <w:name w:val="Balloon Text"/>
    <w:basedOn w:val="Normal"/>
    <w:semiHidden/>
    <w:rsid w:val="001B789F"/>
    <w:rPr>
      <w:rFonts w:ascii="Tahoma" w:hAnsi="Tahoma" w:cs="Tahoma"/>
      <w:sz w:val="16"/>
      <w:szCs w:val="16"/>
    </w:rPr>
  </w:style>
  <w:style w:type="character" w:customStyle="1" w:styleId="BodyTextChar">
    <w:name w:val="Body Text Char"/>
    <w:semiHidden/>
    <w:rsid w:val="001B789F"/>
    <w:rPr>
      <w:sz w:val="24"/>
      <w:szCs w:val="22"/>
      <w:lang w:val="en-US" w:eastAsia="zh-CN" w:bidi="ar-SA"/>
    </w:rPr>
  </w:style>
  <w:style w:type="character" w:customStyle="1" w:styleId="CharacterStyle1">
    <w:name w:val="Character Style 1"/>
    <w:semiHidden/>
    <w:rsid w:val="001B789F"/>
    <w:rPr>
      <w:sz w:val="22"/>
      <w:szCs w:val="22"/>
    </w:rPr>
  </w:style>
  <w:style w:type="character" w:customStyle="1" w:styleId="descriptions1">
    <w:name w:val="descriptions1"/>
    <w:semiHidden/>
    <w:rsid w:val="001B789F"/>
    <w:rPr>
      <w:rFonts w:ascii="Verdana" w:hAnsi="Verdana" w:hint="default"/>
      <w:b/>
      <w:bCs/>
      <w:i w:val="0"/>
      <w:iCs w:val="0"/>
      <w:caps w:val="0"/>
      <w:smallCaps w:val="0"/>
      <w:color w:val="585858"/>
      <w:sz w:val="12"/>
      <w:szCs w:val="12"/>
    </w:rPr>
  </w:style>
  <w:style w:type="paragraph" w:styleId="Mapadeldocumento">
    <w:name w:val="Document Map"/>
    <w:basedOn w:val="Normal"/>
    <w:semiHidden/>
    <w:rsid w:val="001B789F"/>
    <w:pPr>
      <w:shd w:val="clear" w:color="auto" w:fill="000080"/>
    </w:pPr>
    <w:rPr>
      <w:rFonts w:ascii="Tahoma" w:hAnsi="Tahoma" w:cs="Tahoma"/>
      <w:sz w:val="20"/>
      <w:szCs w:val="20"/>
    </w:rPr>
  </w:style>
  <w:style w:type="character" w:styleId="Refdenotaalfinal">
    <w:name w:val="endnote reference"/>
    <w:semiHidden/>
    <w:rsid w:val="001B789F"/>
    <w:rPr>
      <w:vertAlign w:val="superscript"/>
    </w:rPr>
  </w:style>
  <w:style w:type="paragraph" w:styleId="Textonotaalfinal">
    <w:name w:val="endnote text"/>
    <w:basedOn w:val="Normal"/>
    <w:semiHidden/>
    <w:rsid w:val="001B789F"/>
    <w:rPr>
      <w:sz w:val="20"/>
      <w:szCs w:val="20"/>
    </w:rPr>
  </w:style>
  <w:style w:type="character" w:styleId="Hipervnculovisitado">
    <w:name w:val="FollowedHyperlink"/>
    <w:semiHidden/>
    <w:rsid w:val="001B789F"/>
    <w:rPr>
      <w:color w:val="800080"/>
      <w:u w:val="single"/>
    </w:rPr>
  </w:style>
  <w:style w:type="paragraph" w:styleId="Piedepgina">
    <w:name w:val="footer"/>
    <w:basedOn w:val="Normal"/>
    <w:semiHidden/>
    <w:rsid w:val="001B789F"/>
    <w:pPr>
      <w:tabs>
        <w:tab w:val="center" w:pos="4419"/>
        <w:tab w:val="right" w:pos="8838"/>
      </w:tabs>
    </w:pPr>
  </w:style>
  <w:style w:type="character" w:styleId="Refdenotaalpie">
    <w:name w:val="footnote reference"/>
    <w:rsid w:val="001B789F"/>
    <w:rPr>
      <w:vertAlign w:val="superscript"/>
    </w:rPr>
  </w:style>
  <w:style w:type="paragraph" w:styleId="Textonotapie">
    <w:name w:val="footnote text"/>
    <w:basedOn w:val="Normal"/>
    <w:rsid w:val="001B789F"/>
    <w:rPr>
      <w:szCs w:val="22"/>
    </w:rPr>
  </w:style>
  <w:style w:type="paragraph" w:styleId="Encabezado">
    <w:name w:val="header"/>
    <w:basedOn w:val="Normal"/>
    <w:semiHidden/>
    <w:rsid w:val="001B789F"/>
    <w:pPr>
      <w:tabs>
        <w:tab w:val="center" w:pos="4419"/>
        <w:tab w:val="right" w:pos="8838"/>
      </w:tabs>
    </w:pPr>
  </w:style>
  <w:style w:type="character" w:styleId="Hipervnculo">
    <w:name w:val="Hyperlink"/>
    <w:uiPriority w:val="99"/>
    <w:rsid w:val="001B789F"/>
    <w:rPr>
      <w:color w:val="660000"/>
      <w:u w:val="single"/>
    </w:rPr>
  </w:style>
  <w:style w:type="paragraph" w:styleId="NormalWeb">
    <w:name w:val="Normal (Web)"/>
    <w:basedOn w:val="Normal"/>
    <w:semiHidden/>
    <w:rsid w:val="001B789F"/>
    <w:pPr>
      <w:spacing w:before="100" w:beforeAutospacing="1" w:after="100" w:afterAutospacing="1"/>
      <w:jc w:val="both"/>
    </w:pPr>
    <w:rPr>
      <w:sz w:val="24"/>
      <w:lang w:val="en-AU" w:eastAsia="en-AU"/>
    </w:rPr>
  </w:style>
  <w:style w:type="character" w:styleId="Nmerodepgina">
    <w:name w:val="page number"/>
    <w:basedOn w:val="Fuentedeprrafopredeter"/>
    <w:semiHidden/>
    <w:rsid w:val="001B789F"/>
  </w:style>
  <w:style w:type="character" w:styleId="Textoennegrita">
    <w:name w:val="Strong"/>
    <w:rsid w:val="001B789F"/>
    <w:rPr>
      <w:b/>
      <w:bCs/>
    </w:rPr>
  </w:style>
  <w:style w:type="table" w:styleId="Tablaconcuadrcula">
    <w:name w:val="Table Grid"/>
    <w:basedOn w:val="Tablanormal"/>
    <w:semiHidden/>
    <w:rsid w:val="001B7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1">
    <w:name w:val="tag1"/>
    <w:semiHidden/>
    <w:rsid w:val="001B789F"/>
    <w:rPr>
      <w:rFonts w:ascii="Verdana" w:hAnsi="Verdana" w:hint="default"/>
      <w:b w:val="0"/>
      <w:bCs w:val="0"/>
      <w:i w:val="0"/>
      <w:iCs w:val="0"/>
      <w:caps w:val="0"/>
      <w:smallCaps w:val="0"/>
      <w:strike w:val="0"/>
      <w:dstrike w:val="0"/>
      <w:color w:val="585858"/>
      <w:sz w:val="12"/>
      <w:szCs w:val="12"/>
      <w:u w:val="none"/>
      <w:effect w:val="none"/>
    </w:rPr>
  </w:style>
  <w:style w:type="paragraph" w:customStyle="1" w:styleId="TexteFr">
    <w:name w:val="TexteFr"/>
    <w:basedOn w:val="Normal"/>
    <w:semiHidden/>
    <w:rsid w:val="001B789F"/>
    <w:pPr>
      <w:pBdr>
        <w:top w:val="single" w:sz="4" w:space="1" w:color="auto"/>
        <w:left w:val="single" w:sz="4" w:space="4" w:color="auto"/>
        <w:bottom w:val="single" w:sz="4" w:space="1" w:color="auto"/>
        <w:right w:val="single" w:sz="4" w:space="4" w:color="auto"/>
      </w:pBdr>
      <w:shd w:val="pct10" w:color="000000" w:fill="auto"/>
      <w:tabs>
        <w:tab w:val="left" w:pos="1711"/>
        <w:tab w:val="left" w:pos="2209"/>
        <w:tab w:val="left" w:pos="2760"/>
        <w:tab w:val="left" w:pos="5101"/>
        <w:tab w:val="left" w:pos="5886"/>
        <w:tab w:val="left" w:pos="7128"/>
      </w:tabs>
      <w:ind w:left="272" w:hanging="272"/>
      <w:jc w:val="both"/>
    </w:pPr>
    <w:rPr>
      <w:szCs w:val="22"/>
      <w:lang w:val="fr-FR" w:eastAsia="en-AU"/>
    </w:rPr>
  </w:style>
  <w:style w:type="paragraph" w:customStyle="1" w:styleId="TextEn">
    <w:name w:val="TextEn"/>
    <w:basedOn w:val="Normal"/>
    <w:semiHidden/>
    <w:rsid w:val="001B789F"/>
    <w:pPr>
      <w:spacing w:after="120"/>
    </w:pPr>
    <w:rPr>
      <w:szCs w:val="22"/>
    </w:rPr>
  </w:style>
  <w:style w:type="paragraph" w:customStyle="1" w:styleId="TextEnSingle">
    <w:name w:val="TextEnSingle"/>
    <w:basedOn w:val="TextEn"/>
    <w:semiHidden/>
    <w:rsid w:val="001B789F"/>
    <w:pPr>
      <w:spacing w:after="0"/>
    </w:pPr>
  </w:style>
  <w:style w:type="paragraph" w:customStyle="1" w:styleId="TextSp">
    <w:name w:val="TextSp"/>
    <w:basedOn w:val="Normal"/>
    <w:semiHidden/>
    <w:rsid w:val="001B789F"/>
    <w:pPr>
      <w:spacing w:after="120"/>
    </w:pPr>
    <w:rPr>
      <w:szCs w:val="22"/>
      <w:lang w:val="es-AR" w:eastAsia="es-ES"/>
    </w:rPr>
  </w:style>
  <w:style w:type="paragraph" w:styleId="TDC1">
    <w:name w:val="toc 1"/>
    <w:basedOn w:val="Normal"/>
    <w:next w:val="Normal"/>
    <w:autoRedefine/>
    <w:semiHidden/>
    <w:rsid w:val="001B789F"/>
    <w:rPr>
      <w:b/>
      <w:bCs/>
      <w:i/>
      <w:iCs/>
      <w:sz w:val="24"/>
    </w:rPr>
  </w:style>
  <w:style w:type="paragraph" w:styleId="TDC2">
    <w:name w:val="toc 2"/>
    <w:basedOn w:val="Normal"/>
    <w:next w:val="Normal"/>
    <w:autoRedefine/>
    <w:semiHidden/>
    <w:rsid w:val="001B789F"/>
    <w:pPr>
      <w:ind w:left="220"/>
    </w:pPr>
    <w:rPr>
      <w:b/>
      <w:bCs/>
      <w:szCs w:val="22"/>
    </w:rPr>
  </w:style>
  <w:style w:type="paragraph" w:styleId="TDC3">
    <w:name w:val="toc 3"/>
    <w:basedOn w:val="Normal"/>
    <w:next w:val="Normal"/>
    <w:autoRedefine/>
    <w:semiHidden/>
    <w:rsid w:val="001B789F"/>
    <w:pPr>
      <w:ind w:left="440"/>
    </w:pPr>
    <w:rPr>
      <w:sz w:val="20"/>
      <w:szCs w:val="20"/>
    </w:rPr>
  </w:style>
  <w:style w:type="paragraph" w:styleId="TDC4">
    <w:name w:val="toc 4"/>
    <w:basedOn w:val="Normal"/>
    <w:next w:val="Normal"/>
    <w:autoRedefine/>
    <w:semiHidden/>
    <w:rsid w:val="001B789F"/>
    <w:pPr>
      <w:ind w:left="660"/>
    </w:pPr>
    <w:rPr>
      <w:sz w:val="20"/>
      <w:szCs w:val="20"/>
    </w:rPr>
  </w:style>
  <w:style w:type="paragraph" w:styleId="TDC5">
    <w:name w:val="toc 5"/>
    <w:basedOn w:val="Normal"/>
    <w:next w:val="Normal"/>
    <w:autoRedefine/>
    <w:semiHidden/>
    <w:rsid w:val="001B789F"/>
    <w:pPr>
      <w:ind w:left="880"/>
    </w:pPr>
    <w:rPr>
      <w:sz w:val="20"/>
      <w:szCs w:val="20"/>
    </w:rPr>
  </w:style>
  <w:style w:type="paragraph" w:styleId="TDC6">
    <w:name w:val="toc 6"/>
    <w:basedOn w:val="Normal"/>
    <w:next w:val="Normal"/>
    <w:autoRedefine/>
    <w:semiHidden/>
    <w:rsid w:val="001B789F"/>
    <w:pPr>
      <w:ind w:left="1100"/>
    </w:pPr>
    <w:rPr>
      <w:sz w:val="20"/>
      <w:szCs w:val="20"/>
    </w:rPr>
  </w:style>
  <w:style w:type="paragraph" w:styleId="TDC7">
    <w:name w:val="toc 7"/>
    <w:basedOn w:val="Normal"/>
    <w:next w:val="Normal"/>
    <w:autoRedefine/>
    <w:semiHidden/>
    <w:rsid w:val="001B789F"/>
    <w:pPr>
      <w:ind w:left="1320"/>
    </w:pPr>
    <w:rPr>
      <w:sz w:val="20"/>
      <w:szCs w:val="20"/>
    </w:rPr>
  </w:style>
  <w:style w:type="paragraph" w:styleId="TDC8">
    <w:name w:val="toc 8"/>
    <w:basedOn w:val="Normal"/>
    <w:next w:val="Normal"/>
    <w:autoRedefine/>
    <w:semiHidden/>
    <w:rsid w:val="001B789F"/>
    <w:pPr>
      <w:ind w:left="1540"/>
    </w:pPr>
    <w:rPr>
      <w:sz w:val="20"/>
      <w:szCs w:val="20"/>
    </w:rPr>
  </w:style>
  <w:style w:type="paragraph" w:styleId="TDC9">
    <w:name w:val="toc 9"/>
    <w:basedOn w:val="Normal"/>
    <w:next w:val="Normal"/>
    <w:autoRedefine/>
    <w:semiHidden/>
    <w:rsid w:val="001B789F"/>
    <w:pPr>
      <w:ind w:left="1760"/>
    </w:pPr>
    <w:rPr>
      <w:sz w:val="20"/>
      <w:szCs w:val="20"/>
    </w:rPr>
  </w:style>
  <w:style w:type="paragraph" w:customStyle="1" w:styleId="TytApp">
    <w:name w:val="Tyt. App."/>
    <w:basedOn w:val="Normal"/>
    <w:autoRedefine/>
    <w:semiHidden/>
    <w:rsid w:val="001B789F"/>
    <w:pPr>
      <w:widowControl w:val="0"/>
      <w:numPr>
        <w:ilvl w:val="12"/>
      </w:numPr>
      <w:tabs>
        <w:tab w:val="left" w:pos="90"/>
        <w:tab w:val="left" w:pos="737"/>
        <w:tab w:val="left" w:pos="2835"/>
      </w:tabs>
      <w:spacing w:before="180" w:after="40" w:line="260" w:lineRule="exact"/>
      <w:jc w:val="center"/>
    </w:pPr>
    <w:rPr>
      <w:b/>
      <w:snapToGrid w:val="0"/>
      <w:color w:val="000000"/>
      <w:sz w:val="24"/>
      <w:szCs w:val="20"/>
      <w:lang w:eastAsia="es-ES"/>
    </w:rPr>
  </w:style>
  <w:style w:type="paragraph" w:styleId="Prrafodelista">
    <w:name w:val="List Paragraph"/>
    <w:basedOn w:val="Normal"/>
    <w:uiPriority w:val="34"/>
    <w:rsid w:val="00BF077B"/>
    <w:pPr>
      <w:ind w:left="720"/>
    </w:pPr>
  </w:style>
  <w:style w:type="character" w:styleId="Ttulodellibro">
    <w:name w:val="Book Title"/>
    <w:uiPriority w:val="33"/>
    <w:rsid w:val="00BF077B"/>
    <w:rPr>
      <w:b/>
      <w:bCs/>
      <w:smallCaps/>
      <w:spacing w:val="5"/>
    </w:rPr>
  </w:style>
  <w:style w:type="paragraph" w:customStyle="1" w:styleId="ATSMeasureEmphasis">
    <w:name w:val="ATS Measure Emphasis"/>
    <w:basedOn w:val="Normal"/>
    <w:qFormat/>
    <w:rsid w:val="009E64FE"/>
    <w:pPr>
      <w:spacing w:before="120" w:after="360"/>
    </w:pPr>
    <w:rPr>
      <w:b/>
      <w:sz w:val="24"/>
      <w:lang w:eastAsia="en-GB"/>
    </w:rPr>
  </w:style>
  <w:style w:type="paragraph" w:customStyle="1" w:styleId="ASNormal">
    <w:name w:val="AS Normal"/>
    <w:basedOn w:val="Normal"/>
    <w:link w:val="ASNormalChar"/>
    <w:qFormat/>
    <w:rsid w:val="00333116"/>
    <w:pPr>
      <w:spacing w:before="120" w:after="120"/>
    </w:pPr>
    <w:rPr>
      <w:lang w:eastAsia="en-GB"/>
    </w:rPr>
  </w:style>
  <w:style w:type="character" w:customStyle="1" w:styleId="ASNormalChar">
    <w:name w:val="AS Normal Char"/>
    <w:link w:val="ASNormal"/>
    <w:locked/>
    <w:rsid w:val="00333116"/>
    <w:rPr>
      <w:sz w:val="22"/>
      <w:szCs w:val="24"/>
      <w:lang w:val="en-GB" w:eastAsia="en-GB"/>
    </w:rPr>
  </w:style>
  <w:style w:type="character" w:customStyle="1" w:styleId="ATSHeading2Char">
    <w:name w:val="ATS Heading 2 Char"/>
    <w:link w:val="ATSHeading2"/>
    <w:locked/>
    <w:rsid w:val="00333116"/>
    <w:rPr>
      <w:rFonts w:ascii="Arial" w:hAnsi="Arial"/>
      <w:b/>
      <w:i/>
      <w:sz w:val="24"/>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doi.org/10.1111/gcb.7039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jp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redsensoresinach.c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scar.org/science/cross/ant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s://uow.info/mosscam"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https://www.redsensoresinach.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D6A62-F981-4292-A123-1E093CC7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1689</Words>
  <Characters>9295</Characters>
  <Application>Microsoft Office Word</Application>
  <DocSecurity>0</DocSecurity>
  <Lines>77</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(Paper title:)</vt:lpstr>
      <vt:lpstr>(Paper title:)</vt:lpstr>
    </vt:vector>
  </TitlesOfParts>
  <Company>ATS</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dc:title>
  <dc:creator>Mauro</dc:creator>
  <cp:lastModifiedBy>Lepe Zamora Rodrigo</cp:lastModifiedBy>
  <cp:revision>2</cp:revision>
  <cp:lastPrinted>2008-01-22T18:20:00Z</cp:lastPrinted>
  <dcterms:created xsi:type="dcterms:W3CDTF">2026-04-24T12:15:00Z</dcterms:created>
  <dcterms:modified xsi:type="dcterms:W3CDTF">2026-04-24T12:15:00Z</dcterms:modified>
</cp:coreProperties>
</file>