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rPr>
      </w:pPr>
      <w:r w:rsidDel="00000000" w:rsidR="00000000" w:rsidRPr="00000000">
        <w:rPr>
          <w:rtl w:val="0"/>
        </w:rPr>
      </w:r>
    </w:p>
    <w:p w:rsidR="00000000" w:rsidDel="00000000" w:rsidP="00000000" w:rsidRDefault="00000000" w:rsidRPr="00000000" w14:paraId="00000002">
      <w:pPr>
        <w:rPr>
          <w:b w:val="1"/>
          <w:bCs w:val="1"/>
          <w:sz w:val="30"/>
          <w:szCs w:val="30"/>
        </w:rPr>
      </w:pPr>
      <w:r w:rsidDel="00000000" w:rsidR="00000000" w:rsidRPr="00000000">
        <w:rPr>
          <w:b w:val="1"/>
          <w:bCs w:val="1"/>
          <w:sz w:val="30"/>
          <w:szCs w:val="30"/>
          <w:rtl w:val="0"/>
        </w:rPr>
        <w:t xml:space="preserve">Comentario Crítico</w:t>
      </w:r>
    </w:p>
    <w:p w:rsidR="00000000" w:rsidDel="00000000" w:rsidP="00000000" w:rsidRDefault="00000000" w:rsidRPr="00000000" w14:paraId="00000003">
      <w:pPr>
        <w:numPr>
          <w:ilvl w:val="0"/>
          <w:numId w:val="1"/>
        </w:numPr>
        <w:ind w:left="720" w:hanging="360"/>
        <w:rPr>
          <w:b w:val="1"/>
          <w:bCs w:val="1"/>
          <w:sz w:val="30"/>
          <w:szCs w:val="30"/>
          <w:u w:val="none"/>
        </w:rPr>
      </w:pPr>
      <w:r w:rsidDel="00000000" w:rsidR="00000000" w:rsidRPr="00000000">
        <w:rPr>
          <w:sz w:val="20"/>
          <w:szCs w:val="20"/>
          <w:rtl w:val="0"/>
        </w:rPr>
        <w:t xml:space="preserve">Recluta Martìnez y Recluta Badilla </w:t>
      </w:r>
      <w:r w:rsidDel="00000000" w:rsidR="00000000" w:rsidRPr="00000000">
        <w:rPr>
          <w:b w:val="1"/>
          <w:bCs w:val="1"/>
          <w:sz w:val="30"/>
          <w:szCs w:val="30"/>
          <w:rtl w:val="0"/>
        </w:rPr>
        <w:t xml:space="preserve"> </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after="240" w:before="240" w:lineRule="auto"/>
        <w:jc w:val="both"/>
        <w:rPr/>
      </w:pPr>
      <w:r w:rsidDel="00000000" w:rsidR="00000000" w:rsidRPr="00000000">
        <w:rPr>
          <w:rtl w:val="0"/>
        </w:rPr>
        <w:t xml:space="preserve">El artículo "Estereotipos de género y redes sociales: consumo de contenido generado por influencers entre los preadolescentes y adolescentes" analiza cómo el consumo de redes sociales influye en la aceptación de roles de género en menores. A través de un estudio y una encuesta a 800 participantes, los autores exploran los hábitos de consumo, las plataformas preferidas y el modelo del “influencer”. El estudio parte de que los influencers han reemplazado a los medios tradicionales, actuando como modelos para seguir en pleno desarrollo de la identidad. Los hallazgos principales sugieren que, fuera de la innovación y el cambio, las RRSS tienden a reproducir y reforzar comportamientos y preferencias asociados a los estereotipos de hombres y mujeres.</w:t>
      </w:r>
    </w:p>
    <w:p w:rsidR="00000000" w:rsidDel="00000000" w:rsidP="00000000" w:rsidRDefault="00000000" w:rsidRPr="00000000" w14:paraId="00000006">
      <w:pPr>
        <w:spacing w:after="240" w:before="240" w:lineRule="auto"/>
        <w:jc w:val="both"/>
        <w:rPr/>
      </w:pPr>
      <w:r w:rsidDel="00000000" w:rsidR="00000000" w:rsidRPr="00000000">
        <w:rPr>
          <w:rtl w:val="0"/>
        </w:rPr>
        <w:t xml:space="preserve">Uno de los aportes más significativos de esta investigación es su enfoque en la preadolescencia (desde los 8 años), una etapa menos estudiada que la adolescencia, pero muy importante por ser el momento en que se inicia el uso autónomo de dispositivos móviles en España. El estudio identifica una "brecha de género" digital en el tipo de interacción: mientras los hombres muestran una preferencia marcada por YouTube y Twitch con contenidos de videojuegos y deportes, las mujeres optan mayoritariamente por Instagram y TikTok con temáticas de moda, belleza y estilo de vida. Asimismo, el dato sobre el deseo de imitar a los influencers, compartido por el 69,6% de la muestra sin importar el sexo, lo que confirma que estos creadores de contenido son los lideres de su propio movimiento el cual se propaga globalmente.</w:t>
      </w:r>
    </w:p>
    <w:p w:rsidR="00000000" w:rsidDel="00000000" w:rsidP="00000000" w:rsidRDefault="00000000" w:rsidRPr="00000000" w14:paraId="00000007">
      <w:pPr>
        <w:spacing w:after="240" w:before="240" w:lineRule="auto"/>
        <w:jc w:val="both"/>
        <w:rPr/>
      </w:pPr>
      <w:r w:rsidDel="00000000" w:rsidR="00000000" w:rsidRPr="00000000">
        <w:rPr>
          <w:rtl w:val="0"/>
        </w:rPr>
        <w:t xml:space="preserve">Desde lo académico, el artículo se defiende sólidamente al cruzar las estimaciones de consumo de los menores con las de sus padres, esto nos da la tranquilidad de que no estamos ante números inventados, sino ante un reflejo del día a día en los hogares, lo que hace que las conclusiones del artículo se sientan mucho más auténticas y sólidas. Sin embargo es importante señalar que, al tratarse de un estudio en un momento en específico, los autores sólo ofrecen una "fotografía" de un momento específico, lo que limita la comprensión de cómo estas tendencias evolucionan a largo plazo o si existen razones más profundas, como la presión de grupo, que no se abordan por completo. Además, aunque el texto describe la mantención de estos estereotipos, la creación de estas "burbujas de género", que podrían estar forzando a los pequeños hacia contenidos tradicionales incluso antes de que estos desarrollen una conciencia propia.</w:t>
      </w:r>
    </w:p>
    <w:p w:rsidR="00000000" w:rsidDel="00000000" w:rsidP="00000000" w:rsidRDefault="00000000" w:rsidRPr="00000000" w14:paraId="00000008">
      <w:pPr>
        <w:spacing w:after="240" w:before="240" w:lineRule="auto"/>
        <w:jc w:val="both"/>
        <w:rPr/>
      </w:pPr>
      <w:r w:rsidDel="00000000" w:rsidR="00000000" w:rsidRPr="00000000">
        <w:rPr>
          <w:rtl w:val="0"/>
        </w:rPr>
        <w:t xml:space="preserve">En conclusión, el artículo demuestra que las redes sociales </w:t>
      </w:r>
      <w:r w:rsidDel="00000000" w:rsidR="00000000" w:rsidRPr="00000000">
        <w:rPr>
          <w:rtl w:val="0"/>
        </w:rPr>
        <w:t xml:space="preserve">remarcan</w:t>
      </w:r>
      <w:r w:rsidDel="00000000" w:rsidR="00000000" w:rsidRPr="00000000">
        <w:rPr>
          <w:rtl w:val="0"/>
        </w:rPr>
        <w:t xml:space="preserve"> los roles tradicionales de género, donde las diferencias de consumo se remarcan a medida que los menores crecen. La investigación muestra una necesidad urgente de cuestionar los modelos que consumen e intentan copiar en el día a día . En definitiva, el aporte principal del estudio es evidenciar que las RRSS, a pesar de su potencial innovador, sigue siendo un escenario donde la identidad de género se construye bajo ideales conservadores, lo que genera un desafío para profesores y familias en la promoción de una sociedad más inclusiva y menos estereotipada.</w:t>
      </w:r>
    </w:p>
    <w:p w:rsidR="00000000" w:rsidDel="00000000" w:rsidP="00000000" w:rsidRDefault="00000000" w:rsidRPr="00000000" w14:paraId="00000009">
      <w:pPr>
        <w:spacing w:after="240" w:before="240" w:lineRule="auto"/>
        <w:jc w:val="both"/>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