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 w:before="600"/>
        <w:jc w:val="left"/>
      </w:pPr>
      <w:r>
        <w:rPr>
          <w:b/>
          <w:bCs/>
          <w:caps/>
          <w:color w:val="0E7C86"/>
          <w:sz w:val="20"/>
          <w:szCs w:val="20"/>
        </w:rPr>
        <w:t xml:space="preserve">ARMADA DE CHILE</w:t>
      </w:r>
    </w:p>
    <w:p>
      <w:pPr>
        <w:pBdr>
          <w:bottom w:val="single" w:color="0E7C86" w:sz="12" w:space="4"/>
        </w:pBdr>
        <w:spacing w:after="400"/>
      </w:pPr>
      <w:r>
        <w:rPr>
          <w:sz w:val="4"/>
          <w:szCs w:val="4"/>
        </w:rPr>
        <w:t xml:space="preserve"/>
      </w:r>
    </w:p>
    <w:p>
      <w:pPr>
        <w:spacing w:after="100"/>
      </w:pPr>
      <w:r>
        <w:rPr>
          <w:b/>
          <w:bCs/>
          <w:color w:val="0B2942"/>
          <w:sz w:val="40"/>
          <w:szCs w:val="40"/>
        </w:rPr>
        <w:t xml:space="preserve">CHECKLIST DE COMETIDO</w:t>
      </w:r>
    </w:p>
    <w:p>
      <w:pPr>
        <w:spacing w:after="300"/>
      </w:pPr>
      <w:r>
        <w:rPr>
          <w:b/>
          <w:bCs/>
          <w:color w:val="1B3A52"/>
          <w:sz w:val="24"/>
          <w:szCs w:val="24"/>
        </w:rPr>
        <w:t xml:space="preserve">Observación GCI/CAP — Ejercicio Salitre 2026</w:t>
      </w:r>
    </w:p>
    <w:p>
      <w:pPr>
        <w:spacing w:after="80"/>
      </w:pPr>
      <w:r>
        <w:rPr>
          <w:color w:val="404040"/>
          <w:sz w:val="21"/>
          <w:szCs w:val="21"/>
        </w:rPr>
        <w:t xml:space="preserve">Oficial de enlace / observador embarcado en intercambio con Fuerza Aérea de Chile, para levantamiento de procedimientos, lenguaje y cultura de Ground Controlled Interception (GCI) aplicable al empleo y mando de Combat Air Patrol (CAP), con fines de interoperabilidad Armada–FACh.</w:t>
      </w:r>
    </w:p>
    <w:p>
      <w:pPr>
        <w:spacing w:after="300"/>
      </w:pP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Oficial designado: _______________________________________________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Grado / Especialidad: ____________________________________________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Unidad / Buque de origen: ________________________________________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Fechas de observación: ___________________________________________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Unidad FACh de acogida (Ala / Grupo / Escuadrón): ___________________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Supervisor / contraparte FACh: ____________________________________</w:t>
      </w:r>
    </w:p>
    <w:p>
      <w:r>
        <w:br w:type="page"/>
      </w:r>
    </w:p>
    <w:p>
      <w:pPr>
        <w:pStyle w:val="Heading1"/>
      </w:pPr>
      <w:r>
        <w:t xml:space="preserve">Instrucciones de uso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Esta checklist se completa en terreno, día a día. El objetivo no es solo "asistir" al ejercicio: es volver con material textual y reutilizable para que el buque pueda construir un protocolo propio de interoperabilidad con el control GCI/CAP.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REGLAS GENERALES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Registrar frases y procedimientos en formato textual (verbatim), no resumidos.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Diferenciar claramente lo que es doctrina FACh de lo que es práctica local del escuadrón/turno observado.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Solicitar siempre la versión escrita o formato oficial cuando exista (cartilla, checklist, manual de brevity).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Tomar nota del contexto de cada ejemplo (fase del vuelo, nivel de carga de trabajo, tipo de misión).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Al final de cada jornada, completar el resumen diario antes de perder el detalle (ver sección final).</w:t>
            </w:r>
          </w:p>
        </w:tc>
      </w:tr>
    </w:tbl>
    <w:p>
      <w:pPr>
        <w:spacing w:after="160"/>
      </w:pPr>
    </w:p>
    <w:p>
      <w:r>
        <w:br w:type="page"/>
      </w:r>
    </w:p>
    <w:p>
      <w:pPr>
        <w:pStyle w:val="Heading1"/>
      </w:pPr>
      <w:r>
        <w:t xml:space="preserve">Bloque 1 — Lenguaje y procedimientos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Objetivo: capturar el idioma exacto del control de intercepción.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LENGUAJE Y PROCEDIMIENTOS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Formato estándar de comunicaciones de control (brevity codes, formato de llamadas) — copiar frases tipo textuales.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Secuencia completa de una intercepción dirigida por el GCI: desde "pick up" del contacto hasta "commit"/"engaged".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Referencias de posición y geometría utilizadas: bullseye, BRA (bearing/range/altitude), criterios bandit/hostile/unknown.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Listado de brevity words críticos y cómo varían según fase (búsqueda, intercepción, combate).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Formato estandarizado de brief y debrief del CAP — obtener plantilla o formato si es posible.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Glosario de acrónimos y términos de uso constante en la frecuencia de control.</w:t>
            </w:r>
          </w:p>
        </w:tc>
      </w:tr>
    </w:tbl>
    <w:p>
      <w:pPr>
        <w:spacing w:after="160"/>
      </w:pPr>
    </w:p>
    <w:p>
      <w:pPr>
        <w:pStyle w:val="Heading1"/>
      </w:pPr>
      <w:r>
        <w:t xml:space="preserve">Bloque 2 — Estructura de mando y control del CAP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Objetivo: entender quién decide, cuándo y con qué autoridad.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MANDO Y CONTROL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Jerarquía de decisión dentro de la CAP: quién clasifica, quién compromete (commit), quién autoriza el engagement.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Procedimiento de "hand-off" / transferencia de control entre GCI y otro asset (AWACS, otro GCI, aire-tierra).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Reglas de empeñamiento (ROE) estándar y cómo se verbalizan en la conversación táctica.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Método de priorización de contactos simultáneos (triage de amenazas, gestión de carga del controlador).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Relación de autoridad entre el controlador GCI y el líder de la formación aérea (quién manda a quién y en qué).</w:t>
            </w:r>
          </w:p>
        </w:tc>
      </w:tr>
    </w:tbl>
    <w:p>
      <w:pPr>
        <w:spacing w:after="160"/>
      </w:pPr>
    </w:p>
    <w:p>
      <w:r>
        <w:br w:type="page"/>
      </w:r>
    </w:p>
    <w:p>
      <w:pPr>
        <w:pStyle w:val="Heading1"/>
      </w:pPr>
      <w:r>
        <w:t xml:space="preserve">Bloque 3 — Aspectos técnicos de transferencia naval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Objetivo: identificar la brecha real entre lo que el buque genera/tiene y lo que el GCI necesita.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INTEROPERABILIDAD TÉCNICA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Información mínima que requiere un GCI para controlar una intercepción (radar, IFF, track data) y cuál ya genera el buque.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Formato/protocolo de intercambio del "picture" (Link-16 u otro) y brecha si el buque no cuenta con ese enlace.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Workflow que debería seguir el buque si actuara como controlador de apoyo o relevo del GCI.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Entrenamiento mínimo que requeriría el personal de combate del buque para asumir ese rol o apoyar al GCI.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Limitaciones de sensor/comunicaciones del buque frente a los requerimientos de precisión del control aéreo.</w:t>
            </w:r>
          </w:p>
        </w:tc>
      </w:tr>
    </w:tbl>
    <w:p>
      <w:pPr>
        <w:spacing w:after="160"/>
      </w:pPr>
    </w:p>
    <w:p>
      <w:pPr>
        <w:pStyle w:val="Heading1"/>
      </w:pPr>
      <w:r>
        <w:t xml:space="preserve">Bloque 4 — Cultura y comportamiento bajo presión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Objetivo: capturar lo no escrito — el estándar real, no el manual.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CULTURA OPERACIONAL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Tono de la comunicación en alta carga vs. baja carga — registrar ejemplos de frases textuales de cada situación.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Errores comunes corregidos por el instructor/supervisor durante el ejercicio (revela el estándar no escrito).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Procedimiento o frase estándar para decidir con información incompleta o ambigua.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Forma en que el controlador maneja el estrés o la saturación de tráfico sin perder claridad en la comunicación.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Actitud y expectativas del GCI hacia un activo naval que recién se integra a la conversación táctica.</w:t>
            </w:r>
          </w:p>
        </w:tc>
      </w:tr>
    </w:tbl>
    <w:p>
      <w:pPr>
        <w:spacing w:after="160"/>
      </w:pPr>
    </w:p>
    <w:p>
      <w:r>
        <w:br w:type="page"/>
      </w:r>
    </w:p>
    <w:p>
      <w:pPr>
        <w:pStyle w:val="Heading1"/>
      </w:pPr>
      <w:r>
        <w:t xml:space="preserve">Entregables físicos a conseguir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Documentos y materiales de referencia que deben traerse o fotografiarse (evitan reconstruir todo de memoria).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DOCUMENTACIÓN A OBTENER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Cartilla o tarjeta de referencia rápida ("quick reference card") de brevity codes.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Formato de brief / debrief del CAP utilizado en el ejercicio.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Manual o extracto de procedimientos de control GCI (si es de difusión autorizada).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Diagramas de geometría de intercepción usados en la instrucción (bullseye, formaciones, ejemplos de BRA).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Fotografías de pizarras, displays o checklists visibles en la sala de control (si está autorizado).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Datos de contacto de la contraparte FACh para consultas posteriores durante la redacción del informe.</w:t>
            </w:r>
          </w:p>
        </w:tc>
      </w:tr>
    </w:tbl>
    <w:p>
      <w:pPr>
        <w:spacing w:after="160"/>
      </w:pPr>
    </w:p>
    <w:p>
      <w:pPr>
        <w:pStyle w:val="Heading1"/>
      </w:pPr>
      <w:r>
        <w:t xml:space="preserve">Registro diario (completar cada jornada)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Llenar antes de finalizar cada día de observación, mientras el detalle está fresco.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96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DÍA 1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Fecha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Tipo de misión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Frase/término nuevo más relevante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Error o corrección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Brecha técnica identificada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Pendiente para el día siguiente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spacing w:after="24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96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DÍA 2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Fecha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Tipo de misión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Frase/término nuevo más relevante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Error o corrección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Brecha técnica identificada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Pendiente para el día siguiente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spacing w:after="24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96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DÍA 3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Fecha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Tipo de misión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Frase/término nuevo más relevante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Error o corrección observada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Brecha técnica identificada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F2F2F2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Pendiente para el día siguiente</w:t>
            </w:r>
          </w:p>
        </w:tc>
        <w:tc>
          <w:tcPr>
            <w:tcW w:type="dxa" w:w="69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spacing w:after="240"/>
      </w:pP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(Duplicar esta tabla según la cantidad de días de observación.)</w:t>
      </w:r>
    </w:p>
    <w:p>
      <w:r>
        <w:br w:type="page"/>
      </w:r>
    </w:p>
    <w:p>
      <w:pPr>
        <w:pStyle w:val="Heading1"/>
      </w:pPr>
      <w:r>
        <w:t xml:space="preserve">Validación final antes de embarcar de regreso</w:t>
      </w:r>
    </w:p>
    <w:p>
      <w:pPr>
        <w:spacing w:after="160"/>
      </w:pPr>
      <w:r>
        <w:rPr>
          <w:i/>
          <w:iCs/>
          <w:color w:val="3A3A3A"/>
          <w:sz w:val="21"/>
          <w:szCs w:val="21"/>
        </w:rPr>
        <w:t xml:space="preserve">Verificación de que el cometido está completo antes de zarpar de la unidad FACh.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8800"/>
      </w:tblGrid>
      <w:tr>
        <w:tc>
          <w:tcPr>
            <w:tcW w:type="dxa" w:w="9360"/>
            <w:gridSpan w:val="2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shd w:fill="1B3A5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CIERRE DE COMETIDO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Los 4 bloques temáticos tienen al menos una respuesta concreta registrada.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Se obtuvo o fotografió al menos un documento/formato oficial de referencia.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Se identificaron explícitamente las brechas técnicas entre el buque y el sistema GCI/CAP.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Se cuenta con datos de contacto de la contraparte FACh para consultas posteriores.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El registro diario está completo para todos los días de observación.</w:t>
            </w:r>
          </w:p>
        </w:tc>
      </w:tr>
      <w:tr>
        <w:tc>
          <w:tcPr>
            <w:tcW w:type="dxa" w:w="56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60"/>
              <w:left w:type="dxa" w:w="80"/>
              <w:bottom w:type="dxa" w:w="6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sz w:val="28"/>
                <w:szCs w:val="28"/>
              </w:rPr>
              <w:t xml:space="preserve">☐</w:t>
            </w:r>
          </w:p>
        </w:tc>
        <w:tc>
          <w:tcPr>
            <w:tcW w:type="dxa" w:w="8800"/>
            <w:tcBorders>
              <w:top w:val="single" w:color="B9C2C8" w:sz="1"/>
              <w:left w:val="single" w:color="B9C2C8" w:sz="1"/>
              <w:bottom w:val="single" w:color="B9C2C8" w:sz="1"/>
              <w:right w:val="single" w:color="B9C2C8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 w:val="false"/>
                <w:bCs w:val="false"/>
                <w:i w:val="false"/>
                <w:iCs w:val="false"/>
                <w:sz w:val="21"/>
                <w:szCs w:val="21"/>
              </w:rPr>
              <w:t xml:space="preserve">Se redactó un resumen ejecutivo preliminar (3-5 ideas fuerza) antes de perder el contexto del ejercicio.</w:t>
            </w:r>
          </w:p>
        </w:tc>
      </w:tr>
    </w:tbl>
    <w:p>
      <w:pPr>
        <w:spacing w:after="300"/>
      </w:pP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Resumen ejecutivo preliminar (3 a 5 ideas fuerza):</w:t>
      </w:r>
    </w:p>
    <w:p>
      <w:pPr>
        <w:spacing w:after="100"/>
      </w:pPr>
      <w:r>
        <w:rPr>
          <w:sz w:val="21"/>
          <w:szCs w:val="21"/>
        </w:rPr>
        <w:t xml:space="preserve">1. </w:t>
      </w:r>
    </w:p>
    <w:p>
      <w:pPr>
        <w:spacing w:after="100"/>
      </w:pPr>
      <w:r>
        <w:rPr>
          <w:sz w:val="21"/>
          <w:szCs w:val="21"/>
        </w:rPr>
        <w:t xml:space="preserve">2. </w:t>
      </w:r>
    </w:p>
    <w:p>
      <w:pPr>
        <w:spacing w:after="100"/>
      </w:pPr>
      <w:r>
        <w:rPr>
          <w:sz w:val="21"/>
          <w:szCs w:val="21"/>
        </w:rPr>
        <w:t xml:space="preserve">3. </w:t>
      </w:r>
    </w:p>
    <w:p>
      <w:pPr>
        <w:spacing w:after="100"/>
      </w:pPr>
      <w:r>
        <w:rPr>
          <w:sz w:val="21"/>
          <w:szCs w:val="21"/>
        </w:rPr>
        <w:t xml:space="preserve">4. </w:t>
      </w:r>
    </w:p>
    <w:p>
      <w:pPr>
        <w:spacing w:after="300"/>
      </w:pPr>
      <w:r>
        <w:rPr>
          <w:sz w:val="21"/>
          <w:szCs w:val="21"/>
        </w:rPr>
        <w:t xml:space="preserve">5. </w:t>
      </w:r>
    </w:p>
    <w:p>
      <w:pPr>
        <w:pBdr>
          <w:bottom w:val="single" w:color="999999" w:sz="4" w:space="1"/>
        </w:pBdr>
        <w:tabs>
          <w:tab w:val="left" w:pos="9026"/>
        </w:tabs>
        <w:spacing w:after="140"/>
      </w:pPr>
      <w:r>
        <w:rPr>
          <w:b/>
          <w:bCs/>
          <w:color w:val="333333"/>
          <w:sz w:val="20"/>
          <w:szCs w:val="20"/>
        </w:rPr>
        <w:t xml:space="preserve">Firma del oficial: ____________________   Fecha: ______________</w:t>
      </w:r>
    </w:p>
    <w:sectPr>
      <w:headerReference w:type="default" r:id="rId7"/>
      <w:footerReference w:type="default" r:id="rId8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08080"/>
        <w:sz w:val="16"/>
        <w:szCs w:val="16"/>
      </w:rPr>
      <w:t xml:space="preserve">Página </w:t>
    </w:r>
    <w:r>
      <w:rPr>
        <w:color w:val="808080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6"/>
        <w:szCs w:val="16"/>
      </w:rPr>
      <w:t xml:space="preserve"> de </w:t>
    </w:r>
    <w:r>
      <w:rPr>
        <w:color w:val="808080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CCCCC" w:sz="4" w:space="2"/>
      </w:pBdr>
      <w:tabs>
        <w:tab w:val="right" w:pos="9026"/>
      </w:tabs>
    </w:pPr>
    <w:r>
      <w:rPr>
        <w:color w:val="808080"/>
        <w:sz w:val="16"/>
        <w:szCs w:val="16"/>
      </w:rPr>
      <w:t xml:space="preserve">CHECKLIST DE COMETIDO — GCI/CAP SALITRE 2026</w:t>
    </w:r>
    <w:r>
      <w:rPr>
        <w:color w:val="808080"/>
        <w:sz w:val="16"/>
        <w:szCs w:val="16"/>
      </w:rPr>
      <w:t xml:space="preserve">	Armada de Chile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pBdr>
        <w:bottom w:val="single" w:color="0E7C86" w:sz="6" w:space="4"/>
      </w:pBdr>
      <w:spacing w:after="200" w:before="200"/>
      <w:outlineLvl w:val="0"/>
    </w:pPr>
    <w:rPr>
      <w:rFonts w:ascii="Arial" w:cs="Arial" w:eastAsia="Arial" w:hAnsi="Arial"/>
      <w:b/>
      <w:bCs/>
      <w:color w:val="0B2942"/>
      <w:sz w:val="30"/>
      <w:szCs w:val="30"/>
    </w:rPr>
  </w:style>
  <w:style w:type="paragraph" w:styleId="Heading2">
    <w:name w:val="Heading 2"/>
    <w:basedOn w:val="Normal"/>
    <w:next w:val="Normal"/>
    <w:qFormat/>
    <w:pPr>
      <w:spacing w:after="120" w:before="160"/>
      <w:outlineLvl w:val="1"/>
    </w:pPr>
    <w:rPr>
      <w:rFonts w:ascii="Arial" w:cs="Arial" w:eastAsia="Arial" w:hAnsi="Arial"/>
      <w:b/>
      <w:bCs/>
      <w:color w:val="1B3A52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2026-06-24T03:12:12.692Z</dcterms:created>
  <dcterms:modified xsi:type="dcterms:W3CDTF">2026-06-24T03:12:12.693Z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