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EB1" w:rsidRPr="00365EB1" w:rsidRDefault="00365EB1" w:rsidP="00365EB1">
      <w:pPr>
        <w:spacing w:after="0" w:line="240" w:lineRule="auto"/>
        <w:rPr>
          <w:rFonts w:ascii="Times New Roman" w:eastAsia="Times New Roman" w:hAnsi="Times New Roman" w:cs="Times New Roman"/>
          <w:b/>
          <w:vanish/>
          <w:sz w:val="28"/>
          <w:szCs w:val="28"/>
        </w:rPr>
      </w:pPr>
    </w:p>
    <w:p w:rsidR="00F9706E" w:rsidRPr="00365EB1" w:rsidRDefault="00365EB1">
      <w:pPr>
        <w:rPr>
          <w:b/>
          <w:sz w:val="28"/>
          <w:szCs w:val="28"/>
          <w:lang w:val="es-MX"/>
        </w:rPr>
      </w:pPr>
      <w:r w:rsidRPr="00365EB1">
        <w:rPr>
          <w:b/>
          <w:sz w:val="28"/>
          <w:szCs w:val="28"/>
          <w:lang w:val="es-MX"/>
        </w:rPr>
        <w:t>Pauta CUC Comparación</w:t>
      </w:r>
      <w:r>
        <w:rPr>
          <w:b/>
          <w:sz w:val="28"/>
          <w:szCs w:val="28"/>
          <w:lang w:val="es-MX"/>
        </w:rPr>
        <w:t xml:space="preserve"> 2026</w:t>
      </w:r>
      <w:bookmarkStart w:id="0" w:name="_GoBack"/>
      <w:bookmarkEnd w:id="0"/>
    </w:p>
    <w:p w:rsidR="00365EB1" w:rsidRDefault="00365EB1">
      <w:pPr>
        <w:rPr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365EB1" w:rsidTr="00365EB1">
        <w:tc>
          <w:tcPr>
            <w:tcW w:w="2942" w:type="dxa"/>
          </w:tcPr>
          <w:p w:rsidR="00365EB1" w:rsidRDefault="00365EB1">
            <w:pPr>
              <w:rPr>
                <w:lang w:val="es-MX"/>
              </w:rPr>
            </w:pPr>
            <w:r>
              <w:rPr>
                <w:lang w:val="es-MX"/>
              </w:rPr>
              <w:t>Parámetro</w:t>
            </w:r>
          </w:p>
        </w:tc>
        <w:tc>
          <w:tcPr>
            <w:tcW w:w="2943" w:type="dxa"/>
          </w:tcPr>
          <w:p w:rsidR="00365EB1" w:rsidRDefault="00365EB1">
            <w:pPr>
              <w:rPr>
                <w:lang w:val="es-MX"/>
              </w:rPr>
            </w:pPr>
            <w:r>
              <w:rPr>
                <w:lang w:val="es-MX"/>
              </w:rPr>
              <w:t>Torre del Engranaje</w:t>
            </w:r>
          </w:p>
        </w:tc>
        <w:tc>
          <w:tcPr>
            <w:tcW w:w="2943" w:type="dxa"/>
          </w:tcPr>
          <w:p w:rsidR="00365EB1" w:rsidRDefault="00365EB1">
            <w:pPr>
              <w:rPr>
                <w:lang w:val="es-MX"/>
              </w:rPr>
            </w:pPr>
            <w:r>
              <w:rPr>
                <w:lang w:val="es-MX"/>
              </w:rPr>
              <w:t>Torre del Viento</w:t>
            </w:r>
          </w:p>
        </w:tc>
      </w:tr>
      <w:tr w:rsidR="00365EB1" w:rsidTr="00365EB1">
        <w:tc>
          <w:tcPr>
            <w:tcW w:w="2942" w:type="dxa"/>
          </w:tcPr>
          <w:p w:rsidR="00365EB1" w:rsidRDefault="00365EB1">
            <w:pPr>
              <w:rPr>
                <w:lang w:val="es-MX"/>
              </w:rPr>
            </w:pPr>
            <w:r>
              <w:rPr>
                <w:lang w:val="es-MX"/>
              </w:rPr>
              <w:t>Concepción del conocimiento</w:t>
            </w:r>
          </w:p>
        </w:tc>
        <w:tc>
          <w:tcPr>
            <w:tcW w:w="2943" w:type="dxa"/>
          </w:tcPr>
          <w:p w:rsidR="00365EB1" w:rsidRDefault="00365EB1">
            <w:pPr>
              <w:rPr>
                <w:lang w:val="es-MX"/>
              </w:rPr>
            </w:pPr>
            <w:r>
              <w:rPr>
                <w:lang w:val="es-MX"/>
              </w:rPr>
              <w:t>Se entiende como un sistema estructurado, cerrado y replicable, orientado a respuestas correctas predeterminadas</w:t>
            </w:r>
          </w:p>
        </w:tc>
        <w:tc>
          <w:tcPr>
            <w:tcW w:w="2943" w:type="dxa"/>
          </w:tcPr>
          <w:p w:rsidR="00365EB1" w:rsidRDefault="00365EB1">
            <w:pPr>
              <w:rPr>
                <w:lang w:val="es-MX"/>
              </w:rPr>
            </w:pPr>
            <w:r>
              <w:rPr>
                <w:lang w:val="es-MX"/>
              </w:rPr>
              <w:t>Se concibe como una construcción dinámica, abierta y provisional, susceptible de revisión y diálogo constante</w:t>
            </w:r>
          </w:p>
        </w:tc>
      </w:tr>
      <w:tr w:rsidR="00365EB1" w:rsidTr="00365EB1">
        <w:tc>
          <w:tcPr>
            <w:tcW w:w="2942" w:type="dxa"/>
          </w:tcPr>
          <w:p w:rsidR="00365EB1" w:rsidRDefault="00365EB1">
            <w:pPr>
              <w:rPr>
                <w:lang w:val="es-MX"/>
              </w:rPr>
            </w:pPr>
            <w:r w:rsidRPr="00365EB1">
              <w:rPr>
                <w:lang w:val="es-MX"/>
              </w:rPr>
              <w:t>Rol del estudiante</w:t>
            </w:r>
          </w:p>
        </w:tc>
        <w:tc>
          <w:tcPr>
            <w:tcW w:w="2943" w:type="dxa"/>
          </w:tcPr>
          <w:p w:rsidR="00365EB1" w:rsidRDefault="00365EB1">
            <w:pPr>
              <w:rPr>
                <w:lang w:val="es-MX"/>
              </w:rPr>
            </w:pPr>
            <w:r>
              <w:rPr>
                <w:lang w:val="es-MX"/>
              </w:rPr>
              <w:t>Actúa como ejecutor de instrucciones dentro de un esquema previamente diseñado</w:t>
            </w:r>
          </w:p>
        </w:tc>
        <w:tc>
          <w:tcPr>
            <w:tcW w:w="2943" w:type="dxa"/>
          </w:tcPr>
          <w:p w:rsidR="00365EB1" w:rsidRDefault="00365EB1">
            <w:pPr>
              <w:rPr>
                <w:lang w:val="es-MX"/>
              </w:rPr>
            </w:pPr>
            <w:r>
              <w:rPr>
                <w:lang w:val="es-MX"/>
              </w:rPr>
              <w:t xml:space="preserve">Participa activamente como </w:t>
            </w:r>
            <w:proofErr w:type="spellStart"/>
            <w:r>
              <w:rPr>
                <w:lang w:val="es-MX"/>
              </w:rPr>
              <w:t>co</w:t>
            </w:r>
            <w:proofErr w:type="spellEnd"/>
            <w:r>
              <w:rPr>
                <w:lang w:val="es-MX"/>
              </w:rPr>
              <w:t>-constructor del aprendizaje mediante interacción y reflexión colectiva.</w:t>
            </w:r>
          </w:p>
        </w:tc>
      </w:tr>
      <w:tr w:rsidR="00365EB1" w:rsidTr="00365EB1">
        <w:tc>
          <w:tcPr>
            <w:tcW w:w="2942" w:type="dxa"/>
          </w:tcPr>
          <w:p w:rsidR="00365EB1" w:rsidRDefault="00365EB1">
            <w:pPr>
              <w:rPr>
                <w:lang w:val="es-MX"/>
              </w:rPr>
            </w:pPr>
            <w:r>
              <w:rPr>
                <w:lang w:val="es-MX"/>
              </w:rPr>
              <w:t>Gestión del error</w:t>
            </w:r>
          </w:p>
        </w:tc>
        <w:tc>
          <w:tcPr>
            <w:tcW w:w="2943" w:type="dxa"/>
          </w:tcPr>
          <w:p w:rsidR="00365EB1" w:rsidRDefault="00365EB1">
            <w:pPr>
              <w:rPr>
                <w:lang w:val="es-MX"/>
              </w:rPr>
            </w:pPr>
            <w:r>
              <w:rPr>
                <w:lang w:val="es-MX"/>
              </w:rPr>
              <w:t>El error interrumpe el funcionamiento del sistema y evidencia una falla en el engranaje.</w:t>
            </w:r>
          </w:p>
        </w:tc>
        <w:tc>
          <w:tcPr>
            <w:tcW w:w="2943" w:type="dxa"/>
          </w:tcPr>
          <w:p w:rsidR="00365EB1" w:rsidRDefault="00365EB1">
            <w:pPr>
              <w:rPr>
                <w:lang w:val="es-MX"/>
              </w:rPr>
            </w:pPr>
            <w:r>
              <w:rPr>
                <w:lang w:val="es-MX"/>
              </w:rPr>
              <w:t>El error se integra como parte del proceso y oportunidad para reformular ideas.</w:t>
            </w:r>
          </w:p>
        </w:tc>
      </w:tr>
      <w:tr w:rsidR="00365EB1" w:rsidTr="00365EB1">
        <w:tc>
          <w:tcPr>
            <w:tcW w:w="2942" w:type="dxa"/>
          </w:tcPr>
          <w:p w:rsidR="00365EB1" w:rsidRDefault="00365EB1">
            <w:pPr>
              <w:rPr>
                <w:lang w:val="es-MX"/>
              </w:rPr>
            </w:pPr>
            <w:r>
              <w:rPr>
                <w:lang w:val="es-MX"/>
              </w:rPr>
              <w:t>Respuesta a la incertidumbre</w:t>
            </w:r>
          </w:p>
        </w:tc>
        <w:tc>
          <w:tcPr>
            <w:tcW w:w="2943" w:type="dxa"/>
          </w:tcPr>
          <w:p w:rsidR="00365EB1" w:rsidRDefault="00365EB1">
            <w:pPr>
              <w:rPr>
                <w:lang w:val="es-MX"/>
              </w:rPr>
            </w:pPr>
            <w:r>
              <w:rPr>
                <w:lang w:val="es-MX"/>
              </w:rPr>
              <w:t>Prioriza el control, la previsibilidad y la estandarización de procedimientos.</w:t>
            </w:r>
          </w:p>
        </w:tc>
        <w:tc>
          <w:tcPr>
            <w:tcW w:w="2943" w:type="dxa"/>
          </w:tcPr>
          <w:p w:rsidR="00365EB1" w:rsidRDefault="00365EB1">
            <w:pPr>
              <w:rPr>
                <w:lang w:val="es-MX"/>
              </w:rPr>
            </w:pPr>
            <w:r>
              <w:rPr>
                <w:lang w:val="es-MX"/>
              </w:rPr>
              <w:t>Favorece la adaptación, la creatividad y la búsqueda colaborativa de soluciones.</w:t>
            </w:r>
          </w:p>
        </w:tc>
      </w:tr>
    </w:tbl>
    <w:p w:rsidR="00365EB1" w:rsidRPr="00365EB1" w:rsidRDefault="00365EB1">
      <w:pPr>
        <w:rPr>
          <w:lang w:val="es-MX"/>
        </w:rPr>
      </w:pPr>
    </w:p>
    <w:sectPr w:rsidR="00365EB1" w:rsidRPr="00365EB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EB1"/>
    <w:rsid w:val="00365EB1"/>
    <w:rsid w:val="00F97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9C5DB"/>
  <w15:chartTrackingRefBased/>
  <w15:docId w15:val="{ACD77E90-DAD9-4140-A9D7-4F6294FB5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65E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3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2026-02-25T11:32:00Z</dcterms:created>
  <dcterms:modified xsi:type="dcterms:W3CDTF">2026-02-25T11:41:00Z</dcterms:modified>
</cp:coreProperties>
</file>