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Estudio de Caso: Palamara Iribarne vs. Chile</w:t>
      </w:r>
    </w:p>
    <w:tbl>
      <w:tblPr>
        <w:tblW w:type="auto" w:w="0"/>
        <w:tblLook w:firstColumn="1" w:firstRow="1" w:lastColumn="0" w:lastRow="0" w:noHBand="0" w:noVBand="1" w:val="04A0"/>
      </w:tblPr>
      <w:tblGrid>
        <w:gridCol w:w="4320"/>
        <w:gridCol w:w="4320"/>
      </w:tblGrid>
      <w:tr>
        <w:tc>
          <w:tcPr>
            <w:tcW w:type="dxa" w:w="4320"/>
          </w:tcPr>
          <w:p>
            <w:r>
              <w:t>Aspecto</w:t>
            </w:r>
          </w:p>
        </w:tc>
        <w:tc>
          <w:tcPr>
            <w:tcW w:type="dxa" w:w="4320"/>
          </w:tcPr>
          <w:p>
            <w:r>
              <w:t>Detalle</w:t>
            </w:r>
          </w:p>
        </w:tc>
      </w:tr>
      <w:tr>
        <w:tc>
          <w:tcPr>
            <w:tcW w:type="dxa" w:w="4320"/>
          </w:tcPr>
          <w:p>
            <w:r>
              <w:t>1. Nombre del caso:</w:t>
            </w:r>
          </w:p>
        </w:tc>
        <w:tc>
          <w:tcPr>
            <w:tcW w:type="dxa" w:w="4320"/>
          </w:tcPr>
          <w:p>
            <w:r>
              <w:t>Palamara Iribarne vs. Chile</w:t>
            </w:r>
          </w:p>
        </w:tc>
      </w:tr>
      <w:tr>
        <w:tc>
          <w:tcPr>
            <w:tcW w:type="dxa" w:w="4320"/>
          </w:tcPr>
          <w:p>
            <w:r>
              <w:t>2. Tipo de Caso:</w:t>
            </w:r>
          </w:p>
        </w:tc>
        <w:tc>
          <w:tcPr>
            <w:tcW w:type="dxa" w:w="4320"/>
          </w:tcPr>
          <w:p>
            <w:r>
              <w:t>Libertad de expresión, jurisdicción militar y debido proceso.</w:t>
            </w:r>
          </w:p>
        </w:tc>
      </w:tr>
      <w:tr>
        <w:tc>
          <w:tcPr>
            <w:tcW w:type="dxa" w:w="4320"/>
          </w:tcPr>
          <w:p>
            <w:r>
              <w:t>3. Fecha de presentación del caso:</w:t>
            </w:r>
          </w:p>
        </w:tc>
        <w:tc>
          <w:tcPr>
            <w:tcW w:type="dxa" w:w="4320"/>
          </w:tcPr>
          <w:p>
            <w:r>
              <w:t>15 de marzo de 1995 (Comisión Interamericana de Derechos Humanos).</w:t>
            </w:r>
          </w:p>
        </w:tc>
      </w:tr>
      <w:tr>
        <w:tc>
          <w:tcPr>
            <w:tcW w:type="dxa" w:w="4320"/>
          </w:tcPr>
          <w:p>
            <w:r>
              <w:t>Fecha de resolución del caso:</w:t>
            </w:r>
          </w:p>
        </w:tc>
        <w:tc>
          <w:tcPr>
            <w:tcW w:type="dxa" w:w="4320"/>
          </w:tcPr>
          <w:p>
            <w:r>
              <w:t>22 de noviembre de 2005 (sentencia de la Corte Interamericana de Derechos Humanos).</w:t>
            </w:r>
          </w:p>
        </w:tc>
      </w:tr>
      <w:tr>
        <w:tc>
          <w:tcPr>
            <w:tcW w:type="dxa" w:w="4320"/>
          </w:tcPr>
          <w:p>
            <w:r>
              <w:t>4. Identificar de qué trató el caso:</w:t>
            </w:r>
          </w:p>
        </w:tc>
        <w:tc>
          <w:tcPr>
            <w:tcW w:type="dxa" w:w="4320"/>
          </w:tcPr>
          <w:p>
            <w:r>
              <w:t>El caso se originó cuando el ex oficial de la Armada de Chile, Humberto Palamara Iribarne, fue sancionado penalmente por publicar un libro sin autorización militar. El proceso fue llevado por tribunales militares, a pesar de que él era civil en ese momento.</w:t>
            </w:r>
          </w:p>
        </w:tc>
      </w:tr>
      <w:tr>
        <w:tc>
          <w:tcPr>
            <w:tcW w:type="dxa" w:w="4320"/>
          </w:tcPr>
          <w:p>
            <w:r>
              <w:t>5. Descripción de los Hechos:</w:t>
            </w:r>
          </w:p>
        </w:tc>
        <w:tc>
          <w:tcPr>
            <w:tcW w:type="dxa" w:w="4320"/>
          </w:tcPr>
          <w:p>
            <w:r>
              <w:t>- Palamara escribió un libro titulado 'Ética y Servicios de Inteligencia'.</w:t>
              <w:br/>
              <w:t>- La Armada incautó y destruyó todos los ejemplares de la obra.</w:t>
              <w:br/>
              <w:t>- Fue procesado por tribunales militares por supuestas infracciones disciplinarias.</w:t>
              <w:br/>
              <w:t>- La justicia ordinaria no asumió el caso, dejándolo en el ámbito castrense.</w:t>
              <w:br/>
              <w:t>- La Comisión Interamericana consideró que Chile violó derechos esenciales vinculados a la libertad de expresión y a un juicio justo.</w:t>
            </w:r>
          </w:p>
        </w:tc>
      </w:tr>
      <w:tr>
        <w:tc>
          <w:tcPr>
            <w:tcW w:type="dxa" w:w="4320"/>
          </w:tcPr>
          <w:p>
            <w:r>
              <w:t>6. Identificación completa y descripción de los Derechos Humanos vulnerados según la Declaración Universal de los Derechos Humanos de 1948:</w:t>
            </w:r>
          </w:p>
        </w:tc>
        <w:tc>
          <w:tcPr>
            <w:tcW w:type="dxa" w:w="4320"/>
          </w:tcPr>
          <w:p>
            <w:r>
              <w:t>- Artículo 10: Derecho a un juicio justo y público.</w:t>
              <w:br/>
              <w:t>- Artículo 19: Libertad de opinión y de expresión.</w:t>
              <w:br/>
              <w:t>- Artículo 27: Derecho a participar en la vida cultural y gozar de las artes.</w:t>
            </w:r>
          </w:p>
        </w:tc>
      </w:tr>
      <w:tr>
        <w:tc>
          <w:tcPr>
            <w:tcW w:type="dxa" w:w="4320"/>
          </w:tcPr>
          <w:p>
            <w:r>
              <w:t>7. ¿Qué otros derechos humanos estiman que fueron vulnerados aparte de los establecidos por la Corte?</w:t>
            </w:r>
          </w:p>
        </w:tc>
        <w:tc>
          <w:tcPr>
            <w:tcW w:type="dxa" w:w="4320"/>
          </w:tcPr>
          <w:p>
            <w:r>
              <w:t>- Artículo 8: Derecho a un recurso efectivo.</w:t>
              <w:br/>
              <w:t>- Artículo 20: Libertad de reunión y asociación (indirectamente, por la limitación a difundir ideas en colectivos civiles).</w:t>
            </w:r>
          </w:p>
        </w:tc>
      </w:tr>
      <w:tr>
        <w:tc>
          <w:tcPr>
            <w:tcW w:type="dxa" w:w="4320"/>
          </w:tcPr>
          <w:p>
            <w:r>
              <w:t>8. ¿Cuál fue la sentencia emitida por la Corte Interamericana de los DD.HH. que trató su caso analizado?</w:t>
            </w:r>
          </w:p>
        </w:tc>
        <w:tc>
          <w:tcPr>
            <w:tcW w:type="dxa" w:w="4320"/>
          </w:tcPr>
          <w:p>
            <w:r>
              <w:t>La Corte IDH declaró que Chile violó los artículos 8 (garantías judiciales), 13 (libertad de expresión) y 25 (protección judicial) de la Convención Americana. Ordenó al Estado adecuar su legislación para limitar la competencia de tribunales militares exclusivamente a delitos de naturaleza castrense.</w:t>
            </w:r>
          </w:p>
        </w:tc>
      </w:tr>
      <w:tr>
        <w:tc>
          <w:tcPr>
            <w:tcW w:type="dxa" w:w="4320"/>
          </w:tcPr>
          <w:p>
            <w:r>
              <w:t>9. ¿Cuál fue la reparación en su caso?</w:t>
            </w:r>
          </w:p>
        </w:tc>
        <w:tc>
          <w:tcPr>
            <w:tcW w:type="dxa" w:w="4320"/>
          </w:tcPr>
          <w:p>
            <w:r>
              <w:t>- Publicación y difusión de la sentencia en medios oficiales.</w:t>
              <w:br/>
              <w:t>- Pago de indemnización a Palamara Iribarne por daños materiales e inmateriales.</w:t>
              <w:br/>
              <w:t>- Garantías de no repetición mediante la reforma de la legislación sobre jurisdicción militar.</w:t>
            </w:r>
          </w:p>
        </w:tc>
      </w:tr>
      <w:tr>
        <w:tc>
          <w:tcPr>
            <w:tcW w:type="dxa" w:w="4320"/>
          </w:tcPr>
          <w:p>
            <w:r>
              <w:t>10. ¿Qué aprendizaje les dejó su grupo o dupla el caso estudiado?</w:t>
            </w:r>
          </w:p>
        </w:tc>
        <w:tc>
          <w:tcPr>
            <w:tcW w:type="dxa" w:w="4320"/>
          </w:tcPr>
          <w:p>
            <w:r>
              <w:t>- La importancia de la libertad de expresión incluso dentro de contextos militares.</w:t>
              <w:br/>
              <w:t>- Que la jurisdicción militar debe ser restringida a delitos estrictamente castrenses.</w:t>
              <w:br/>
              <w:t>- El rol de la Corte IDH en obligar a los Estados a modificar normativas incompatibles con los derechos humanos.</w:t>
              <w:br/>
              <w:t>- Refuerza que la democracia requiere transparencia y libertad académica e intelectual, incluso en instituciones armadas.</w:t>
            </w:r>
          </w:p>
        </w:tc>
      </w:tr>
    </w:tbl>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