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A821" w14:textId="77777777" w:rsidR="00C6197B" w:rsidRPr="001D005D" w:rsidRDefault="00000000">
      <w:pPr>
        <w:jc w:val="center"/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b/>
          <w:color w:val="000000" w:themeColor="text1"/>
          <w:sz w:val="20"/>
          <w:szCs w:val="20"/>
          <w:lang w:val="es-ES_tradnl"/>
        </w:rPr>
        <w:t>RÚBRICA DE EXPOSICIÓN</w:t>
      </w:r>
      <w:r w:rsidRPr="001D005D">
        <w:rPr>
          <w:rFonts w:cs="Arial"/>
          <w:b/>
          <w:color w:val="000000" w:themeColor="text1"/>
          <w:sz w:val="20"/>
          <w:szCs w:val="20"/>
          <w:lang w:val="es-ES_tradnl"/>
        </w:rPr>
        <w:br/>
        <w:t>EJERCICIO DE PLANIFICACIÓN DE OPERACIONES ANFIBIAS</w:t>
      </w:r>
    </w:p>
    <w:p w14:paraId="08E4EAAF" w14:textId="77777777" w:rsidR="00C6197B" w:rsidRPr="001D005D" w:rsidRDefault="00000000">
      <w:pPr>
        <w:jc w:val="center"/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Escuela Naval / Operaciones Anfibias -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Landing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Force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de Compañía</w:t>
      </w:r>
    </w:p>
    <w:p w14:paraId="510BF63E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1. Propósito del ejercicio</w:t>
      </w:r>
    </w:p>
    <w:p w14:paraId="52F28AFA" w14:textId="47205576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Este ejercicio ficticio para fines educacionales exige que los alumnos integren el proceso de planificación de una operación anfibia a nivel </w:t>
      </w:r>
      <w:r w:rsidR="001D005D" w:rsidRPr="001D005D">
        <w:rPr>
          <w:rFonts w:cs="Arial"/>
          <w:color w:val="000000" w:themeColor="text1"/>
          <w:sz w:val="20"/>
          <w:szCs w:val="20"/>
          <w:lang w:val="es-ES_tradnl"/>
        </w:rPr>
        <w:t>unidad de desembarco</w:t>
      </w: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, desde la emisión de una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Warning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Order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inicial hasta la presentación de una Orden de Operaciones completa. La situación obliga a coordinar maniobra terrestre, desembarco de superficie, empleo limitado de helicóptero, reconocimiento, fuegos orgánicos, apoyo de botes, control</w:t>
      </w:r>
      <w:r w:rsidR="001D005D">
        <w:rPr>
          <w:rFonts w:cs="Arial"/>
          <w:color w:val="000000" w:themeColor="text1"/>
          <w:sz w:val="20"/>
          <w:szCs w:val="20"/>
          <w:lang w:val="es-ES_tradnl"/>
        </w:rPr>
        <w:t>/reconocimiento</w:t>
      </w: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de playas, seguridad, logística inicial y consolidación de objetivos.</w:t>
      </w:r>
    </w:p>
    <w:p w14:paraId="3DCA8C96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2. Validez de la evaluación</w:t>
      </w:r>
    </w:p>
    <w:p w14:paraId="1E802252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>El ejercicio tendrá validez de dos notas por alumno. Cada alumno será evaluado individualmente según el rol asignado y su desempeño durante la exposición, defensa y trabajo de planificación. Las notas se estructuran de la siguiente manera: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812"/>
        <w:gridCol w:w="3812"/>
        <w:gridCol w:w="3812"/>
        <w:gridCol w:w="3812"/>
      </w:tblGrid>
      <w:tr w:rsidR="00C6197B" w:rsidRPr="001D005D" w14:paraId="499A4031" w14:textId="77777777">
        <w:trPr>
          <w:jc w:val="center"/>
        </w:trPr>
        <w:tc>
          <w:tcPr>
            <w:tcW w:w="3812" w:type="dxa"/>
            <w:shd w:val="clear" w:color="auto" w:fill="D9EAF7"/>
            <w:vAlign w:val="center"/>
          </w:tcPr>
          <w:p w14:paraId="34B176B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Nota</w:t>
            </w:r>
          </w:p>
        </w:tc>
        <w:tc>
          <w:tcPr>
            <w:tcW w:w="3812" w:type="dxa"/>
            <w:shd w:val="clear" w:color="auto" w:fill="D9EAF7"/>
            <w:vAlign w:val="center"/>
          </w:tcPr>
          <w:p w14:paraId="1724E71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Foco de evaluación</w:t>
            </w:r>
          </w:p>
        </w:tc>
        <w:tc>
          <w:tcPr>
            <w:tcW w:w="3812" w:type="dxa"/>
            <w:shd w:val="clear" w:color="auto" w:fill="D9EAF7"/>
            <w:vAlign w:val="center"/>
          </w:tcPr>
          <w:p w14:paraId="7DC0FF5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Puntaje</w:t>
            </w:r>
          </w:p>
        </w:tc>
        <w:tc>
          <w:tcPr>
            <w:tcW w:w="3812" w:type="dxa"/>
            <w:shd w:val="clear" w:color="auto" w:fill="D9EAF7"/>
            <w:vAlign w:val="center"/>
          </w:tcPr>
          <w:p w14:paraId="7010A51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Descripción</w:t>
            </w:r>
          </w:p>
        </w:tc>
      </w:tr>
      <w:tr w:rsidR="00C6197B" w:rsidRPr="001D005D" w14:paraId="66AE9FEB" w14:textId="77777777">
        <w:trPr>
          <w:jc w:val="center"/>
        </w:trPr>
        <w:tc>
          <w:tcPr>
            <w:tcW w:w="3812" w:type="dxa"/>
            <w:vAlign w:val="center"/>
          </w:tcPr>
          <w:p w14:paraId="3D9D73B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Nota 1</w:t>
            </w:r>
          </w:p>
        </w:tc>
        <w:tc>
          <w:tcPr>
            <w:tcW w:w="3812" w:type="dxa"/>
            <w:vAlign w:val="center"/>
          </w:tcPr>
          <w:p w14:paraId="5C6DEEA1" w14:textId="5A1B38C1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Desempeño </w:t>
            </w:r>
            <w:r w:rsidR="001D005D"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táctico</w:t>
            </w:r>
          </w:p>
        </w:tc>
        <w:tc>
          <w:tcPr>
            <w:tcW w:w="3812" w:type="dxa"/>
            <w:vAlign w:val="center"/>
          </w:tcPr>
          <w:p w14:paraId="00686F9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100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  <w:tc>
          <w:tcPr>
            <w:tcW w:w="3812" w:type="dxa"/>
            <w:vAlign w:val="center"/>
          </w:tcPr>
          <w:p w14:paraId="418D597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Evalúa el empleo de BAMCIS, doctrina de operaciones anfibias, simbología OTAN, esquema de maniobra e integración de materias tácticas previas.</w:t>
            </w:r>
          </w:p>
        </w:tc>
      </w:tr>
      <w:tr w:rsidR="00C6197B" w:rsidRPr="001D005D" w14:paraId="453015FD" w14:textId="77777777">
        <w:trPr>
          <w:jc w:val="center"/>
        </w:trPr>
        <w:tc>
          <w:tcPr>
            <w:tcW w:w="3812" w:type="dxa"/>
            <w:vAlign w:val="center"/>
          </w:tcPr>
          <w:p w14:paraId="5439F99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Nota 2</w:t>
            </w:r>
          </w:p>
        </w:tc>
        <w:tc>
          <w:tcPr>
            <w:tcW w:w="3812" w:type="dxa"/>
            <w:vAlign w:val="center"/>
          </w:tcPr>
          <w:p w14:paraId="4F294CC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Exposición, defensa y profesionalismo</w:t>
            </w:r>
          </w:p>
        </w:tc>
        <w:tc>
          <w:tcPr>
            <w:tcW w:w="3812" w:type="dxa"/>
            <w:vAlign w:val="center"/>
          </w:tcPr>
          <w:p w14:paraId="7E7270B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100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  <w:tc>
          <w:tcPr>
            <w:tcW w:w="3812" w:type="dxa"/>
            <w:vAlign w:val="center"/>
          </w:tcPr>
          <w:p w14:paraId="075AE5D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Evalúa claridad, simpleza, formalidad, dominio del rol, capacidad de comunicar decisiones y profesionalismo durante la presentación.</w:t>
            </w:r>
          </w:p>
        </w:tc>
      </w:tr>
    </w:tbl>
    <w:p w14:paraId="60C85D2E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3. Roles por alumno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83"/>
        <w:gridCol w:w="5083"/>
      </w:tblGrid>
      <w:tr w:rsidR="001D005D" w:rsidRPr="001D005D" w14:paraId="1F02EE2F" w14:textId="77777777" w:rsidTr="001D005D">
        <w:trPr>
          <w:jc w:val="center"/>
        </w:trPr>
        <w:tc>
          <w:tcPr>
            <w:tcW w:w="5083" w:type="dxa"/>
            <w:shd w:val="clear" w:color="auto" w:fill="D9EAF7"/>
            <w:vAlign w:val="center"/>
          </w:tcPr>
          <w:p w14:paraId="01AB987D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Rol</w:t>
            </w:r>
          </w:p>
        </w:tc>
        <w:tc>
          <w:tcPr>
            <w:tcW w:w="5083" w:type="dxa"/>
            <w:shd w:val="clear" w:color="auto" w:fill="D9EAF7"/>
            <w:vAlign w:val="center"/>
          </w:tcPr>
          <w:p w14:paraId="2F05A0AB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Alumno asignado</w:t>
            </w:r>
          </w:p>
        </w:tc>
      </w:tr>
      <w:tr w:rsidR="001D005D" w:rsidRPr="001D005D" w14:paraId="7E0FBDDF" w14:textId="77777777" w:rsidTr="001D005D">
        <w:trPr>
          <w:jc w:val="center"/>
        </w:trPr>
        <w:tc>
          <w:tcPr>
            <w:tcW w:w="5083" w:type="dxa"/>
            <w:vAlign w:val="center"/>
          </w:tcPr>
          <w:p w14:paraId="4E784D80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de Compañía</w:t>
            </w:r>
          </w:p>
        </w:tc>
        <w:tc>
          <w:tcPr>
            <w:tcW w:w="5083" w:type="dxa"/>
            <w:vAlign w:val="center"/>
          </w:tcPr>
          <w:p w14:paraId="78420BD3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Aubazartt</w:t>
            </w:r>
            <w:proofErr w:type="spellEnd"/>
          </w:p>
        </w:tc>
      </w:tr>
      <w:tr w:rsidR="001D005D" w:rsidRPr="001D005D" w14:paraId="60E7EF5D" w14:textId="77777777" w:rsidTr="001D005D">
        <w:trPr>
          <w:jc w:val="center"/>
        </w:trPr>
        <w:tc>
          <w:tcPr>
            <w:tcW w:w="5083" w:type="dxa"/>
            <w:vAlign w:val="center"/>
          </w:tcPr>
          <w:p w14:paraId="3CF416B0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Segundo </w:t>
            </w:r>
            <w:proofErr w:type="gram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</w:t>
            </w:r>
            <w:proofErr w:type="gram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de Compañía</w:t>
            </w:r>
          </w:p>
        </w:tc>
        <w:tc>
          <w:tcPr>
            <w:tcW w:w="5083" w:type="dxa"/>
            <w:vAlign w:val="center"/>
          </w:tcPr>
          <w:p w14:paraId="7B172F62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Muirhead</w:t>
            </w:r>
            <w:proofErr w:type="spellEnd"/>
          </w:p>
        </w:tc>
      </w:tr>
      <w:tr w:rsidR="001D005D" w:rsidRPr="001D005D" w14:paraId="43B81961" w14:textId="77777777" w:rsidTr="001D005D">
        <w:trPr>
          <w:jc w:val="center"/>
        </w:trPr>
        <w:tc>
          <w:tcPr>
            <w:tcW w:w="5083" w:type="dxa"/>
            <w:vAlign w:val="center"/>
          </w:tcPr>
          <w:p w14:paraId="3CD6B3C7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Operaciones de Compañía (S-3)</w:t>
            </w:r>
          </w:p>
        </w:tc>
        <w:tc>
          <w:tcPr>
            <w:tcW w:w="5083" w:type="dxa"/>
            <w:vAlign w:val="center"/>
          </w:tcPr>
          <w:p w14:paraId="13BBAFD7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Mora</w:t>
            </w:r>
          </w:p>
        </w:tc>
      </w:tr>
      <w:tr w:rsidR="001D005D" w:rsidRPr="001D005D" w14:paraId="1BCC1FC6" w14:textId="77777777" w:rsidTr="001D005D">
        <w:trPr>
          <w:jc w:val="center"/>
        </w:trPr>
        <w:tc>
          <w:tcPr>
            <w:tcW w:w="5083" w:type="dxa"/>
            <w:vAlign w:val="center"/>
          </w:tcPr>
          <w:p w14:paraId="08B28259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1° Pelotón</w:t>
            </w:r>
          </w:p>
        </w:tc>
        <w:tc>
          <w:tcPr>
            <w:tcW w:w="5083" w:type="dxa"/>
            <w:vAlign w:val="center"/>
          </w:tcPr>
          <w:p w14:paraId="433F3738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Gonzalez</w:t>
            </w:r>
            <w:proofErr w:type="spellEnd"/>
          </w:p>
        </w:tc>
      </w:tr>
      <w:tr w:rsidR="001D005D" w:rsidRPr="001D005D" w14:paraId="1052192F" w14:textId="77777777" w:rsidTr="001D005D">
        <w:trPr>
          <w:jc w:val="center"/>
        </w:trPr>
        <w:tc>
          <w:tcPr>
            <w:tcW w:w="5083" w:type="dxa"/>
            <w:vAlign w:val="center"/>
          </w:tcPr>
          <w:p w14:paraId="00EBA4A8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2° Pelotón</w:t>
            </w:r>
          </w:p>
        </w:tc>
        <w:tc>
          <w:tcPr>
            <w:tcW w:w="5083" w:type="dxa"/>
            <w:vAlign w:val="center"/>
          </w:tcPr>
          <w:p w14:paraId="6B187D92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Kottmann</w:t>
            </w:r>
            <w:proofErr w:type="spellEnd"/>
          </w:p>
        </w:tc>
      </w:tr>
      <w:tr w:rsidR="001D005D" w:rsidRPr="001D005D" w14:paraId="42599316" w14:textId="77777777" w:rsidTr="001D005D">
        <w:trPr>
          <w:jc w:val="center"/>
        </w:trPr>
        <w:tc>
          <w:tcPr>
            <w:tcW w:w="5083" w:type="dxa"/>
            <w:vAlign w:val="center"/>
          </w:tcPr>
          <w:p w14:paraId="389CC6E3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3° Pelotón</w:t>
            </w:r>
          </w:p>
        </w:tc>
        <w:tc>
          <w:tcPr>
            <w:tcW w:w="5083" w:type="dxa"/>
            <w:vAlign w:val="center"/>
          </w:tcPr>
          <w:p w14:paraId="7186CFBF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Linares</w:t>
            </w:r>
          </w:p>
        </w:tc>
      </w:tr>
      <w:tr w:rsidR="001D005D" w:rsidRPr="001D005D" w14:paraId="323CEE6F" w14:textId="77777777" w:rsidTr="001D005D">
        <w:trPr>
          <w:jc w:val="center"/>
        </w:trPr>
        <w:tc>
          <w:tcPr>
            <w:tcW w:w="5083" w:type="dxa"/>
            <w:vAlign w:val="center"/>
          </w:tcPr>
          <w:p w14:paraId="016C9274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Comandante Equipo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Recon</w:t>
            </w:r>
            <w:proofErr w:type="spellEnd"/>
          </w:p>
        </w:tc>
        <w:tc>
          <w:tcPr>
            <w:tcW w:w="5083" w:type="dxa"/>
            <w:vAlign w:val="center"/>
          </w:tcPr>
          <w:p w14:paraId="3D3B2F5A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Sepulveda</w:t>
            </w:r>
            <w:proofErr w:type="spellEnd"/>
          </w:p>
        </w:tc>
      </w:tr>
      <w:tr w:rsidR="001D005D" w:rsidRPr="001D005D" w14:paraId="7285D691" w14:textId="77777777" w:rsidTr="001D005D">
        <w:trPr>
          <w:jc w:val="center"/>
        </w:trPr>
        <w:tc>
          <w:tcPr>
            <w:tcW w:w="5083" w:type="dxa"/>
            <w:vAlign w:val="center"/>
          </w:tcPr>
          <w:p w14:paraId="6693E07A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Compañía de Botes</w:t>
            </w:r>
          </w:p>
        </w:tc>
        <w:tc>
          <w:tcPr>
            <w:tcW w:w="5083" w:type="dxa"/>
            <w:vAlign w:val="center"/>
          </w:tcPr>
          <w:p w14:paraId="5217A573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Raimann</w:t>
            </w:r>
            <w:proofErr w:type="spellEnd"/>
          </w:p>
        </w:tc>
      </w:tr>
    </w:tbl>
    <w:p w14:paraId="13855DE8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>4. Secuencia del ejercicio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83"/>
        <w:gridCol w:w="5083"/>
        <w:gridCol w:w="5083"/>
      </w:tblGrid>
      <w:tr w:rsidR="00C6197B" w:rsidRPr="001D005D" w14:paraId="19ABF8C2" w14:textId="77777777">
        <w:trPr>
          <w:jc w:val="center"/>
        </w:trPr>
        <w:tc>
          <w:tcPr>
            <w:tcW w:w="5083" w:type="dxa"/>
            <w:shd w:val="clear" w:color="auto" w:fill="D9EAF7"/>
            <w:vAlign w:val="center"/>
          </w:tcPr>
          <w:p w14:paraId="7E70500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Fase</w:t>
            </w:r>
          </w:p>
        </w:tc>
        <w:tc>
          <w:tcPr>
            <w:tcW w:w="5083" w:type="dxa"/>
            <w:shd w:val="clear" w:color="auto" w:fill="D9EAF7"/>
            <w:vAlign w:val="center"/>
          </w:tcPr>
          <w:p w14:paraId="35BB89C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Actividad</w:t>
            </w:r>
          </w:p>
        </w:tc>
        <w:tc>
          <w:tcPr>
            <w:tcW w:w="5083" w:type="dxa"/>
            <w:shd w:val="clear" w:color="auto" w:fill="D9EAF7"/>
            <w:vAlign w:val="center"/>
          </w:tcPr>
          <w:p w14:paraId="76A100E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Producto esperado</w:t>
            </w:r>
          </w:p>
        </w:tc>
      </w:tr>
      <w:tr w:rsidR="00C6197B" w:rsidRPr="001D005D" w14:paraId="209F27A3" w14:textId="77777777">
        <w:trPr>
          <w:jc w:val="center"/>
        </w:trPr>
        <w:tc>
          <w:tcPr>
            <w:tcW w:w="5083" w:type="dxa"/>
            <w:vAlign w:val="center"/>
          </w:tcPr>
          <w:p w14:paraId="7572DA5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1 (MAY 18)</w:t>
            </w:r>
          </w:p>
        </w:tc>
        <w:tc>
          <w:tcPr>
            <w:tcW w:w="5083" w:type="dxa"/>
            <w:vAlign w:val="center"/>
          </w:tcPr>
          <w:p w14:paraId="522FB18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Emisión WARNORD CO COY</w:t>
            </w:r>
          </w:p>
        </w:tc>
        <w:tc>
          <w:tcPr>
            <w:tcW w:w="5083" w:type="dxa"/>
            <w:vAlign w:val="center"/>
          </w:tcPr>
          <w:p w14:paraId="0ABA1AB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Orientación; METT-TC con MCOO y adversario; EMLCOA; análisis COG; T/O; CONOPS; esquema de maniobra.</w:t>
            </w:r>
          </w:p>
        </w:tc>
      </w:tr>
      <w:tr w:rsidR="00C6197B" w:rsidRPr="001D005D" w14:paraId="69EA421C" w14:textId="77777777">
        <w:trPr>
          <w:jc w:val="center"/>
        </w:trPr>
        <w:tc>
          <w:tcPr>
            <w:tcW w:w="5083" w:type="dxa"/>
            <w:vAlign w:val="center"/>
          </w:tcPr>
          <w:p w14:paraId="14C04D3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2 (MAY 25)</w:t>
            </w:r>
          </w:p>
        </w:tc>
        <w:tc>
          <w:tcPr>
            <w:tcW w:w="5083" w:type="dxa"/>
            <w:vAlign w:val="center"/>
          </w:tcPr>
          <w:p w14:paraId="305E146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Actualización de Inteligencia / Emisión WARNORD CO Subordinados</w:t>
            </w:r>
          </w:p>
        </w:tc>
        <w:tc>
          <w:tcPr>
            <w:tcW w:w="5083" w:type="dxa"/>
            <w:vAlign w:val="center"/>
          </w:tcPr>
          <w:p w14:paraId="2440EDA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Orientación; METT-TC con MCOO y adversario; EMLCOA; análisis COG; T/O; CONOPS; esquema de maniobra.</w:t>
            </w:r>
          </w:p>
        </w:tc>
      </w:tr>
      <w:tr w:rsidR="00C6197B" w:rsidRPr="001D005D" w14:paraId="73CB8462" w14:textId="77777777">
        <w:trPr>
          <w:jc w:val="center"/>
        </w:trPr>
        <w:tc>
          <w:tcPr>
            <w:tcW w:w="5083" w:type="dxa"/>
            <w:vAlign w:val="center"/>
          </w:tcPr>
          <w:p w14:paraId="5AF7249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3 (JUN 1)</w:t>
            </w:r>
          </w:p>
        </w:tc>
        <w:tc>
          <w:tcPr>
            <w:tcW w:w="5083" w:type="dxa"/>
            <w:vAlign w:val="center"/>
          </w:tcPr>
          <w:p w14:paraId="56433DF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Emisión Orden 5 párrafos CO COY</w:t>
            </w:r>
          </w:p>
        </w:tc>
        <w:tc>
          <w:tcPr>
            <w:tcW w:w="5083" w:type="dxa"/>
            <w:vAlign w:val="center"/>
          </w:tcPr>
          <w:p w14:paraId="6CAE3F9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OPORD.</w:t>
            </w:r>
          </w:p>
        </w:tc>
      </w:tr>
      <w:tr w:rsidR="00C6197B" w:rsidRPr="001D005D" w14:paraId="16D09B2C" w14:textId="77777777">
        <w:trPr>
          <w:jc w:val="center"/>
        </w:trPr>
        <w:tc>
          <w:tcPr>
            <w:tcW w:w="5083" w:type="dxa"/>
            <w:vAlign w:val="center"/>
          </w:tcPr>
          <w:p w14:paraId="61A2AAB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4 (JUN 7)</w:t>
            </w:r>
          </w:p>
        </w:tc>
        <w:tc>
          <w:tcPr>
            <w:tcW w:w="5083" w:type="dxa"/>
            <w:vAlign w:val="center"/>
          </w:tcPr>
          <w:p w14:paraId="387B5BA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Emisión Orden 5 párrafos CO Subordinados</w:t>
            </w:r>
          </w:p>
        </w:tc>
        <w:tc>
          <w:tcPr>
            <w:tcW w:w="5083" w:type="dxa"/>
            <w:vAlign w:val="center"/>
          </w:tcPr>
          <w:p w14:paraId="6F792D6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OPORD de subordinados.</w:t>
            </w:r>
          </w:p>
        </w:tc>
      </w:tr>
      <w:tr w:rsidR="00C6197B" w:rsidRPr="001D005D" w14:paraId="69D76496" w14:textId="77777777">
        <w:trPr>
          <w:jc w:val="center"/>
        </w:trPr>
        <w:tc>
          <w:tcPr>
            <w:tcW w:w="5083" w:type="dxa"/>
            <w:vAlign w:val="center"/>
          </w:tcPr>
          <w:p w14:paraId="5BDDA21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5 (JUN 12)</w:t>
            </w:r>
          </w:p>
        </w:tc>
        <w:tc>
          <w:tcPr>
            <w:tcW w:w="5083" w:type="dxa"/>
            <w:vAlign w:val="center"/>
          </w:tcPr>
          <w:p w14:paraId="60A0A55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Wargaming</w:t>
            </w:r>
            <w:proofErr w:type="spellEnd"/>
          </w:p>
        </w:tc>
        <w:tc>
          <w:tcPr>
            <w:tcW w:w="5083" w:type="dxa"/>
            <w:vAlign w:val="center"/>
          </w:tcPr>
          <w:p w14:paraId="0DF4226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SYNC Matrix.</w:t>
            </w:r>
          </w:p>
        </w:tc>
      </w:tr>
      <w:tr w:rsidR="00C6197B" w:rsidRPr="001D005D" w14:paraId="4F072951" w14:textId="77777777">
        <w:trPr>
          <w:jc w:val="center"/>
        </w:trPr>
        <w:tc>
          <w:tcPr>
            <w:tcW w:w="5083" w:type="dxa"/>
            <w:vAlign w:val="center"/>
          </w:tcPr>
          <w:p w14:paraId="073AB2A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6</w:t>
            </w:r>
          </w:p>
        </w:tc>
        <w:tc>
          <w:tcPr>
            <w:tcW w:w="5083" w:type="dxa"/>
            <w:vAlign w:val="center"/>
          </w:tcPr>
          <w:p w14:paraId="71E544B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Puelche</w:t>
            </w:r>
          </w:p>
        </w:tc>
        <w:tc>
          <w:tcPr>
            <w:tcW w:w="5083" w:type="dxa"/>
            <w:vAlign w:val="center"/>
          </w:tcPr>
          <w:p w14:paraId="03898D8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Reconocimiento / ejecución conforme a instrucciones del ejercicio.</w:t>
            </w:r>
          </w:p>
        </w:tc>
      </w:tr>
    </w:tbl>
    <w:p w14:paraId="60C8E7E2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br w:type="page"/>
      </w:r>
    </w:p>
    <w:p w14:paraId="1674B2AE" w14:textId="6AC19BFB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 xml:space="preserve">5. Rúbrica Nota 1: Desempeño </w:t>
      </w:r>
      <w:r w:rsid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táctico</w:t>
      </w:r>
    </w:p>
    <w:p w14:paraId="15F76E11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Puntaje total: 100 puntos. Esta nota evalúa la calidad técnico-profesional de la planificación presentada por cada alumno desde su rol específico dentro de la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Landing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Force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de compañía.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50"/>
        <w:gridCol w:w="3050"/>
        <w:gridCol w:w="3050"/>
        <w:gridCol w:w="3050"/>
        <w:gridCol w:w="3050"/>
      </w:tblGrid>
      <w:tr w:rsidR="00C6197B" w:rsidRPr="001D005D" w14:paraId="5425C407" w14:textId="77777777">
        <w:trPr>
          <w:jc w:val="center"/>
        </w:trPr>
        <w:tc>
          <w:tcPr>
            <w:tcW w:w="3050" w:type="dxa"/>
            <w:shd w:val="clear" w:color="auto" w:fill="D9EAF7"/>
            <w:vAlign w:val="center"/>
          </w:tcPr>
          <w:p w14:paraId="5046462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Criterio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32FD7CE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Puntaje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41ACF7F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Sobresaliente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23B0AC7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Adecuado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4BD5623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Insuficiente</w:t>
            </w:r>
          </w:p>
        </w:tc>
      </w:tr>
      <w:tr w:rsidR="00C6197B" w:rsidRPr="001D005D" w14:paraId="12C86B4A" w14:textId="77777777">
        <w:trPr>
          <w:jc w:val="center"/>
        </w:trPr>
        <w:tc>
          <w:tcPr>
            <w:tcW w:w="3050" w:type="dxa"/>
            <w:vAlign w:val="center"/>
          </w:tcPr>
          <w:p w14:paraId="47DE178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Empleo metodología BAMCIS</w:t>
            </w:r>
          </w:p>
        </w:tc>
        <w:tc>
          <w:tcPr>
            <w:tcW w:w="3050" w:type="dxa"/>
            <w:vAlign w:val="center"/>
          </w:tcPr>
          <w:p w14:paraId="2E39B83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775BE5F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Aplica de manera completa y lógica BAMCIS. Identifica misión, tiempo disponible, análisis METT-TC, curso de acción, emisión de órdenes y supervisión. La planificación evidencia secuencia, priorización y juicio táctico.</w:t>
            </w:r>
          </w:p>
        </w:tc>
        <w:tc>
          <w:tcPr>
            <w:tcW w:w="3050" w:type="dxa"/>
            <w:vAlign w:val="center"/>
          </w:tcPr>
          <w:p w14:paraId="1B9267D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Aplica BAMCIS en forma general, aunque con debilidades menores en secuencia, profundidad o conexión entre análisis y decisión.</w:t>
            </w:r>
          </w:p>
        </w:tc>
        <w:tc>
          <w:tcPr>
            <w:tcW w:w="3050" w:type="dxa"/>
            <w:vAlign w:val="center"/>
          </w:tcPr>
          <w:p w14:paraId="5AA54EA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Uso incompleto, superficial o desordenado de BAMCIS. La exposición no evidencia un método claro de planificación.</w:t>
            </w:r>
          </w:p>
        </w:tc>
      </w:tr>
      <w:tr w:rsidR="00C6197B" w:rsidRPr="001D005D" w14:paraId="18243776" w14:textId="77777777">
        <w:trPr>
          <w:jc w:val="center"/>
        </w:trPr>
        <w:tc>
          <w:tcPr>
            <w:tcW w:w="3050" w:type="dxa"/>
            <w:vAlign w:val="center"/>
          </w:tcPr>
          <w:p w14:paraId="2DC8B5F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Empleo de conceptos de doctrina de operaciones anfibias de la Armada</w:t>
            </w:r>
          </w:p>
        </w:tc>
        <w:tc>
          <w:tcPr>
            <w:tcW w:w="3050" w:type="dxa"/>
            <w:vAlign w:val="center"/>
          </w:tcPr>
          <w:p w14:paraId="07F8EA5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7343EFBD" w14:textId="0125DF6C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Integra correctamente conceptos propios de operaciones anfibias: relación ATF/LF, movimiento buque-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playa/objetivo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, 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documentos de </w:t>
            </w:r>
            <w:proofErr w:type="spellStart"/>
            <w:proofErr w:type="gramStart"/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desembarco,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olas</w:t>
            </w:r>
            <w:proofErr w:type="spellEnd"/>
            <w:proofErr w:type="gram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de desembarco, apoyo de botes, reconocimiento, fuegos, logística inicial, seguridad y consolidación de objetivos.</w:t>
            </w:r>
          </w:p>
        </w:tc>
        <w:tc>
          <w:tcPr>
            <w:tcW w:w="3050" w:type="dxa"/>
            <w:vAlign w:val="center"/>
          </w:tcPr>
          <w:p w14:paraId="10510C7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Emplea conceptos anfibios pertinentes, pero con omisiones o aplicación parcial al caso.</w:t>
            </w:r>
          </w:p>
        </w:tc>
        <w:tc>
          <w:tcPr>
            <w:tcW w:w="3050" w:type="dxa"/>
            <w:vAlign w:val="center"/>
          </w:tcPr>
          <w:p w14:paraId="1057ECC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emplea conceptos anfibios relevantes o los usa de forma incorrecta, genérica o desconectada del ejercicio.</w:t>
            </w:r>
          </w:p>
        </w:tc>
      </w:tr>
      <w:tr w:rsidR="00C6197B" w:rsidRPr="001D005D" w14:paraId="52D6BF06" w14:textId="77777777">
        <w:trPr>
          <w:jc w:val="center"/>
        </w:trPr>
        <w:tc>
          <w:tcPr>
            <w:tcW w:w="3050" w:type="dxa"/>
            <w:vAlign w:val="center"/>
          </w:tcPr>
          <w:p w14:paraId="40706C2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Simbología internacional OTAN y esquemas de maniobra</w:t>
            </w:r>
          </w:p>
        </w:tc>
        <w:tc>
          <w:tcPr>
            <w:tcW w:w="3050" w:type="dxa"/>
            <w:vAlign w:val="center"/>
          </w:tcPr>
          <w:p w14:paraId="33F2F10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0A15B55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Usa simbología OTAN/MIL-STD de forma clara, coherente y profesional. Los esquemas de maniobra son adecuados, legibles, tácticamente lógicos y propios de un futuro oficial.</w:t>
            </w:r>
          </w:p>
        </w:tc>
        <w:tc>
          <w:tcPr>
            <w:tcW w:w="3050" w:type="dxa"/>
            <w:vAlign w:val="center"/>
          </w:tcPr>
          <w:p w14:paraId="7DD9D67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Usa simbología y esquemas comprensibles, pero con errores menores de formato, precisión o claridad táctica.</w:t>
            </w:r>
          </w:p>
        </w:tc>
        <w:tc>
          <w:tcPr>
            <w:tcW w:w="3050" w:type="dxa"/>
            <w:vAlign w:val="center"/>
          </w:tcPr>
          <w:p w14:paraId="29057E9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Simbología incorrecta, esquemas confusos, poco profesionales o sin relación clara con la maniobra propuesta.</w:t>
            </w:r>
          </w:p>
        </w:tc>
      </w:tr>
      <w:tr w:rsidR="00C6197B" w:rsidRPr="001D005D" w14:paraId="66737E0A" w14:textId="77777777">
        <w:trPr>
          <w:jc w:val="center"/>
        </w:trPr>
        <w:tc>
          <w:tcPr>
            <w:tcW w:w="3050" w:type="dxa"/>
            <w:vAlign w:val="center"/>
          </w:tcPr>
          <w:p w14:paraId="136B244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Integración de materias anteriores de Táctica</w:t>
            </w:r>
          </w:p>
        </w:tc>
        <w:tc>
          <w:tcPr>
            <w:tcW w:w="3050" w:type="dxa"/>
            <w:vAlign w:val="center"/>
          </w:tcPr>
          <w:p w14:paraId="105C264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3A35C4F1" w14:textId="7784A2D1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Integra contenidos previos de la asignatura: METT-TC, MCOO, EMLCOA, COG,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task</w:t>
            </w:r>
            <w:proofErr w:type="spell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organization</w:t>
            </w:r>
            <w:proofErr w:type="spell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, CONOPS, fuegos, seguridad, reconocimiento, 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ofensa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y 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defensa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3050" w:type="dxa"/>
            <w:vAlign w:val="center"/>
          </w:tcPr>
          <w:p w14:paraId="3BD1262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Integra varias materias previas, pero con profundidad desigual o aplicación parcial.</w:t>
            </w:r>
          </w:p>
        </w:tc>
        <w:tc>
          <w:tcPr>
            <w:tcW w:w="3050" w:type="dxa"/>
            <w:vAlign w:val="center"/>
          </w:tcPr>
          <w:p w14:paraId="61B1360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integra materias previas o las menciona sin aplicarlas al problema táctico.</w:t>
            </w:r>
          </w:p>
        </w:tc>
      </w:tr>
      <w:tr w:rsidR="00C6197B" w:rsidRPr="001D005D" w14:paraId="14DCE8AC" w14:textId="77777777">
        <w:trPr>
          <w:jc w:val="center"/>
        </w:trPr>
        <w:tc>
          <w:tcPr>
            <w:tcW w:w="3050" w:type="dxa"/>
            <w:vAlign w:val="center"/>
          </w:tcPr>
          <w:p w14:paraId="77B7465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Coherencia de la solución operacional desde el rol asignado</w:t>
            </w:r>
          </w:p>
        </w:tc>
        <w:tc>
          <w:tcPr>
            <w:tcW w:w="3050" w:type="dxa"/>
            <w:vAlign w:val="center"/>
          </w:tcPr>
          <w:p w14:paraId="4D13138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6FE0453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propuesta del alumno es coherente con su rol, contribuye a la operación general y muestra coordinación con otros elementos de la compañía.</w:t>
            </w:r>
          </w:p>
        </w:tc>
        <w:tc>
          <w:tcPr>
            <w:tcW w:w="3050" w:type="dxa"/>
            <w:vAlign w:val="center"/>
          </w:tcPr>
          <w:p w14:paraId="09CBDA1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propuesta es razonable, aunque presenta vacíos de coordinación o detalles pendientes.</w:t>
            </w:r>
          </w:p>
        </w:tc>
        <w:tc>
          <w:tcPr>
            <w:tcW w:w="3050" w:type="dxa"/>
            <w:vAlign w:val="center"/>
          </w:tcPr>
          <w:p w14:paraId="6C79B9E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propuesta no se ajusta al rol, es inconexa o no contribuye claramente a la operación general.</w:t>
            </w:r>
          </w:p>
        </w:tc>
      </w:tr>
    </w:tbl>
    <w:p w14:paraId="79D6D297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br w:type="page"/>
      </w:r>
    </w:p>
    <w:p w14:paraId="4159EF54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>6. Rúbrica Nota 2: Exposición, defensa y profesionalismo</w:t>
      </w:r>
    </w:p>
    <w:p w14:paraId="323F48C0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>Puntaje total: 100 puntos. Esta nota evalúa la capacidad del alumno para comunicar, defender y explicar la planificación realizada, manteniendo claridad, formalidad y profesionalismo.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50"/>
        <w:gridCol w:w="3050"/>
        <w:gridCol w:w="3050"/>
        <w:gridCol w:w="3050"/>
        <w:gridCol w:w="3050"/>
      </w:tblGrid>
      <w:tr w:rsidR="00C6197B" w:rsidRPr="001D005D" w14:paraId="1ADA7720" w14:textId="77777777">
        <w:trPr>
          <w:jc w:val="center"/>
        </w:trPr>
        <w:tc>
          <w:tcPr>
            <w:tcW w:w="3050" w:type="dxa"/>
            <w:shd w:val="clear" w:color="auto" w:fill="D9EAF7"/>
            <w:vAlign w:val="center"/>
          </w:tcPr>
          <w:p w14:paraId="40D6C26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Criterio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09ED667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Puntaje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738032F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Sobresaliente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18307B9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Adecuado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1700F59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Insuficiente</w:t>
            </w:r>
          </w:p>
        </w:tc>
      </w:tr>
      <w:tr w:rsidR="00C6197B" w:rsidRPr="001D005D" w14:paraId="1731F336" w14:textId="77777777">
        <w:trPr>
          <w:jc w:val="center"/>
        </w:trPr>
        <w:tc>
          <w:tcPr>
            <w:tcW w:w="3050" w:type="dxa"/>
            <w:vAlign w:val="center"/>
          </w:tcPr>
          <w:p w14:paraId="4A18D53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Demuestra profesionalismo durante su trabajo</w:t>
            </w:r>
          </w:p>
        </w:tc>
        <w:tc>
          <w:tcPr>
            <w:tcW w:w="3050" w:type="dxa"/>
            <w:vAlign w:val="center"/>
          </w:tcPr>
          <w:p w14:paraId="35B8DA4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25</w:t>
            </w:r>
          </w:p>
        </w:tc>
        <w:tc>
          <w:tcPr>
            <w:tcW w:w="3050" w:type="dxa"/>
            <w:vAlign w:val="center"/>
          </w:tcPr>
          <w:p w14:paraId="0F9B99B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Actúa con seriedad, puntualidad, preparación, dominio del rol, lenguaje profesional y actitud propia de un futuro oficial. Responde preguntas con criterio y reconoce limitaciones cuando corresponde.</w:t>
            </w:r>
          </w:p>
        </w:tc>
        <w:tc>
          <w:tcPr>
            <w:tcW w:w="3050" w:type="dxa"/>
            <w:vAlign w:val="center"/>
          </w:tcPr>
          <w:p w14:paraId="5F64978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Mantiene una actitud adecuada, aunque con algunas debilidades de seguridad, preparación o dominio del rol.</w:t>
            </w:r>
          </w:p>
        </w:tc>
        <w:tc>
          <w:tcPr>
            <w:tcW w:w="3050" w:type="dxa"/>
            <w:vAlign w:val="center"/>
          </w:tcPr>
          <w:p w14:paraId="31153F8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Presenta falta de preparación, informalidad, desconocimiento de su rol o actitud poco profesional.</w:t>
            </w:r>
          </w:p>
        </w:tc>
      </w:tr>
      <w:tr w:rsidR="00C6197B" w:rsidRPr="001D005D" w14:paraId="129F83F6" w14:textId="77777777">
        <w:trPr>
          <w:jc w:val="center"/>
        </w:trPr>
        <w:tc>
          <w:tcPr>
            <w:tcW w:w="3050" w:type="dxa"/>
            <w:vAlign w:val="center"/>
          </w:tcPr>
          <w:p w14:paraId="724C0CB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Claridad y simpleza</w:t>
            </w:r>
          </w:p>
        </w:tc>
        <w:tc>
          <w:tcPr>
            <w:tcW w:w="3050" w:type="dxa"/>
            <w:vAlign w:val="center"/>
          </w:tcPr>
          <w:p w14:paraId="6A8FFDB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25</w:t>
            </w:r>
          </w:p>
        </w:tc>
        <w:tc>
          <w:tcPr>
            <w:tcW w:w="3050" w:type="dxa"/>
            <w:vAlign w:val="center"/>
          </w:tcPr>
          <w:p w14:paraId="3104B19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Expone de forma clara, simple y ordenada. Explica decisiones complejas sin exceso de tecnicismo innecesario. La audiencia comprende misión, maniobra, tareas y propósito.</w:t>
            </w:r>
          </w:p>
        </w:tc>
        <w:tc>
          <w:tcPr>
            <w:tcW w:w="3050" w:type="dxa"/>
            <w:vAlign w:val="center"/>
          </w:tcPr>
          <w:p w14:paraId="1C1DC77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exposición es comprensible, pero con momentos de desorden, exceso de detalle o falta de síntesis.</w:t>
            </w:r>
          </w:p>
        </w:tc>
        <w:tc>
          <w:tcPr>
            <w:tcW w:w="3050" w:type="dxa"/>
            <w:vAlign w:val="center"/>
          </w:tcPr>
          <w:p w14:paraId="3D7A29B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exposición es confusa, extensa, desordenada o impide comprender la solución propuesta.</w:t>
            </w:r>
          </w:p>
        </w:tc>
      </w:tr>
      <w:tr w:rsidR="00C6197B" w:rsidRPr="001D005D" w14:paraId="5D5543DE" w14:textId="77777777">
        <w:trPr>
          <w:jc w:val="center"/>
        </w:trPr>
        <w:tc>
          <w:tcPr>
            <w:tcW w:w="3050" w:type="dxa"/>
            <w:vAlign w:val="center"/>
          </w:tcPr>
          <w:p w14:paraId="0C96417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Dominio y defensa del plan presentado</w:t>
            </w:r>
          </w:p>
        </w:tc>
        <w:tc>
          <w:tcPr>
            <w:tcW w:w="3050" w:type="dxa"/>
            <w:vAlign w:val="center"/>
          </w:tcPr>
          <w:p w14:paraId="7B5A6EE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575DC41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Defiende la solución con fundamentos tácticos y doctrinarios. Responde preguntas sobre supuestos, riesgos, coordinación, sincronización y empleo de medios.</w:t>
            </w:r>
          </w:p>
        </w:tc>
        <w:tc>
          <w:tcPr>
            <w:tcW w:w="3050" w:type="dxa"/>
            <w:vAlign w:val="center"/>
          </w:tcPr>
          <w:p w14:paraId="4337E83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Responde preguntas principales, aunque con fundamentos parciales o dudas en aspectos específicos.</w:t>
            </w:r>
          </w:p>
        </w:tc>
        <w:tc>
          <w:tcPr>
            <w:tcW w:w="3050" w:type="dxa"/>
            <w:vAlign w:val="center"/>
          </w:tcPr>
          <w:p w14:paraId="52D5561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logra defender el plan, evade preguntas o demuestra desconocimiento de decisiones relevantes.</w:t>
            </w:r>
          </w:p>
        </w:tc>
      </w:tr>
      <w:tr w:rsidR="00C6197B" w:rsidRPr="001D005D" w14:paraId="003325E1" w14:textId="77777777">
        <w:trPr>
          <w:jc w:val="center"/>
        </w:trPr>
        <w:tc>
          <w:tcPr>
            <w:tcW w:w="3050" w:type="dxa"/>
            <w:vAlign w:val="center"/>
          </w:tcPr>
          <w:p w14:paraId="2B19715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Comunicación formal y empleo de apoyo visual</w:t>
            </w:r>
          </w:p>
        </w:tc>
        <w:tc>
          <w:tcPr>
            <w:tcW w:w="3050" w:type="dxa"/>
            <w:vAlign w:val="center"/>
          </w:tcPr>
          <w:p w14:paraId="0A1EF53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15</w:t>
            </w:r>
          </w:p>
        </w:tc>
        <w:tc>
          <w:tcPr>
            <w:tcW w:w="3050" w:type="dxa"/>
            <w:vAlign w:val="center"/>
          </w:tcPr>
          <w:p w14:paraId="60B1550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Utiliza lenguaje formal, tono adecuado, </w:t>
            </w:r>
            <w:proofErr w:type="gram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contacto visual y apoyo visual</w:t>
            </w:r>
            <w:proofErr w:type="gram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limpio, sobrio y funcional. No lee mecánicamente.</w:t>
            </w:r>
          </w:p>
        </w:tc>
        <w:tc>
          <w:tcPr>
            <w:tcW w:w="3050" w:type="dxa"/>
            <w:vAlign w:val="center"/>
          </w:tcPr>
          <w:p w14:paraId="0E17F3E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Comunicación aceptable, con dependencia parcial de notas o diapositivas.</w:t>
            </w:r>
          </w:p>
        </w:tc>
        <w:tc>
          <w:tcPr>
            <w:tcW w:w="3050" w:type="dxa"/>
            <w:vAlign w:val="center"/>
          </w:tcPr>
          <w:p w14:paraId="47F43F7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Comunicación informal, lectura excesiva, apoyo visual deficiente o poco profesional.</w:t>
            </w:r>
          </w:p>
        </w:tc>
      </w:tr>
      <w:tr w:rsidR="00C6197B" w:rsidRPr="001D005D" w14:paraId="0B1533E7" w14:textId="77777777">
        <w:trPr>
          <w:jc w:val="center"/>
        </w:trPr>
        <w:tc>
          <w:tcPr>
            <w:tcW w:w="3050" w:type="dxa"/>
            <w:vAlign w:val="center"/>
          </w:tcPr>
          <w:p w14:paraId="4540C8F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Coordinación con el equipo y consistencia entre expositores</w:t>
            </w:r>
          </w:p>
        </w:tc>
        <w:tc>
          <w:tcPr>
            <w:tcW w:w="3050" w:type="dxa"/>
            <w:vAlign w:val="center"/>
          </w:tcPr>
          <w:p w14:paraId="616A3CE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15</w:t>
            </w:r>
          </w:p>
        </w:tc>
        <w:tc>
          <w:tcPr>
            <w:tcW w:w="3050" w:type="dxa"/>
            <w:vAlign w:val="center"/>
          </w:tcPr>
          <w:p w14:paraId="43AECF8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exposición individual se integra con la presentación general. No existen contradicciones relevantes entre roles, fases, tareas o esquemas.</w:t>
            </w:r>
          </w:p>
        </w:tc>
        <w:tc>
          <w:tcPr>
            <w:tcW w:w="3050" w:type="dxa"/>
            <w:vAlign w:val="center"/>
          </w:tcPr>
          <w:p w14:paraId="245CE3B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Existe coordinación general, pero con algunos vacíos o diferencias menores entre expositores.</w:t>
            </w:r>
          </w:p>
        </w:tc>
        <w:tc>
          <w:tcPr>
            <w:tcW w:w="3050" w:type="dxa"/>
            <w:vAlign w:val="center"/>
          </w:tcPr>
          <w:p w14:paraId="1A996DC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presentación evidencia falta de coordinación, contradicciones importantes o desconocimiento del plan general.</w:t>
            </w:r>
          </w:p>
        </w:tc>
      </w:tr>
    </w:tbl>
    <w:p w14:paraId="4C42FB6F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br w:type="page"/>
      </w:r>
    </w:p>
    <w:p w14:paraId="40B4AEE9" w14:textId="4AA52151" w:rsidR="00C6197B" w:rsidRPr="001D005D" w:rsidRDefault="001D005D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>7</w:t>
      </w:r>
      <w:r w:rsidR="00000000"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. Penalizaciones sugeridas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625"/>
        <w:gridCol w:w="7625"/>
      </w:tblGrid>
      <w:tr w:rsidR="00C6197B" w:rsidRPr="001D005D" w14:paraId="6FF30DA2" w14:textId="77777777">
        <w:trPr>
          <w:jc w:val="center"/>
        </w:trPr>
        <w:tc>
          <w:tcPr>
            <w:tcW w:w="7625" w:type="dxa"/>
            <w:shd w:val="clear" w:color="auto" w:fill="D9EAF7"/>
            <w:vAlign w:val="center"/>
          </w:tcPr>
          <w:p w14:paraId="6EA6F57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Falta observada</w:t>
            </w:r>
          </w:p>
        </w:tc>
        <w:tc>
          <w:tcPr>
            <w:tcW w:w="7625" w:type="dxa"/>
            <w:shd w:val="clear" w:color="auto" w:fill="D9EAF7"/>
            <w:vAlign w:val="center"/>
          </w:tcPr>
          <w:p w14:paraId="1623A16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Penalización sugerida</w:t>
            </w:r>
          </w:p>
        </w:tc>
      </w:tr>
      <w:tr w:rsidR="00C6197B" w:rsidRPr="001D005D" w14:paraId="3AB5B746" w14:textId="77777777">
        <w:trPr>
          <w:jc w:val="center"/>
        </w:trPr>
        <w:tc>
          <w:tcPr>
            <w:tcW w:w="7625" w:type="dxa"/>
            <w:vAlign w:val="center"/>
          </w:tcPr>
          <w:p w14:paraId="5A5EE24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participa activamente en la preparación del equipo</w:t>
            </w:r>
          </w:p>
        </w:tc>
        <w:tc>
          <w:tcPr>
            <w:tcW w:w="7625" w:type="dxa"/>
            <w:vAlign w:val="center"/>
          </w:tcPr>
          <w:p w14:paraId="051CBE1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en la nota correspondiente</w:t>
            </w:r>
          </w:p>
        </w:tc>
      </w:tr>
      <w:tr w:rsidR="00C6197B" w:rsidRPr="001D005D" w14:paraId="1C47881C" w14:textId="77777777">
        <w:trPr>
          <w:jc w:val="center"/>
        </w:trPr>
        <w:tc>
          <w:tcPr>
            <w:tcW w:w="7625" w:type="dxa"/>
            <w:vAlign w:val="center"/>
          </w:tcPr>
          <w:p w14:paraId="6844CB6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domina el rol asignado</w:t>
            </w:r>
          </w:p>
        </w:tc>
        <w:tc>
          <w:tcPr>
            <w:tcW w:w="7625" w:type="dxa"/>
            <w:vAlign w:val="center"/>
          </w:tcPr>
          <w:p w14:paraId="323AFEA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-25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5AA33F91" w14:textId="77777777">
        <w:trPr>
          <w:jc w:val="center"/>
        </w:trPr>
        <w:tc>
          <w:tcPr>
            <w:tcW w:w="7625" w:type="dxa"/>
            <w:vAlign w:val="center"/>
          </w:tcPr>
          <w:p w14:paraId="7F3D6C4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emplea BAMCIS o lo usa de manera puramente nominal</w:t>
            </w:r>
          </w:p>
        </w:tc>
        <w:tc>
          <w:tcPr>
            <w:tcW w:w="7625" w:type="dxa"/>
            <w:vAlign w:val="center"/>
          </w:tcPr>
          <w:p w14:paraId="7270561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37EA5E83" w14:textId="77777777">
        <w:trPr>
          <w:jc w:val="center"/>
        </w:trPr>
        <w:tc>
          <w:tcPr>
            <w:tcW w:w="7625" w:type="dxa"/>
            <w:vAlign w:val="center"/>
          </w:tcPr>
          <w:p w14:paraId="43CA72B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integra doctrina anfibia de la Armada</w:t>
            </w:r>
          </w:p>
        </w:tc>
        <w:tc>
          <w:tcPr>
            <w:tcW w:w="7625" w:type="dxa"/>
            <w:vAlign w:val="center"/>
          </w:tcPr>
          <w:p w14:paraId="489FDCE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75B8D031" w14:textId="77777777">
        <w:trPr>
          <w:jc w:val="center"/>
        </w:trPr>
        <w:tc>
          <w:tcPr>
            <w:tcW w:w="7625" w:type="dxa"/>
            <w:vAlign w:val="center"/>
          </w:tcPr>
          <w:p w14:paraId="3538A43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Simbología incorrecta o esquemas ilegibles</w:t>
            </w:r>
          </w:p>
        </w:tc>
        <w:tc>
          <w:tcPr>
            <w:tcW w:w="7625" w:type="dxa"/>
            <w:vAlign w:val="center"/>
          </w:tcPr>
          <w:p w14:paraId="590025D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-5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56E4BB40" w14:textId="77777777">
        <w:trPr>
          <w:jc w:val="center"/>
        </w:trPr>
        <w:tc>
          <w:tcPr>
            <w:tcW w:w="7625" w:type="dxa"/>
            <w:vAlign w:val="center"/>
          </w:tcPr>
          <w:p w14:paraId="4E17EA4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Exposición informal o poco profesional</w:t>
            </w:r>
          </w:p>
        </w:tc>
        <w:tc>
          <w:tcPr>
            <w:tcW w:w="7625" w:type="dxa"/>
            <w:vAlign w:val="center"/>
          </w:tcPr>
          <w:p w14:paraId="06827C3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-5 a -15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2C29287F" w14:textId="77777777">
        <w:trPr>
          <w:jc w:val="center"/>
        </w:trPr>
        <w:tc>
          <w:tcPr>
            <w:tcW w:w="7625" w:type="dxa"/>
            <w:vAlign w:val="center"/>
          </w:tcPr>
          <w:p w14:paraId="1FF05B9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Lectura mecánica sin explicación ni defensa</w:t>
            </w:r>
          </w:p>
        </w:tc>
        <w:tc>
          <w:tcPr>
            <w:tcW w:w="7625" w:type="dxa"/>
            <w:vAlign w:val="center"/>
          </w:tcPr>
          <w:p w14:paraId="62F6ABC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-5 a -15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24201FEA" w14:textId="77777777">
        <w:trPr>
          <w:jc w:val="center"/>
        </w:trPr>
        <w:tc>
          <w:tcPr>
            <w:tcW w:w="7625" w:type="dxa"/>
            <w:vAlign w:val="center"/>
          </w:tcPr>
          <w:p w14:paraId="420347E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Contradicciones graves con el plan general del equipo</w:t>
            </w:r>
          </w:p>
        </w:tc>
        <w:tc>
          <w:tcPr>
            <w:tcW w:w="7625" w:type="dxa"/>
            <w:vAlign w:val="center"/>
          </w:tcPr>
          <w:p w14:paraId="12E9885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</w:tbl>
    <w:p w14:paraId="4922A0E8" w14:textId="366713C7" w:rsidR="00C6197B" w:rsidRPr="001D005D" w:rsidRDefault="00C6197B">
      <w:pPr>
        <w:rPr>
          <w:lang w:val="es-ES_tradnl"/>
        </w:rPr>
      </w:pPr>
    </w:p>
    <w:sectPr w:rsidR="00C6197B" w:rsidRPr="001D005D" w:rsidSect="00034616">
      <w:footerReference w:type="default" r:id="rId8"/>
      <w:pgSz w:w="16838" w:h="11906" w:orient="landscape"/>
      <w:pgMar w:top="794" w:right="794" w:bottom="794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8440" w14:textId="77777777" w:rsidR="00262B07" w:rsidRDefault="00262B07">
      <w:pPr>
        <w:spacing w:after="0" w:line="240" w:lineRule="auto"/>
      </w:pPr>
      <w:r>
        <w:separator/>
      </w:r>
    </w:p>
  </w:endnote>
  <w:endnote w:type="continuationSeparator" w:id="0">
    <w:p w14:paraId="7EB99FF6" w14:textId="77777777" w:rsidR="00262B07" w:rsidRDefault="0026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2785" w14:textId="77777777" w:rsidR="00C6197B" w:rsidRDefault="00000000">
    <w:pPr>
      <w:pStyle w:val="Piedepgina"/>
      <w:jc w:val="center"/>
    </w:pPr>
    <w:proofErr w:type="spellStart"/>
    <w:r>
      <w:rPr>
        <w:color w:val="646464"/>
        <w:sz w:val="16"/>
      </w:rPr>
      <w:t>Ejercicio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ficticio</w:t>
    </w:r>
    <w:proofErr w:type="spellEnd"/>
    <w:r>
      <w:rPr>
        <w:color w:val="646464"/>
        <w:sz w:val="16"/>
      </w:rPr>
      <w:t xml:space="preserve"> para fines </w:t>
    </w:r>
    <w:proofErr w:type="spellStart"/>
    <w:r>
      <w:rPr>
        <w:color w:val="646464"/>
        <w:sz w:val="16"/>
      </w:rPr>
      <w:t>educacionales</w:t>
    </w:r>
    <w:proofErr w:type="spellEnd"/>
    <w:r>
      <w:rPr>
        <w:color w:val="646464"/>
        <w:sz w:val="16"/>
      </w:rPr>
      <w:t xml:space="preserve"> - Escuela Naval / </w:t>
    </w:r>
    <w:proofErr w:type="spellStart"/>
    <w:r>
      <w:rPr>
        <w:color w:val="646464"/>
        <w:sz w:val="16"/>
      </w:rPr>
      <w:t>Operaciones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Anfibias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F9AC" w14:textId="77777777" w:rsidR="00262B07" w:rsidRDefault="00262B07">
      <w:pPr>
        <w:spacing w:after="0" w:line="240" w:lineRule="auto"/>
      </w:pPr>
      <w:r>
        <w:separator/>
      </w:r>
    </w:p>
  </w:footnote>
  <w:footnote w:type="continuationSeparator" w:id="0">
    <w:p w14:paraId="241EAF0A" w14:textId="77777777" w:rsidR="00262B07" w:rsidRDefault="00262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2672159">
    <w:abstractNumId w:val="8"/>
  </w:num>
  <w:num w:numId="2" w16cid:durableId="1057127719">
    <w:abstractNumId w:val="6"/>
  </w:num>
  <w:num w:numId="3" w16cid:durableId="1541354095">
    <w:abstractNumId w:val="5"/>
  </w:num>
  <w:num w:numId="4" w16cid:durableId="63839622">
    <w:abstractNumId w:val="4"/>
  </w:num>
  <w:num w:numId="5" w16cid:durableId="772867647">
    <w:abstractNumId w:val="7"/>
  </w:num>
  <w:num w:numId="6" w16cid:durableId="1646668016">
    <w:abstractNumId w:val="3"/>
  </w:num>
  <w:num w:numId="7" w16cid:durableId="370613391">
    <w:abstractNumId w:val="2"/>
  </w:num>
  <w:num w:numId="8" w16cid:durableId="1544059116">
    <w:abstractNumId w:val="1"/>
  </w:num>
  <w:num w:numId="9" w16cid:durableId="960696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D005D"/>
    <w:rsid w:val="00262B07"/>
    <w:rsid w:val="0029639D"/>
    <w:rsid w:val="00326F90"/>
    <w:rsid w:val="008B6ED8"/>
    <w:rsid w:val="00AA1D8D"/>
    <w:rsid w:val="00B47730"/>
    <w:rsid w:val="00C6197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263D3"/>
  <w14:defaultImageDpi w14:val="300"/>
  <w15:docId w15:val="{889CCA25-AB7C-8D4E-BA72-94E272A9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1084</Words>
  <Characters>6583</Characters>
  <Application>Microsoft Office Word</Application>
  <DocSecurity>0</DocSecurity>
  <Lines>253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Friedrich von der Weth</cp:lastModifiedBy>
  <cp:revision>2</cp:revision>
  <dcterms:created xsi:type="dcterms:W3CDTF">2013-12-23T23:15:00Z</dcterms:created>
  <dcterms:modified xsi:type="dcterms:W3CDTF">2026-05-17T02:15:00Z</dcterms:modified>
  <cp:category/>
</cp:coreProperties>
</file>