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237162010"/>
        <w:docPartObj>
          <w:docPartGallery w:val="Cover Pages"/>
          <w:docPartUnique/>
        </w:docPartObj>
      </w:sdtPr>
      <w:sdtEndPr>
        <w:rPr>
          <w:noProof/>
          <w:lang w:eastAsia="es-419"/>
        </w:rPr>
      </w:sdtEndPr>
      <w:sdtContent>
        <w:p w14:paraId="535BA8C4" w14:textId="43FCFA78" w:rsidR="007E0744" w:rsidRPr="006478E0" w:rsidRDefault="007E0744">
          <w:pPr>
            <w:rPr>
              <w:rFonts w:ascii="Arial" w:hAnsi="Arial" w:cs="Arial"/>
              <w:sz w:val="24"/>
              <w:szCs w:val="24"/>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058"/>
          </w:tblGrid>
          <w:tr w:rsidR="007E0744" w:rsidRPr="006478E0" w14:paraId="37AB68B3" w14:textId="77777777">
            <w:tc>
              <w:tcPr>
                <w:tcW w:w="7672" w:type="dxa"/>
                <w:tcMar>
                  <w:top w:w="216" w:type="dxa"/>
                  <w:left w:w="115" w:type="dxa"/>
                  <w:bottom w:w="216" w:type="dxa"/>
                  <w:right w:w="115" w:type="dxa"/>
                </w:tcMar>
              </w:tcPr>
              <w:p w14:paraId="7E665A84" w14:textId="5F6E786E" w:rsidR="007E0744" w:rsidRPr="002430E3" w:rsidRDefault="007E0744">
                <w:pPr>
                  <w:pStyle w:val="Sinespaciado"/>
                  <w:rPr>
                    <w:rFonts w:ascii="Arial" w:hAnsi="Arial" w:cs="Arial"/>
                    <w:color w:val="2F5496" w:themeColor="accent1" w:themeShade="BF"/>
                    <w:sz w:val="44"/>
                    <w:szCs w:val="44"/>
                  </w:rPr>
                </w:pPr>
              </w:p>
            </w:tc>
          </w:tr>
          <w:tr w:rsidR="007E0744" w:rsidRPr="002430E3" w14:paraId="326E5D80" w14:textId="77777777">
            <w:tc>
              <w:tcPr>
                <w:tcW w:w="7672" w:type="dxa"/>
              </w:tcPr>
              <w:sdt>
                <w:sdtPr>
                  <w:rPr>
                    <w:rFonts w:ascii="Arial" w:eastAsiaTheme="majorEastAsia" w:hAnsi="Arial" w:cs="Arial"/>
                    <w:sz w:val="44"/>
                    <w:szCs w:val="44"/>
                  </w:rPr>
                  <w:alias w:val="Título"/>
                  <w:id w:val="13406919"/>
                  <w:placeholder>
                    <w:docPart w:val="332928FF4E184AA9A7EEEA74E45FDD98"/>
                  </w:placeholder>
                  <w:dataBinding w:prefixMappings="xmlns:ns0='http://schemas.openxmlformats.org/package/2006/metadata/core-properties' xmlns:ns1='http://purl.org/dc/elements/1.1/'" w:xpath="/ns0:coreProperties[1]/ns1:title[1]" w:storeItemID="{6C3C8BC8-F283-45AE-878A-BAB7291924A1}"/>
                  <w:text/>
                </w:sdtPr>
                <w:sdtContent>
                  <w:p w14:paraId="45DC607C" w14:textId="3DF01975" w:rsidR="007E0744" w:rsidRPr="002430E3" w:rsidRDefault="002430E3">
                    <w:pPr>
                      <w:pStyle w:val="Sinespaciado"/>
                      <w:spacing w:line="216" w:lineRule="auto"/>
                      <w:rPr>
                        <w:rFonts w:ascii="Arial" w:eastAsiaTheme="majorEastAsia" w:hAnsi="Arial" w:cs="Arial"/>
                        <w:sz w:val="44"/>
                        <w:szCs w:val="44"/>
                      </w:rPr>
                    </w:pPr>
                    <w:r w:rsidRPr="002430E3">
                      <w:rPr>
                        <w:rFonts w:ascii="Arial" w:eastAsiaTheme="majorEastAsia" w:hAnsi="Arial" w:cs="Arial"/>
                        <w:sz w:val="44"/>
                        <w:szCs w:val="44"/>
                      </w:rPr>
                      <w:t>EVOLUCIÓN DE LOS BUQUES DE GUERRA Y SU IMPACTO LOGÍSTICA</w:t>
                    </w:r>
                  </w:p>
                </w:sdtContent>
              </w:sdt>
            </w:tc>
          </w:tr>
          <w:tr w:rsidR="007E0744" w:rsidRPr="002430E3" w14:paraId="28ADBCC9" w14:textId="77777777">
            <w:sdt>
              <w:sdtPr>
                <w:rPr>
                  <w:rFonts w:ascii="Arial" w:hAnsi="Arial" w:cs="Arial"/>
                  <w:sz w:val="24"/>
                  <w:szCs w:val="24"/>
                </w:rPr>
                <w:alias w:val="Subtítulo"/>
                <w:id w:val="13406923"/>
                <w:placeholder>
                  <w:docPart w:val="5EA8A0CFD10F4D638F3DBF17B1E86CC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F05B2EB" w14:textId="37100A39" w:rsidR="007E0744" w:rsidRPr="002430E3" w:rsidRDefault="007E0744">
                    <w:pPr>
                      <w:pStyle w:val="Sinespaciado"/>
                      <w:rPr>
                        <w:rFonts w:ascii="Arial" w:hAnsi="Arial" w:cs="Arial"/>
                        <w:sz w:val="24"/>
                        <w:szCs w:val="24"/>
                      </w:rPr>
                    </w:pPr>
                    <w:r w:rsidRPr="002430E3">
                      <w:rPr>
                        <w:rFonts w:ascii="Arial" w:hAnsi="Arial" w:cs="Arial"/>
                        <w:sz w:val="24"/>
                        <w:szCs w:val="24"/>
                      </w:rPr>
                      <w:t>Valentina Vergara Zamora</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818"/>
          </w:tblGrid>
          <w:tr w:rsidR="007E0744" w:rsidRPr="002430E3" w14:paraId="596E8A88" w14:textId="77777777">
            <w:tc>
              <w:tcPr>
                <w:tcW w:w="7221" w:type="dxa"/>
                <w:tcMar>
                  <w:top w:w="216" w:type="dxa"/>
                  <w:left w:w="115" w:type="dxa"/>
                  <w:bottom w:w="216" w:type="dxa"/>
                  <w:right w:w="115" w:type="dxa"/>
                </w:tcMar>
              </w:tcPr>
              <w:sdt>
                <w:sdtPr>
                  <w:rPr>
                    <w:rFonts w:ascii="Arial" w:hAnsi="Arial" w:cs="Arial"/>
                    <w:sz w:val="24"/>
                    <w:szCs w:val="24"/>
                  </w:rPr>
                  <w:alias w:val="Autor"/>
                  <w:id w:val="13406928"/>
                  <w:placeholder>
                    <w:docPart w:val="13188FB8A9394276B23675830728B6DC"/>
                  </w:placeholder>
                  <w:dataBinding w:prefixMappings="xmlns:ns0='http://schemas.openxmlformats.org/package/2006/metadata/core-properties' xmlns:ns1='http://purl.org/dc/elements/1.1/'" w:xpath="/ns0:coreProperties[1]/ns1:creator[1]" w:storeItemID="{6C3C8BC8-F283-45AE-878A-BAB7291924A1}"/>
                  <w:text/>
                </w:sdtPr>
                <w:sdtContent>
                  <w:p w14:paraId="2C303593" w14:textId="75729272" w:rsidR="007E0744" w:rsidRPr="002430E3" w:rsidRDefault="007E0744">
                    <w:pPr>
                      <w:pStyle w:val="Sinespaciado"/>
                      <w:rPr>
                        <w:rFonts w:ascii="Arial" w:hAnsi="Arial" w:cs="Arial"/>
                        <w:sz w:val="24"/>
                        <w:szCs w:val="24"/>
                      </w:rPr>
                    </w:pPr>
                    <w:r w:rsidRPr="002430E3">
                      <w:rPr>
                        <w:rFonts w:ascii="Arial" w:hAnsi="Arial" w:cs="Arial"/>
                        <w:sz w:val="24"/>
                        <w:szCs w:val="24"/>
                      </w:rPr>
                      <w:t>4TO Abastecimiento</w:t>
                    </w:r>
                  </w:p>
                </w:sdtContent>
              </w:sdt>
              <w:sdt>
                <w:sdtPr>
                  <w:rPr>
                    <w:rFonts w:ascii="Arial" w:hAnsi="Arial" w:cs="Arial"/>
                    <w:sz w:val="24"/>
                    <w:szCs w:val="24"/>
                  </w:rPr>
                  <w:alias w:val="Fecha"/>
                  <w:tag w:val="Fecha"/>
                  <w:id w:val="13406932"/>
                  <w:placeholder>
                    <w:docPart w:val="C7AA36666D6F4D63AF6277762F400D3F"/>
                  </w:placeholder>
                  <w:dataBinding w:prefixMappings="xmlns:ns0='http://schemas.microsoft.com/office/2006/coverPageProps'" w:xpath="/ns0:CoverPageProperties[1]/ns0:PublishDate[1]" w:storeItemID="{55AF091B-3C7A-41E3-B477-F2FDAA23CFDA}"/>
                  <w:date w:fullDate="2026-07-13T00:00:00Z">
                    <w:dateFormat w:val="d-M-yyyy"/>
                    <w:lid w:val="es-ES"/>
                    <w:storeMappedDataAs w:val="dateTime"/>
                    <w:calendar w:val="gregorian"/>
                  </w:date>
                </w:sdtPr>
                <w:sdtContent>
                  <w:p w14:paraId="508417FA" w14:textId="7B740BBC" w:rsidR="007E0744" w:rsidRPr="002430E3" w:rsidRDefault="007E0744">
                    <w:pPr>
                      <w:pStyle w:val="Sinespaciado"/>
                      <w:rPr>
                        <w:rFonts w:ascii="Arial" w:hAnsi="Arial" w:cs="Arial"/>
                        <w:sz w:val="24"/>
                        <w:szCs w:val="24"/>
                      </w:rPr>
                    </w:pPr>
                    <w:r w:rsidRPr="002430E3">
                      <w:rPr>
                        <w:rFonts w:ascii="Arial" w:hAnsi="Arial" w:cs="Arial"/>
                        <w:sz w:val="24"/>
                        <w:szCs w:val="24"/>
                        <w:lang w:val="es-ES"/>
                      </w:rPr>
                      <w:t>13-7-2026</w:t>
                    </w:r>
                  </w:p>
                </w:sdtContent>
              </w:sdt>
              <w:p w14:paraId="7698A7E9" w14:textId="77777777" w:rsidR="007E0744" w:rsidRPr="002430E3" w:rsidRDefault="007E0744">
                <w:pPr>
                  <w:pStyle w:val="Sinespaciado"/>
                  <w:rPr>
                    <w:rFonts w:ascii="Arial" w:hAnsi="Arial" w:cs="Arial"/>
                    <w:sz w:val="24"/>
                    <w:szCs w:val="24"/>
                  </w:rPr>
                </w:pPr>
              </w:p>
            </w:tc>
          </w:tr>
        </w:tbl>
        <w:p w14:paraId="71E219CE" w14:textId="77777777" w:rsidR="007E0744" w:rsidRPr="002430E3" w:rsidRDefault="007E0744">
          <w:pPr>
            <w:rPr>
              <w:rFonts w:ascii="Arial" w:eastAsiaTheme="minorEastAsia" w:hAnsi="Arial" w:cs="Arial"/>
              <w:noProof/>
              <w:kern w:val="0"/>
              <w:sz w:val="24"/>
              <w:szCs w:val="24"/>
              <w:lang w:eastAsia="es-419"/>
              <w14:ligatures w14:val="none"/>
            </w:rPr>
          </w:pPr>
          <w:r w:rsidRPr="002430E3">
            <w:rPr>
              <w:rFonts w:ascii="Arial" w:eastAsiaTheme="minorEastAsia" w:hAnsi="Arial" w:cs="Arial"/>
              <w:noProof/>
              <w:kern w:val="0"/>
              <w:sz w:val="24"/>
              <w:szCs w:val="24"/>
              <w:lang w:eastAsia="es-419"/>
              <w14:ligatures w14:val="none"/>
            </w:rPr>
            <w:br w:type="page"/>
          </w:r>
        </w:p>
        <w:bookmarkStart w:id="0" w:name="_Toc234399875" w:displacedByCustomXml="next"/>
        <w:bookmarkEnd w:id="0" w:displacedByCustomXml="next"/>
        <w:sdt>
          <w:sdtPr>
            <w:rPr>
              <w:rFonts w:ascii="Arial" w:hAnsi="Arial" w:cs="Arial"/>
              <w:sz w:val="24"/>
              <w:szCs w:val="24"/>
              <w:lang w:val="es-ES"/>
            </w:rPr>
            <w:id w:val="-416708959"/>
            <w:docPartObj>
              <w:docPartGallery w:val="Table of Contents"/>
              <w:docPartUnique/>
            </w:docPartObj>
          </w:sdtPr>
          <w:sdtEndPr>
            <w:rPr>
              <w:rFonts w:eastAsiaTheme="minorEastAsia"/>
              <w:color w:val="auto"/>
            </w:rPr>
          </w:sdtEndPr>
          <w:sdtContent>
            <w:p w14:paraId="5F35B25C" w14:textId="38913FB3" w:rsidR="007E0744" w:rsidRDefault="002430E3">
              <w:pPr>
                <w:pStyle w:val="TtuloTDC"/>
                <w:rPr>
                  <w:rFonts w:ascii="Arial" w:hAnsi="Arial" w:cs="Arial"/>
                  <w:sz w:val="24"/>
                  <w:szCs w:val="24"/>
                  <w:lang w:val="es-ES"/>
                </w:rPr>
              </w:pPr>
              <w:r>
                <w:rPr>
                  <w:rFonts w:ascii="Arial" w:hAnsi="Arial" w:cs="Arial"/>
                  <w:sz w:val="24"/>
                  <w:szCs w:val="24"/>
                  <w:lang w:val="es-ES"/>
                </w:rPr>
                <w:t>ÍNDICE</w:t>
              </w:r>
            </w:p>
            <w:p w14:paraId="03792024" w14:textId="77777777" w:rsidR="002430E3" w:rsidRPr="002430E3" w:rsidRDefault="002430E3" w:rsidP="002430E3">
              <w:pPr>
                <w:rPr>
                  <w:lang w:val="es-ES" w:eastAsia="es-419"/>
                </w:rPr>
              </w:pPr>
            </w:p>
            <w:p w14:paraId="60C63332" w14:textId="1D7A1CC9" w:rsidR="007E0744" w:rsidRPr="006478E0" w:rsidRDefault="007E0744" w:rsidP="007E0744">
              <w:pPr>
                <w:pStyle w:val="TDC1"/>
                <w:numPr>
                  <w:ilvl w:val="0"/>
                  <w:numId w:val="4"/>
                </w:numPr>
                <w:rPr>
                  <w:rFonts w:ascii="Arial" w:hAnsi="Arial" w:cs="Arial"/>
                  <w:sz w:val="24"/>
                  <w:szCs w:val="24"/>
                </w:rPr>
              </w:pPr>
              <w:r w:rsidRPr="006478E0">
                <w:rPr>
                  <w:rFonts w:ascii="Arial" w:hAnsi="Arial" w:cs="Arial"/>
                  <w:b/>
                  <w:bCs/>
                  <w:sz w:val="24"/>
                  <w:szCs w:val="24"/>
                </w:rPr>
                <w:t>Introducción</w:t>
              </w:r>
              <w:r w:rsidRPr="006478E0">
                <w:rPr>
                  <w:rFonts w:ascii="Arial" w:hAnsi="Arial" w:cs="Arial"/>
                  <w:sz w:val="24"/>
                  <w:szCs w:val="24"/>
                </w:rPr>
                <w:ptab w:relativeTo="margin" w:alignment="right" w:leader="dot"/>
              </w:r>
              <w:r w:rsidR="002430E3" w:rsidRPr="002430E3">
                <w:rPr>
                  <w:rFonts w:ascii="Arial" w:hAnsi="Arial" w:cs="Arial"/>
                  <w:b/>
                  <w:bCs/>
                  <w:sz w:val="24"/>
                  <w:szCs w:val="24"/>
                </w:rPr>
                <w:t>2</w:t>
              </w:r>
            </w:p>
            <w:p w14:paraId="2EA6F808" w14:textId="01AE2AF6" w:rsidR="007E0744" w:rsidRPr="006478E0" w:rsidRDefault="007E0744" w:rsidP="007E0744">
              <w:pPr>
                <w:pStyle w:val="TDC1"/>
                <w:numPr>
                  <w:ilvl w:val="0"/>
                  <w:numId w:val="4"/>
                </w:numPr>
                <w:rPr>
                  <w:rFonts w:ascii="Arial" w:hAnsi="Arial" w:cs="Arial"/>
                  <w:sz w:val="24"/>
                  <w:szCs w:val="24"/>
                </w:rPr>
              </w:pPr>
              <w:r w:rsidRPr="006478E0">
                <w:rPr>
                  <w:rFonts w:ascii="Arial" w:hAnsi="Arial" w:cs="Arial"/>
                  <w:b/>
                  <w:bCs/>
                  <w:sz w:val="24"/>
                  <w:szCs w:val="24"/>
                </w:rPr>
                <w:t>Desarrollo</w:t>
              </w:r>
              <w:r w:rsidRPr="006478E0">
                <w:rPr>
                  <w:rFonts w:ascii="Arial" w:hAnsi="Arial" w:cs="Arial"/>
                  <w:sz w:val="24"/>
                  <w:szCs w:val="24"/>
                </w:rPr>
                <w:ptab w:relativeTo="margin" w:alignment="right" w:leader="dot"/>
              </w:r>
              <w:r w:rsidR="002430E3">
                <w:rPr>
                  <w:rFonts w:ascii="Arial" w:hAnsi="Arial" w:cs="Arial"/>
                  <w:b/>
                  <w:bCs/>
                  <w:sz w:val="24"/>
                  <w:szCs w:val="24"/>
                  <w:lang w:val="es-ES"/>
                </w:rPr>
                <w:t>3</w:t>
              </w:r>
            </w:p>
            <w:p w14:paraId="481B7449" w14:textId="067AE652" w:rsidR="007E0744" w:rsidRPr="006478E0" w:rsidRDefault="007E0744" w:rsidP="007E0744">
              <w:pPr>
                <w:pStyle w:val="TDC1"/>
                <w:numPr>
                  <w:ilvl w:val="1"/>
                  <w:numId w:val="4"/>
                </w:numPr>
                <w:rPr>
                  <w:rFonts w:ascii="Arial" w:hAnsi="Arial" w:cs="Arial"/>
                  <w:sz w:val="24"/>
                  <w:szCs w:val="24"/>
                </w:rPr>
              </w:pPr>
              <w:r w:rsidRPr="006478E0">
                <w:rPr>
                  <w:rFonts w:ascii="Arial" w:hAnsi="Arial" w:cs="Arial"/>
                  <w:sz w:val="24"/>
                  <w:szCs w:val="24"/>
                </w:rPr>
                <w:t>Evolución histórica</w:t>
              </w:r>
              <w:r w:rsidRPr="006478E0">
                <w:rPr>
                  <w:rFonts w:ascii="Arial" w:hAnsi="Arial" w:cs="Arial"/>
                  <w:sz w:val="24"/>
                  <w:szCs w:val="24"/>
                </w:rPr>
                <w:ptab w:relativeTo="margin" w:alignment="right" w:leader="dot"/>
              </w:r>
              <w:r w:rsidR="002430E3">
                <w:rPr>
                  <w:rFonts w:ascii="Arial" w:hAnsi="Arial" w:cs="Arial"/>
                  <w:sz w:val="24"/>
                  <w:szCs w:val="24"/>
                  <w:lang w:val="es-ES"/>
                </w:rPr>
                <w:t>3</w:t>
              </w:r>
            </w:p>
            <w:p w14:paraId="1D30B699" w14:textId="17CB816F" w:rsidR="007E0744" w:rsidRPr="006478E0" w:rsidRDefault="007E0744" w:rsidP="007E0744">
              <w:pPr>
                <w:pStyle w:val="TDC2"/>
                <w:numPr>
                  <w:ilvl w:val="1"/>
                  <w:numId w:val="4"/>
                </w:numPr>
                <w:rPr>
                  <w:rFonts w:ascii="Arial" w:hAnsi="Arial" w:cs="Arial"/>
                  <w:sz w:val="24"/>
                  <w:szCs w:val="24"/>
                </w:rPr>
              </w:pPr>
              <w:r w:rsidRPr="006478E0">
                <w:rPr>
                  <w:rFonts w:ascii="Arial" w:hAnsi="Arial" w:cs="Arial"/>
                  <w:sz w:val="24"/>
                  <w:szCs w:val="24"/>
                </w:rPr>
                <w:t>Impacto Logístico</w:t>
              </w:r>
              <w:r w:rsidRPr="006478E0">
                <w:rPr>
                  <w:rFonts w:ascii="Arial" w:hAnsi="Arial" w:cs="Arial"/>
                  <w:sz w:val="24"/>
                  <w:szCs w:val="24"/>
                </w:rPr>
                <w:ptab w:relativeTo="margin" w:alignment="right" w:leader="dot"/>
              </w:r>
              <w:r w:rsidR="002430E3">
                <w:rPr>
                  <w:rFonts w:ascii="Arial" w:hAnsi="Arial" w:cs="Arial"/>
                  <w:sz w:val="24"/>
                  <w:szCs w:val="24"/>
                  <w:lang w:val="es-ES"/>
                </w:rPr>
                <w:t>4</w:t>
              </w:r>
            </w:p>
            <w:p w14:paraId="359500D1" w14:textId="573574E8" w:rsidR="007E0744" w:rsidRPr="006478E0" w:rsidRDefault="007E0744" w:rsidP="007E0744">
              <w:pPr>
                <w:pStyle w:val="TDC2"/>
                <w:numPr>
                  <w:ilvl w:val="1"/>
                  <w:numId w:val="4"/>
                </w:numPr>
                <w:rPr>
                  <w:rFonts w:ascii="Arial" w:hAnsi="Arial" w:cs="Arial"/>
                  <w:sz w:val="24"/>
                  <w:szCs w:val="24"/>
                </w:rPr>
              </w:pPr>
              <w:r w:rsidRPr="006478E0">
                <w:rPr>
                  <w:rFonts w:ascii="Arial" w:hAnsi="Arial" w:cs="Arial"/>
                  <w:sz w:val="24"/>
                  <w:szCs w:val="24"/>
                </w:rPr>
                <w:t>Bienestar de la tripulación</w:t>
              </w:r>
              <w:r w:rsidRPr="006478E0">
                <w:rPr>
                  <w:rFonts w:ascii="Arial" w:hAnsi="Arial" w:cs="Arial"/>
                  <w:sz w:val="24"/>
                  <w:szCs w:val="24"/>
                </w:rPr>
                <w:ptab w:relativeTo="margin" w:alignment="right" w:leader="dot"/>
              </w:r>
              <w:r w:rsidRPr="006478E0">
                <w:rPr>
                  <w:rFonts w:ascii="Arial" w:hAnsi="Arial" w:cs="Arial"/>
                  <w:sz w:val="24"/>
                  <w:szCs w:val="24"/>
                  <w:lang w:val="es-ES"/>
                </w:rPr>
                <w:t>5</w:t>
              </w:r>
            </w:p>
            <w:p w14:paraId="56860FD7" w14:textId="398E7F21" w:rsidR="007E0744" w:rsidRPr="006478E0" w:rsidRDefault="007E0744" w:rsidP="007E0744">
              <w:pPr>
                <w:pStyle w:val="TDC2"/>
                <w:numPr>
                  <w:ilvl w:val="1"/>
                  <w:numId w:val="4"/>
                </w:numPr>
                <w:rPr>
                  <w:rFonts w:ascii="Arial" w:hAnsi="Arial" w:cs="Arial"/>
                  <w:sz w:val="24"/>
                  <w:szCs w:val="24"/>
                  <w:lang w:val="es-ES"/>
                </w:rPr>
              </w:pPr>
              <w:r w:rsidRPr="006478E0">
                <w:rPr>
                  <w:rFonts w:ascii="Arial" w:hAnsi="Arial" w:cs="Arial"/>
                  <w:sz w:val="24"/>
                  <w:szCs w:val="24"/>
                </w:rPr>
                <w:t>Rol del oficial de Abastecimiento</w:t>
              </w:r>
              <w:r w:rsidRPr="006478E0">
                <w:rPr>
                  <w:rFonts w:ascii="Arial" w:hAnsi="Arial" w:cs="Arial"/>
                  <w:sz w:val="24"/>
                  <w:szCs w:val="24"/>
                </w:rPr>
                <w:ptab w:relativeTo="margin" w:alignment="right" w:leader="dot"/>
              </w:r>
              <w:r w:rsidR="002430E3">
                <w:rPr>
                  <w:rFonts w:ascii="Arial" w:hAnsi="Arial" w:cs="Arial"/>
                  <w:sz w:val="24"/>
                  <w:szCs w:val="24"/>
                  <w:lang w:val="es-ES"/>
                </w:rPr>
                <w:t>6</w:t>
              </w:r>
            </w:p>
            <w:p w14:paraId="701A8923" w14:textId="6EF2CE9F" w:rsidR="007E0744" w:rsidRPr="006478E0" w:rsidRDefault="007E0744" w:rsidP="007E0744">
              <w:pPr>
                <w:pStyle w:val="TDC1"/>
                <w:numPr>
                  <w:ilvl w:val="0"/>
                  <w:numId w:val="4"/>
                </w:numPr>
                <w:rPr>
                  <w:rFonts w:ascii="Arial" w:hAnsi="Arial" w:cs="Arial"/>
                  <w:sz w:val="24"/>
                  <w:szCs w:val="24"/>
                </w:rPr>
              </w:pPr>
              <w:r w:rsidRPr="006478E0">
                <w:rPr>
                  <w:rFonts w:ascii="Arial" w:hAnsi="Arial" w:cs="Arial"/>
                  <w:b/>
                  <w:bCs/>
                  <w:sz w:val="24"/>
                  <w:szCs w:val="24"/>
                </w:rPr>
                <w:t>Conclusión</w:t>
              </w:r>
              <w:r w:rsidRPr="006478E0">
                <w:rPr>
                  <w:rFonts w:ascii="Arial" w:hAnsi="Arial" w:cs="Arial"/>
                  <w:sz w:val="24"/>
                  <w:szCs w:val="24"/>
                </w:rPr>
                <w:ptab w:relativeTo="margin" w:alignment="right" w:leader="dot"/>
              </w:r>
              <w:r w:rsidR="002430E3">
                <w:rPr>
                  <w:rFonts w:ascii="Arial" w:hAnsi="Arial" w:cs="Arial"/>
                  <w:b/>
                  <w:bCs/>
                  <w:sz w:val="24"/>
                  <w:szCs w:val="24"/>
                  <w:lang w:val="es-ES"/>
                </w:rPr>
                <w:t>8</w:t>
              </w:r>
            </w:p>
          </w:sdtContent>
        </w:sdt>
        <w:p w14:paraId="09691FB9" w14:textId="77777777" w:rsidR="007E0744" w:rsidRPr="006478E0" w:rsidRDefault="007E0744" w:rsidP="007E0744">
          <w:pPr>
            <w:pStyle w:val="Prrafodelista"/>
            <w:ind w:left="1080"/>
            <w:rPr>
              <w:rFonts w:ascii="Arial" w:hAnsi="Arial" w:cs="Arial"/>
              <w:sz w:val="24"/>
              <w:szCs w:val="24"/>
              <w:lang w:eastAsia="es-419"/>
            </w:rPr>
          </w:pPr>
        </w:p>
        <w:p w14:paraId="78CAF4C9" w14:textId="77777777" w:rsidR="007E0744" w:rsidRPr="006478E0" w:rsidRDefault="007E0744" w:rsidP="007E0744">
          <w:pPr>
            <w:rPr>
              <w:rFonts w:ascii="Arial" w:hAnsi="Arial" w:cs="Arial"/>
              <w:sz w:val="24"/>
              <w:szCs w:val="24"/>
              <w:lang w:eastAsia="es-419"/>
            </w:rPr>
          </w:pPr>
        </w:p>
        <w:p w14:paraId="0C7F1E23" w14:textId="31D4F139" w:rsidR="007E0744" w:rsidRPr="006478E0" w:rsidRDefault="007E0744" w:rsidP="007E0744">
          <w:pPr>
            <w:ind w:left="360"/>
            <w:rPr>
              <w:rFonts w:ascii="Arial" w:hAnsi="Arial" w:cs="Arial"/>
              <w:sz w:val="24"/>
              <w:szCs w:val="24"/>
              <w:lang w:eastAsia="es-419"/>
            </w:rPr>
          </w:pPr>
        </w:p>
        <w:p w14:paraId="7B8E8FE4" w14:textId="30AAC225" w:rsidR="007E0744" w:rsidRPr="006478E0" w:rsidRDefault="007E0744" w:rsidP="00E4482C">
          <w:pPr>
            <w:pStyle w:val="Ttulo1"/>
            <w:jc w:val="both"/>
            <w:rPr>
              <w:rFonts w:ascii="Arial" w:eastAsiaTheme="minorEastAsia" w:hAnsi="Arial" w:cs="Arial"/>
              <w:noProof/>
              <w:sz w:val="24"/>
              <w:szCs w:val="24"/>
              <w:lang w:eastAsia="es-419"/>
            </w:rPr>
          </w:pPr>
          <w:r w:rsidRPr="006478E0">
            <w:rPr>
              <w:rFonts w:ascii="Arial" w:eastAsiaTheme="minorEastAsia" w:hAnsi="Arial" w:cs="Arial"/>
              <w:noProof/>
              <w:sz w:val="24"/>
              <w:szCs w:val="24"/>
              <w:lang w:eastAsia="es-419"/>
            </w:rPr>
            <w:br w:type="page"/>
          </w:r>
        </w:p>
        <w:p w14:paraId="778F2EBA" w14:textId="77777777" w:rsidR="007E0744" w:rsidRPr="006478E0" w:rsidRDefault="007E0744" w:rsidP="00E4482C">
          <w:pPr>
            <w:pStyle w:val="Ttulo2"/>
            <w:jc w:val="both"/>
            <w:rPr>
              <w:rFonts w:ascii="Arial" w:eastAsiaTheme="minorEastAsia" w:hAnsi="Arial" w:cs="Arial"/>
              <w:noProof/>
              <w:sz w:val="24"/>
              <w:szCs w:val="24"/>
              <w:lang w:eastAsia="es-419"/>
            </w:rPr>
          </w:pPr>
          <w:r w:rsidRPr="006478E0">
            <w:rPr>
              <w:rFonts w:ascii="Arial" w:eastAsiaTheme="minorEastAsia" w:hAnsi="Arial" w:cs="Arial"/>
              <w:noProof/>
              <w:sz w:val="24"/>
              <w:szCs w:val="24"/>
              <w:lang w:eastAsia="es-419"/>
            </w:rPr>
            <w:lastRenderedPageBreak/>
            <w:t>Introducción</w:t>
          </w:r>
        </w:p>
        <w:p w14:paraId="5C1BE988" w14:textId="71A43628" w:rsidR="007E0744" w:rsidRPr="006478E0" w:rsidRDefault="007E0744" w:rsidP="00E4482C">
          <w:pPr>
            <w:jc w:val="both"/>
            <w:rPr>
              <w:rFonts w:ascii="Arial" w:hAnsi="Arial" w:cs="Arial"/>
              <w:sz w:val="24"/>
              <w:szCs w:val="24"/>
              <w:lang w:eastAsia="es-419"/>
            </w:rPr>
          </w:pPr>
          <w:r w:rsidRPr="006478E0">
            <w:rPr>
              <w:rFonts w:ascii="Arial" w:hAnsi="Arial" w:cs="Arial"/>
              <w:sz w:val="24"/>
              <w:szCs w:val="24"/>
              <w:lang w:eastAsia="es-419"/>
            </w:rPr>
            <w:t>A lo largo de la historia, la conducción de guerra en el mar y el atractivo ligado con la necesidad de dominar el mar, ha estado relacionado con el desarrollo tecnológico de los buques de guerra. La transición desde los navíos de línea impulsados por el viento hasta las fragatas modernas en la actualidad dotadas de sistemas electrónicos, armamento, radares y sonares, no solo reconfiguró la táctica, sino también la</w:t>
          </w:r>
          <w:r w:rsidR="006E5456" w:rsidRPr="006478E0">
            <w:rPr>
              <w:rFonts w:ascii="Arial" w:hAnsi="Arial" w:cs="Arial"/>
              <w:sz w:val="24"/>
              <w:szCs w:val="24"/>
              <w:lang w:eastAsia="es-419"/>
            </w:rPr>
            <w:t xml:space="preserve"> estrategia marítima y la capacidad operativa de la flota</w:t>
          </w:r>
        </w:p>
        <w:p w14:paraId="259F9583" w14:textId="77777777" w:rsidR="005D5B33" w:rsidRPr="006478E0" w:rsidRDefault="007E0744" w:rsidP="00E4482C">
          <w:pPr>
            <w:jc w:val="both"/>
            <w:rPr>
              <w:rFonts w:ascii="Arial" w:hAnsi="Arial" w:cs="Arial"/>
              <w:sz w:val="24"/>
              <w:szCs w:val="24"/>
              <w:lang w:eastAsia="es-419"/>
            </w:rPr>
          </w:pPr>
          <w:r w:rsidRPr="006478E0">
            <w:rPr>
              <w:rFonts w:ascii="Arial" w:hAnsi="Arial" w:cs="Arial"/>
              <w:sz w:val="24"/>
              <w:szCs w:val="24"/>
              <w:lang w:eastAsia="es-419"/>
            </w:rPr>
            <w:t xml:space="preserve">A medida que los buques evolucionaron, los consumos y los repuestos transitaron desde materiales simples, como lona, madera y carbón, hacia componentes críticos de alta complejidad y demanda, como combustibles líquidos, tarjetas electrónicas y repuestos especializados, elevando su necesidad de inventarios diversificados y modificando la cadena de abastecimiento radicalmente. </w:t>
          </w:r>
          <w:r w:rsidR="005D5B33" w:rsidRPr="006478E0">
            <w:rPr>
              <w:rFonts w:ascii="Arial" w:hAnsi="Arial" w:cs="Arial"/>
              <w:sz w:val="24"/>
              <w:szCs w:val="24"/>
              <w:lang w:eastAsia="es-419"/>
            </w:rPr>
            <w:t xml:space="preserve">A su vez, permitió transformar las condiciones de habitabilidad, alimentación y bienestar de la tripulación, logrando elevar la calidad de vida abordo como un factor multiplicador del combate. </w:t>
          </w:r>
        </w:p>
        <w:p w14:paraId="72D4793B" w14:textId="35DA48E5" w:rsidR="007E0744" w:rsidRPr="006478E0" w:rsidRDefault="005D5B33" w:rsidP="00E4482C">
          <w:pPr>
            <w:jc w:val="both"/>
            <w:rPr>
              <w:rFonts w:ascii="Arial" w:hAnsi="Arial" w:cs="Arial"/>
              <w:sz w:val="24"/>
              <w:szCs w:val="24"/>
              <w:lang w:eastAsia="es-419"/>
            </w:rPr>
          </w:pPr>
          <w:r w:rsidRPr="006478E0">
            <w:rPr>
              <w:rFonts w:ascii="Arial" w:hAnsi="Arial" w:cs="Arial"/>
              <w:sz w:val="24"/>
              <w:szCs w:val="24"/>
              <w:lang w:eastAsia="es-419"/>
            </w:rPr>
            <w:t xml:space="preserve">En este escenario, el propósito de este trabajo es analizar cómo los avances tecnológicos han transformado simultáneamente las necesidades logísticas y el bienestar de la dotación, destacando el rol estratégico del Oficial de Abastecimiento, quien actúa como el eje articulador que garantiza la continuidad operativa del material como la moral y el sustento humano de la dotación, administrado recursos críticos bajo estrictos estándares. </w:t>
          </w:r>
        </w:p>
      </w:sdtContent>
    </w:sdt>
    <w:p w14:paraId="4DEB34F6" w14:textId="4D2FD947" w:rsidR="001D1958" w:rsidRDefault="001D1958" w:rsidP="00E4482C">
      <w:pPr>
        <w:jc w:val="both"/>
        <w:rPr>
          <w:lang w:val="es-MX"/>
        </w:rPr>
      </w:pPr>
      <w:r>
        <w:rPr>
          <w:lang w:val="es-MX"/>
        </w:rPr>
        <w:br w:type="page"/>
      </w:r>
    </w:p>
    <w:p w14:paraId="3FAF4898" w14:textId="5DDE1002" w:rsidR="00792F46" w:rsidRDefault="002E791A" w:rsidP="00E4482C">
      <w:pPr>
        <w:pStyle w:val="Ttulo3"/>
        <w:jc w:val="both"/>
        <w:rPr>
          <w:lang w:val="es-MX"/>
        </w:rPr>
      </w:pPr>
      <w:r>
        <w:rPr>
          <w:lang w:val="es-MX"/>
        </w:rPr>
        <w:lastRenderedPageBreak/>
        <w:t>Evolución Histórica de los buques</w:t>
      </w:r>
    </w:p>
    <w:p w14:paraId="02F44599" w14:textId="141689E6" w:rsidR="006E5456" w:rsidRDefault="00FE388F" w:rsidP="00E4482C">
      <w:pPr>
        <w:jc w:val="both"/>
        <w:rPr>
          <w:rFonts w:ascii="Arial" w:hAnsi="Arial" w:cs="Arial"/>
          <w:sz w:val="24"/>
          <w:szCs w:val="24"/>
          <w:lang w:val="es-MX"/>
        </w:rPr>
      </w:pPr>
      <w:r w:rsidRPr="002A121C">
        <w:rPr>
          <w:rFonts w:ascii="Arial" w:hAnsi="Arial" w:cs="Arial"/>
          <w:sz w:val="24"/>
          <w:szCs w:val="24"/>
          <w:lang w:val="es-MX"/>
        </w:rPr>
        <w:t xml:space="preserve">La transición de los buques de guerra a lo largo de la historia no representa únicamente un cambio en la ingeniería de astilleros o en el poder de fuego, sino una revolución absoluta en la ciencia de la logística militar. Cada salto </w:t>
      </w:r>
      <w:r w:rsidR="008D57CD" w:rsidRPr="002A121C">
        <w:rPr>
          <w:rFonts w:ascii="Arial" w:hAnsi="Arial" w:cs="Arial"/>
          <w:sz w:val="24"/>
          <w:szCs w:val="24"/>
          <w:lang w:val="es-MX"/>
        </w:rPr>
        <w:t>tecnológico</w:t>
      </w:r>
      <w:r w:rsidRPr="002A121C">
        <w:rPr>
          <w:rFonts w:ascii="Arial" w:hAnsi="Arial" w:cs="Arial"/>
          <w:sz w:val="24"/>
          <w:szCs w:val="24"/>
          <w:lang w:val="es-MX"/>
        </w:rPr>
        <w:t xml:space="preserve"> alteró de forma simbiótica la </w:t>
      </w:r>
      <w:r w:rsidR="002430E3" w:rsidRPr="002A121C">
        <w:rPr>
          <w:rFonts w:ascii="Arial" w:hAnsi="Arial" w:cs="Arial"/>
          <w:sz w:val="24"/>
          <w:szCs w:val="24"/>
          <w:lang w:val="es-MX"/>
        </w:rPr>
        <w:t>predictibilidad</w:t>
      </w:r>
      <w:r w:rsidRPr="002A121C">
        <w:rPr>
          <w:rFonts w:ascii="Arial" w:hAnsi="Arial" w:cs="Arial"/>
          <w:sz w:val="24"/>
          <w:szCs w:val="24"/>
          <w:lang w:val="es-MX"/>
        </w:rPr>
        <w:t>, el volumen y la naturaleza de las cadenas de suministros globales.</w:t>
      </w:r>
    </w:p>
    <w:p w14:paraId="5DEE1FF7" w14:textId="25C0BBFF" w:rsidR="00B30725" w:rsidRPr="00B30725" w:rsidRDefault="00B30725" w:rsidP="00E4482C">
      <w:pPr>
        <w:jc w:val="both"/>
        <w:rPr>
          <w:rFonts w:ascii="Arial" w:hAnsi="Arial" w:cs="Arial"/>
          <w:sz w:val="24"/>
          <w:szCs w:val="24"/>
        </w:rPr>
      </w:pPr>
      <w:r w:rsidRPr="00B30725">
        <w:rPr>
          <w:rFonts w:ascii="Arial" w:hAnsi="Arial" w:cs="Arial"/>
          <w:sz w:val="24"/>
          <w:szCs w:val="24"/>
        </w:rPr>
        <w:t>Durante la era de la vela, los navíos de línea y las fragatas de madera, su propulsión dependía por completo del factor meteorológico, lo que otorgaba una autonomía “ilimitada”, pero sujeta a incertidumbre por el viento.</w:t>
      </w:r>
      <w:r w:rsidR="00EC0D43">
        <w:rPr>
          <w:rFonts w:ascii="Arial" w:hAnsi="Arial" w:cs="Arial"/>
          <w:sz w:val="24"/>
          <w:szCs w:val="24"/>
        </w:rPr>
        <w:t xml:space="preserve"> En este periodo, la guerra en el mar acusaba una escasa movilidad táctica y su artillería </w:t>
      </w:r>
      <w:r w:rsidR="003F4026">
        <w:rPr>
          <w:rFonts w:ascii="Arial" w:hAnsi="Arial" w:cs="Arial"/>
          <w:sz w:val="24"/>
          <w:szCs w:val="24"/>
        </w:rPr>
        <w:t>clásica</w:t>
      </w:r>
      <w:r w:rsidR="00EC0D43">
        <w:rPr>
          <w:rFonts w:ascii="Arial" w:hAnsi="Arial" w:cs="Arial"/>
          <w:sz w:val="24"/>
          <w:szCs w:val="24"/>
        </w:rPr>
        <w:t xml:space="preserve"> de avancarga y ánima lisa limitaba los combates a distancias de apenas 600 yardas (</w:t>
      </w:r>
      <w:proofErr w:type="spellStart"/>
      <w:r w:rsidR="00EC0D43">
        <w:rPr>
          <w:rFonts w:ascii="Arial" w:hAnsi="Arial" w:cs="Arial"/>
          <w:sz w:val="24"/>
          <w:szCs w:val="24"/>
        </w:rPr>
        <w:t>Tavra</w:t>
      </w:r>
      <w:proofErr w:type="spellEnd"/>
      <w:r w:rsidR="00EC0D43">
        <w:rPr>
          <w:rFonts w:ascii="Arial" w:hAnsi="Arial" w:cs="Arial"/>
          <w:sz w:val="24"/>
          <w:szCs w:val="24"/>
        </w:rPr>
        <w:t>, s.f.).</w:t>
      </w:r>
    </w:p>
    <w:p w14:paraId="41CED55A" w14:textId="6ED38A48" w:rsidR="00FD4271" w:rsidRPr="00B30725" w:rsidRDefault="00B30725" w:rsidP="00E4482C">
      <w:pPr>
        <w:jc w:val="both"/>
        <w:rPr>
          <w:rFonts w:ascii="Arial" w:hAnsi="Arial" w:cs="Arial"/>
          <w:sz w:val="24"/>
          <w:szCs w:val="24"/>
        </w:rPr>
      </w:pPr>
      <w:r w:rsidRPr="00B30725">
        <w:rPr>
          <w:rFonts w:ascii="Arial" w:hAnsi="Arial" w:cs="Arial"/>
          <w:sz w:val="24"/>
          <w:szCs w:val="24"/>
        </w:rPr>
        <w:t xml:space="preserve">Posteriormente, la introducción de la máquina de vapor y </w:t>
      </w:r>
      <w:r w:rsidR="003F4026">
        <w:rPr>
          <w:rFonts w:ascii="Arial" w:hAnsi="Arial" w:cs="Arial"/>
          <w:sz w:val="24"/>
          <w:szCs w:val="24"/>
        </w:rPr>
        <w:t xml:space="preserve">la adopción de la hélice rompieron la dependencia del viento, pero introdujeron la mayor servidumbre logística de la historia naval: carbón, lubricantes y repuestos mecánicos complejos </w:t>
      </w:r>
      <w:r w:rsidR="00EC0D43">
        <w:rPr>
          <w:rFonts w:ascii="Arial" w:hAnsi="Arial" w:cs="Arial"/>
          <w:sz w:val="24"/>
          <w:szCs w:val="24"/>
        </w:rPr>
        <w:t>(</w:t>
      </w:r>
      <w:proofErr w:type="spellStart"/>
      <w:proofErr w:type="gramStart"/>
      <w:r w:rsidR="00EC0D43">
        <w:rPr>
          <w:rFonts w:ascii="Arial" w:hAnsi="Arial" w:cs="Arial"/>
          <w:sz w:val="24"/>
          <w:szCs w:val="24"/>
        </w:rPr>
        <w:t>Tavra,s.f</w:t>
      </w:r>
      <w:proofErr w:type="spellEnd"/>
      <w:r w:rsidR="00EC0D43">
        <w:rPr>
          <w:rFonts w:ascii="Arial" w:hAnsi="Arial" w:cs="Arial"/>
          <w:sz w:val="24"/>
          <w:szCs w:val="24"/>
        </w:rPr>
        <w:t>.</w:t>
      </w:r>
      <w:proofErr w:type="gramEnd"/>
      <w:r w:rsidR="00EC0D43">
        <w:rPr>
          <w:rFonts w:ascii="Arial" w:hAnsi="Arial" w:cs="Arial"/>
          <w:sz w:val="24"/>
          <w:szCs w:val="24"/>
        </w:rPr>
        <w:t>)</w:t>
      </w:r>
      <w:r w:rsidR="003F4026">
        <w:rPr>
          <w:rFonts w:ascii="Arial" w:hAnsi="Arial" w:cs="Arial"/>
          <w:sz w:val="24"/>
          <w:szCs w:val="24"/>
        </w:rPr>
        <w:t xml:space="preserve">. </w:t>
      </w:r>
      <w:r w:rsidRPr="00B30725">
        <w:rPr>
          <w:rFonts w:ascii="Arial" w:hAnsi="Arial" w:cs="Arial"/>
          <w:sz w:val="24"/>
          <w:szCs w:val="24"/>
        </w:rPr>
        <w:t>La aparición de calderas y pistones reconfiguró los inventarios, exigiendo la disponibilidad a bordo de empaquetaduras, tubos de condensadores y herramientas de fundición.</w:t>
      </w:r>
      <w:r w:rsidR="00EC0D43">
        <w:rPr>
          <w:rFonts w:ascii="Arial" w:hAnsi="Arial" w:cs="Arial"/>
          <w:sz w:val="24"/>
          <w:szCs w:val="24"/>
        </w:rPr>
        <w:t xml:space="preserve"> La artillería evolucionó hacia 1870 con el </w:t>
      </w:r>
      <w:r w:rsidR="00FD4271">
        <w:rPr>
          <w:rFonts w:ascii="Arial" w:hAnsi="Arial" w:cs="Arial"/>
          <w:sz w:val="24"/>
          <w:szCs w:val="24"/>
        </w:rPr>
        <w:t>cañón</w:t>
      </w:r>
      <w:r w:rsidR="00EC0D43">
        <w:rPr>
          <w:rFonts w:ascii="Arial" w:hAnsi="Arial" w:cs="Arial"/>
          <w:sz w:val="24"/>
          <w:szCs w:val="24"/>
        </w:rPr>
        <w:t xml:space="preserve"> de ánima estriada, cuyas granadas explosivas</w:t>
      </w:r>
      <w:r w:rsidR="00FD4271">
        <w:rPr>
          <w:rFonts w:ascii="Arial" w:hAnsi="Arial" w:cs="Arial"/>
          <w:sz w:val="24"/>
          <w:szCs w:val="24"/>
        </w:rPr>
        <w:t xml:space="preserve"> obligaron a diseñar buques blindados hacia 1830 e integraron sistemas mixtos </w:t>
      </w:r>
      <w:r w:rsidR="003F4026">
        <w:rPr>
          <w:rFonts w:ascii="Arial" w:hAnsi="Arial" w:cs="Arial"/>
          <w:sz w:val="24"/>
          <w:szCs w:val="24"/>
        </w:rPr>
        <w:t xml:space="preserve">de </w:t>
      </w:r>
      <w:r w:rsidR="00FD4271">
        <w:rPr>
          <w:rFonts w:ascii="Arial" w:hAnsi="Arial" w:cs="Arial"/>
          <w:sz w:val="24"/>
          <w:szCs w:val="24"/>
        </w:rPr>
        <w:t>artillería y torpedos.</w:t>
      </w:r>
      <w:r w:rsidR="003F4026">
        <w:rPr>
          <w:rFonts w:ascii="Arial" w:hAnsi="Arial" w:cs="Arial"/>
          <w:sz w:val="24"/>
          <w:szCs w:val="24"/>
        </w:rPr>
        <w:t xml:space="preserve"> (</w:t>
      </w:r>
      <w:proofErr w:type="spellStart"/>
      <w:r w:rsidR="003F4026">
        <w:rPr>
          <w:rFonts w:ascii="Arial" w:hAnsi="Arial" w:cs="Arial"/>
          <w:sz w:val="24"/>
          <w:szCs w:val="24"/>
        </w:rPr>
        <w:t>Tavra</w:t>
      </w:r>
      <w:proofErr w:type="spellEnd"/>
      <w:r w:rsidR="003F4026">
        <w:rPr>
          <w:rFonts w:ascii="Arial" w:hAnsi="Arial" w:cs="Arial"/>
          <w:sz w:val="24"/>
          <w:szCs w:val="24"/>
        </w:rPr>
        <w:t>, s.f.)</w:t>
      </w:r>
    </w:p>
    <w:p w14:paraId="15C11AD8" w14:textId="502967C6" w:rsidR="00B30725" w:rsidRPr="00B30725" w:rsidRDefault="00B30725" w:rsidP="00E4482C">
      <w:pPr>
        <w:jc w:val="both"/>
        <w:rPr>
          <w:rFonts w:ascii="Arial" w:hAnsi="Arial" w:cs="Arial"/>
          <w:sz w:val="24"/>
          <w:szCs w:val="24"/>
        </w:rPr>
      </w:pPr>
      <w:r w:rsidRPr="00B30725">
        <w:rPr>
          <w:rFonts w:ascii="Arial" w:hAnsi="Arial" w:cs="Arial"/>
          <w:sz w:val="24"/>
          <w:szCs w:val="24"/>
        </w:rPr>
        <w:t>Más adelante, se produce el nacimiento de los grandes acorazados y el perfeccionamiento de las turbinas a vapor, hitos que coincidieron con el reemplazo del carbón por el petróleo y sus derivados líquidos, además de implementar sistemas electrónicos.</w:t>
      </w:r>
      <w:r w:rsidR="00FD4271">
        <w:rPr>
          <w:rFonts w:ascii="Arial" w:hAnsi="Arial" w:cs="Arial"/>
          <w:sz w:val="24"/>
          <w:szCs w:val="24"/>
        </w:rPr>
        <w:t xml:space="preserve"> La artillería principal comenzó a ser gobernada por un sistema centralizado de control de fuego, el cual sentó las bases para los modernos sistemas de combate guiados por el concepto de “mando y control” (</w:t>
      </w:r>
      <w:proofErr w:type="spellStart"/>
      <w:proofErr w:type="gramStart"/>
      <w:r w:rsidR="00FD4271">
        <w:rPr>
          <w:rFonts w:ascii="Arial" w:hAnsi="Arial" w:cs="Arial"/>
          <w:sz w:val="24"/>
          <w:szCs w:val="24"/>
        </w:rPr>
        <w:t>Tavra,s</w:t>
      </w:r>
      <w:proofErr w:type="gramEnd"/>
      <w:r w:rsidR="00FD4271">
        <w:rPr>
          <w:rFonts w:ascii="Arial" w:hAnsi="Arial" w:cs="Arial"/>
          <w:sz w:val="24"/>
          <w:szCs w:val="24"/>
        </w:rPr>
        <w:t>.f</w:t>
      </w:r>
      <w:proofErr w:type="spellEnd"/>
      <w:r w:rsidR="00FD4271">
        <w:rPr>
          <w:rFonts w:ascii="Arial" w:hAnsi="Arial" w:cs="Arial"/>
          <w:sz w:val="24"/>
          <w:szCs w:val="24"/>
        </w:rPr>
        <w:t>)</w:t>
      </w:r>
      <w:r w:rsidR="003F4026">
        <w:rPr>
          <w:rFonts w:ascii="Arial" w:hAnsi="Arial" w:cs="Arial"/>
          <w:sz w:val="24"/>
          <w:szCs w:val="24"/>
        </w:rPr>
        <w:t>. Optimizando</w:t>
      </w:r>
      <w:r w:rsidRPr="00B30725">
        <w:rPr>
          <w:rFonts w:ascii="Arial" w:hAnsi="Arial" w:cs="Arial"/>
          <w:sz w:val="24"/>
          <w:szCs w:val="24"/>
        </w:rPr>
        <w:t xml:space="preserve"> la eficiencia térmica y simplificó los procesos de carga.</w:t>
      </w:r>
    </w:p>
    <w:p w14:paraId="2C2F9A46" w14:textId="6BCA5EA4" w:rsidR="00B30725" w:rsidRDefault="00B30725" w:rsidP="00E4482C">
      <w:pPr>
        <w:jc w:val="both"/>
        <w:rPr>
          <w:rFonts w:ascii="Arial" w:hAnsi="Arial" w:cs="Arial"/>
          <w:sz w:val="24"/>
          <w:szCs w:val="24"/>
        </w:rPr>
      </w:pPr>
      <w:r w:rsidRPr="00B30725">
        <w:rPr>
          <w:rFonts w:ascii="Arial" w:hAnsi="Arial" w:cs="Arial"/>
          <w:sz w:val="24"/>
          <w:szCs w:val="24"/>
        </w:rPr>
        <w:t xml:space="preserve">En la era moderna, </w:t>
      </w:r>
      <w:r w:rsidR="003F4026">
        <w:rPr>
          <w:rFonts w:ascii="Arial" w:hAnsi="Arial" w:cs="Arial"/>
          <w:sz w:val="24"/>
          <w:szCs w:val="24"/>
        </w:rPr>
        <w:t xml:space="preserve">el centro de gravedad se ha desplazado hacia la electrónica de combate, la tecnología de reducción de firmas (furtividad) mediante formas angulares y materiales absorbentes de radar (RAM), y los sistemas </w:t>
      </w:r>
      <w:r w:rsidR="00DF58BE">
        <w:rPr>
          <w:rFonts w:ascii="Arial" w:hAnsi="Arial" w:cs="Arial"/>
          <w:sz w:val="24"/>
          <w:szCs w:val="24"/>
        </w:rPr>
        <w:t>de armas guiadas (García Covacevich, 2026). L</w:t>
      </w:r>
      <w:r w:rsidRPr="00B30725">
        <w:rPr>
          <w:rFonts w:ascii="Arial" w:hAnsi="Arial" w:cs="Arial"/>
          <w:sz w:val="24"/>
          <w:szCs w:val="24"/>
        </w:rPr>
        <w:t>os portaaviones, fragatas, submarinos y drones operan como sistemas altamente integrados</w:t>
      </w:r>
      <w:r w:rsidR="00DF58BE">
        <w:rPr>
          <w:rFonts w:ascii="Arial" w:hAnsi="Arial" w:cs="Arial"/>
          <w:sz w:val="24"/>
          <w:szCs w:val="24"/>
        </w:rPr>
        <w:t xml:space="preserve"> que incorporan proyectiles de guiado terminal (PGM) y misiles de lanzamiento vertical (</w:t>
      </w:r>
      <w:proofErr w:type="spellStart"/>
      <w:r w:rsidR="00DF58BE">
        <w:rPr>
          <w:rFonts w:ascii="Arial" w:hAnsi="Arial" w:cs="Arial"/>
          <w:sz w:val="24"/>
          <w:szCs w:val="24"/>
        </w:rPr>
        <w:t>Tavra</w:t>
      </w:r>
      <w:proofErr w:type="spellEnd"/>
      <w:r w:rsidR="00DF58BE">
        <w:rPr>
          <w:rFonts w:ascii="Arial" w:hAnsi="Arial" w:cs="Arial"/>
          <w:sz w:val="24"/>
          <w:szCs w:val="24"/>
        </w:rPr>
        <w:t xml:space="preserve">, </w:t>
      </w:r>
      <w:proofErr w:type="spellStart"/>
      <w:r w:rsidR="00DF58BE">
        <w:rPr>
          <w:rFonts w:ascii="Arial" w:hAnsi="Arial" w:cs="Arial"/>
          <w:sz w:val="24"/>
          <w:szCs w:val="24"/>
        </w:rPr>
        <w:t>s.f</w:t>
      </w:r>
      <w:proofErr w:type="spellEnd"/>
      <w:r w:rsidR="00DF58BE">
        <w:rPr>
          <w:rFonts w:ascii="Arial" w:hAnsi="Arial" w:cs="Arial"/>
          <w:sz w:val="24"/>
          <w:szCs w:val="24"/>
        </w:rPr>
        <w:t>)</w:t>
      </w:r>
      <w:r w:rsidRPr="00B30725">
        <w:rPr>
          <w:rFonts w:ascii="Arial" w:hAnsi="Arial" w:cs="Arial"/>
          <w:sz w:val="24"/>
          <w:szCs w:val="24"/>
        </w:rPr>
        <w:t>.</w:t>
      </w:r>
      <w:r w:rsidR="00DF58BE">
        <w:rPr>
          <w:rFonts w:ascii="Arial" w:hAnsi="Arial" w:cs="Arial"/>
          <w:sz w:val="24"/>
          <w:szCs w:val="24"/>
        </w:rPr>
        <w:t xml:space="preserve"> Un hito reciente de esta evolución tecnológica es la entrada en servicio de la fragata de la clase Kimon (FDI HN) de 4.500 toneladas, incorporada formalmente a la flota a principios de 2026 tras completar sus pruebas a finales de 2026 tras completar sus pruebas a finales de 2025, consolidando la transición hacia plataformas avanzadas automatizadas y altamente digitales (García Covacevich, 2026). </w:t>
      </w:r>
    </w:p>
    <w:p w14:paraId="6095D4A6" w14:textId="05332AFC" w:rsidR="00B30725" w:rsidRDefault="00B30725" w:rsidP="00E4482C">
      <w:pPr>
        <w:pStyle w:val="Ttulo3"/>
        <w:jc w:val="both"/>
      </w:pPr>
      <w:r>
        <w:t>Impacto Logístico</w:t>
      </w:r>
    </w:p>
    <w:p w14:paraId="1945AF55" w14:textId="77777777" w:rsidR="00B30725" w:rsidRPr="00B30725" w:rsidRDefault="00B30725" w:rsidP="00E4482C">
      <w:pPr>
        <w:jc w:val="both"/>
        <w:rPr>
          <w:rFonts w:ascii="Arial" w:hAnsi="Arial" w:cs="Arial"/>
          <w:sz w:val="24"/>
          <w:szCs w:val="24"/>
        </w:rPr>
      </w:pPr>
      <w:r w:rsidRPr="00B30725">
        <w:rPr>
          <w:rFonts w:ascii="Arial" w:hAnsi="Arial" w:cs="Arial"/>
          <w:sz w:val="24"/>
          <w:szCs w:val="24"/>
        </w:rPr>
        <w:t xml:space="preserve">En la era de la vela, el impacto logístico se concentraba en consumos de bajo nivel de sofisticación técnica, pero de gran volumen físico. Los repuestos y pertrechos </w:t>
      </w:r>
      <w:r w:rsidRPr="00B30725">
        <w:rPr>
          <w:rFonts w:ascii="Arial" w:hAnsi="Arial" w:cs="Arial"/>
          <w:sz w:val="24"/>
          <w:szCs w:val="24"/>
        </w:rPr>
        <w:lastRenderedPageBreak/>
        <w:t>críticos se limitaban a elementos de reparación a bordo como: madera, lonas, pólvoras, jarcias y municiones de cañón. La cadena de abastecimiento era estática y se ejecutaba casi en su totalidad antes de zarpar, ya que los buques debían cargar en sus bodegas todo lo necesario para campañas que duraban meses, limitando severamente la capacidad de recibir soporte logístico durante sus navegaciones.</w:t>
      </w:r>
    </w:p>
    <w:p w14:paraId="21640621" w14:textId="048F36C3" w:rsidR="00B30725" w:rsidRPr="00B30725" w:rsidRDefault="00B30725" w:rsidP="00E4482C">
      <w:pPr>
        <w:jc w:val="both"/>
        <w:rPr>
          <w:rFonts w:ascii="Arial" w:hAnsi="Arial" w:cs="Arial"/>
          <w:sz w:val="24"/>
          <w:szCs w:val="24"/>
        </w:rPr>
      </w:pPr>
      <w:r w:rsidRPr="00B30725">
        <w:rPr>
          <w:rFonts w:ascii="Arial" w:hAnsi="Arial" w:cs="Arial"/>
          <w:sz w:val="24"/>
          <w:szCs w:val="24"/>
        </w:rPr>
        <w:t xml:space="preserve">Con el advenimiento del vapor, el impacto en la cadena de abastecimiento fue radical. El carbón mineral, al ser un recurso </w:t>
      </w:r>
      <w:r w:rsidR="006478E0">
        <w:rPr>
          <w:rFonts w:ascii="Arial" w:hAnsi="Arial" w:cs="Arial"/>
          <w:sz w:val="24"/>
          <w:szCs w:val="24"/>
        </w:rPr>
        <w:t>de rápida combustión</w:t>
      </w:r>
      <w:r w:rsidRPr="00B30725">
        <w:rPr>
          <w:rFonts w:ascii="Arial" w:hAnsi="Arial" w:cs="Arial"/>
          <w:sz w:val="24"/>
          <w:szCs w:val="24"/>
        </w:rPr>
        <w:t>,</w:t>
      </w:r>
      <w:r w:rsidR="006478E0">
        <w:rPr>
          <w:rFonts w:ascii="Arial" w:hAnsi="Arial" w:cs="Arial"/>
          <w:sz w:val="24"/>
          <w:szCs w:val="24"/>
        </w:rPr>
        <w:t xml:space="preserve"> limitaba la autonomía de los barcos a vapor. Esto</w:t>
      </w:r>
      <w:r w:rsidRPr="00B30725">
        <w:rPr>
          <w:rFonts w:ascii="Arial" w:hAnsi="Arial" w:cs="Arial"/>
          <w:sz w:val="24"/>
          <w:szCs w:val="24"/>
        </w:rPr>
        <w:t xml:space="preserve"> obligó a las potencias globales a desplegar una red internacional de estaciones de carboneo en puntos estratégicos de las rutas marítimas. Un buque ya no podía operar de forma aislada; dependía críticamente del control geográfico de estos puertos de reabastecimiento. El esfuerzo logístico pasó de la preparación previa al zarpe a una necesidad de flujo continuo y posicionado globalmente.</w:t>
      </w:r>
      <w:r w:rsidR="006478E0">
        <w:rPr>
          <w:rFonts w:ascii="Arial" w:hAnsi="Arial" w:cs="Arial"/>
          <w:sz w:val="24"/>
          <w:szCs w:val="24"/>
        </w:rPr>
        <w:t xml:space="preserve"> </w:t>
      </w:r>
    </w:p>
    <w:p w14:paraId="154BE6F3" w14:textId="18D20137" w:rsidR="00B30725" w:rsidRPr="00B30725" w:rsidRDefault="00B30725" w:rsidP="00E4482C">
      <w:pPr>
        <w:jc w:val="both"/>
        <w:rPr>
          <w:rFonts w:ascii="Arial" w:hAnsi="Arial" w:cs="Arial"/>
          <w:sz w:val="24"/>
          <w:szCs w:val="24"/>
        </w:rPr>
      </w:pPr>
      <w:r w:rsidRPr="00B30725">
        <w:rPr>
          <w:rFonts w:ascii="Arial" w:hAnsi="Arial" w:cs="Arial"/>
          <w:sz w:val="24"/>
          <w:szCs w:val="24"/>
        </w:rPr>
        <w:t xml:space="preserve">Posteriormente, el uso del petróleo permitió el nacimiento de las primeras Maniobras de Reabastecimiento en la Mar </w:t>
      </w:r>
      <w:r w:rsidR="00DF58BE">
        <w:rPr>
          <w:rFonts w:ascii="Arial" w:hAnsi="Arial" w:cs="Arial"/>
          <w:sz w:val="24"/>
          <w:szCs w:val="24"/>
        </w:rPr>
        <w:t xml:space="preserve">(RAS/UNREP) </w:t>
      </w:r>
      <w:r w:rsidRPr="00B30725">
        <w:rPr>
          <w:rFonts w:ascii="Arial" w:hAnsi="Arial" w:cs="Arial"/>
          <w:sz w:val="24"/>
          <w:szCs w:val="24"/>
        </w:rPr>
        <w:t>mediante buques tanque auxiliares, lo que extendió el alcance operativo de las flotas sin depender exclusivamente de puertos aliados</w:t>
      </w:r>
      <w:r w:rsidR="00DF58BE">
        <w:rPr>
          <w:rFonts w:ascii="Arial" w:hAnsi="Arial" w:cs="Arial"/>
          <w:sz w:val="24"/>
          <w:szCs w:val="24"/>
        </w:rPr>
        <w:t xml:space="preserve"> (García Covacevich, 2026)</w:t>
      </w:r>
      <w:r w:rsidRPr="00B30725">
        <w:rPr>
          <w:rFonts w:ascii="Arial" w:hAnsi="Arial" w:cs="Arial"/>
          <w:sz w:val="24"/>
          <w:szCs w:val="24"/>
        </w:rPr>
        <w:t xml:space="preserve">. En el ámbito del mantenimiento, la sofisticación aumentó exponencialmente. Los repuestos críticos incluyeron intrincados sistemas hidráulicos y eléctricos destinados a mover las pesadas torres de artillería, mecanismos ópticos de telemetría para el control de tiro y </w:t>
      </w:r>
      <w:r w:rsidR="006478E0">
        <w:rPr>
          <w:rFonts w:ascii="Arial" w:hAnsi="Arial" w:cs="Arial"/>
          <w:sz w:val="24"/>
          <w:szCs w:val="24"/>
        </w:rPr>
        <w:t>los primeros sistemas centralizados de control de fuego que permitían al mando concentrar o dispersar sus armas (</w:t>
      </w:r>
      <w:proofErr w:type="spellStart"/>
      <w:proofErr w:type="gramStart"/>
      <w:r w:rsidR="006478E0">
        <w:rPr>
          <w:rFonts w:ascii="Arial" w:hAnsi="Arial" w:cs="Arial"/>
          <w:sz w:val="24"/>
          <w:szCs w:val="24"/>
        </w:rPr>
        <w:t>Tavra,s</w:t>
      </w:r>
      <w:proofErr w:type="gramEnd"/>
      <w:r w:rsidR="006478E0">
        <w:rPr>
          <w:rFonts w:ascii="Arial" w:hAnsi="Arial" w:cs="Arial"/>
          <w:sz w:val="24"/>
          <w:szCs w:val="24"/>
        </w:rPr>
        <w:t>.f</w:t>
      </w:r>
      <w:proofErr w:type="spellEnd"/>
      <w:r w:rsidR="006478E0">
        <w:rPr>
          <w:rFonts w:ascii="Arial" w:hAnsi="Arial" w:cs="Arial"/>
          <w:sz w:val="24"/>
          <w:szCs w:val="24"/>
        </w:rPr>
        <w:t xml:space="preserve">). </w:t>
      </w:r>
      <w:r w:rsidRPr="00B30725">
        <w:rPr>
          <w:rFonts w:ascii="Arial" w:hAnsi="Arial" w:cs="Arial"/>
          <w:sz w:val="24"/>
          <w:szCs w:val="24"/>
        </w:rPr>
        <w:t>El soporte técnico especializado dejó de ser una labor artesanal de la tripulación y comenzó a requerir astilleros con alta capacidad industrial y personal técnico avanzado.</w:t>
      </w:r>
    </w:p>
    <w:p w14:paraId="775038D8" w14:textId="2C14FEA9" w:rsidR="006478E0" w:rsidRPr="006478E0" w:rsidRDefault="006478E0" w:rsidP="00E4482C">
      <w:pPr>
        <w:jc w:val="both"/>
        <w:rPr>
          <w:rFonts w:ascii="Arial" w:hAnsi="Arial" w:cs="Arial"/>
          <w:sz w:val="24"/>
          <w:szCs w:val="24"/>
        </w:rPr>
      </w:pPr>
      <w:r w:rsidRPr="006478E0">
        <w:rPr>
          <w:rFonts w:ascii="Arial" w:hAnsi="Arial" w:cs="Arial"/>
          <w:sz w:val="24"/>
          <w:szCs w:val="24"/>
        </w:rPr>
        <w:t>Finalmente, el impacto logístico contemporáneo en la era moderna ya no se mide en toneladas de carbón, sino en la disponibilidad de repuestos electrónicos en línea, tales como tarjetas de circuito impreso, módulos de procesamiento de datos y sensores ópticos de alta precisión. Al operar l</w:t>
      </w:r>
      <w:r w:rsidR="00523280">
        <w:rPr>
          <w:rFonts w:ascii="Arial" w:hAnsi="Arial" w:cs="Arial"/>
          <w:sz w:val="24"/>
          <w:szCs w:val="24"/>
        </w:rPr>
        <w:t xml:space="preserve">as unidades modernas, </w:t>
      </w:r>
      <w:r w:rsidRPr="006478E0">
        <w:rPr>
          <w:rFonts w:ascii="Arial" w:hAnsi="Arial" w:cs="Arial"/>
          <w:sz w:val="24"/>
          <w:szCs w:val="24"/>
        </w:rPr>
        <w:t xml:space="preserve">el centro de gravedad del sostenimiento se ha desplazado hacia la electrónica de combate, la fibra óptica, los directores optoelectrónicos (TV, láser, infrarrojos), las tecnologías radar de barrido electrónico (como el sistema </w:t>
      </w:r>
      <w:proofErr w:type="spellStart"/>
      <w:r w:rsidRPr="006478E0">
        <w:rPr>
          <w:rFonts w:ascii="Arial" w:hAnsi="Arial" w:cs="Arial"/>
          <w:sz w:val="24"/>
          <w:szCs w:val="24"/>
        </w:rPr>
        <w:t>Aegis</w:t>
      </w:r>
      <w:proofErr w:type="spellEnd"/>
      <w:r w:rsidRPr="006478E0">
        <w:rPr>
          <w:rFonts w:ascii="Arial" w:hAnsi="Arial" w:cs="Arial"/>
          <w:sz w:val="24"/>
          <w:szCs w:val="24"/>
        </w:rPr>
        <w:t>) y los ordenadores digitales distribuidos de manera independiente para cada subsistema de armas (</w:t>
      </w:r>
      <w:proofErr w:type="spellStart"/>
      <w:r w:rsidRPr="006478E0">
        <w:rPr>
          <w:rFonts w:ascii="Arial" w:hAnsi="Arial" w:cs="Arial"/>
          <w:sz w:val="24"/>
          <w:szCs w:val="24"/>
        </w:rPr>
        <w:t>Tavra</w:t>
      </w:r>
      <w:proofErr w:type="spellEnd"/>
      <w:r w:rsidRPr="006478E0">
        <w:rPr>
          <w:rFonts w:ascii="Arial" w:hAnsi="Arial" w:cs="Arial"/>
          <w:sz w:val="24"/>
          <w:szCs w:val="24"/>
        </w:rPr>
        <w:t xml:space="preserve">, s.f.). Asimismo, la logística de sensores debe responder al mantenimiento de sonares pasivos remolcados de gran alcance (sistemas TACTAS, TASS o SURTASS) y misiles inteligentes de lanzamiento vertical o </w:t>
      </w:r>
      <w:proofErr w:type="spellStart"/>
      <w:r w:rsidRPr="006478E0">
        <w:rPr>
          <w:rFonts w:ascii="Arial" w:hAnsi="Arial" w:cs="Arial"/>
          <w:sz w:val="24"/>
          <w:szCs w:val="24"/>
        </w:rPr>
        <w:t>transhorizonte</w:t>
      </w:r>
      <w:proofErr w:type="spellEnd"/>
      <w:r w:rsidRPr="006478E0">
        <w:rPr>
          <w:rFonts w:ascii="Arial" w:hAnsi="Arial" w:cs="Arial"/>
          <w:sz w:val="24"/>
          <w:szCs w:val="24"/>
        </w:rPr>
        <w:t xml:space="preserve"> como el ANS (</w:t>
      </w:r>
      <w:proofErr w:type="spellStart"/>
      <w:r w:rsidRPr="006478E0">
        <w:rPr>
          <w:rFonts w:ascii="Arial" w:hAnsi="Arial" w:cs="Arial"/>
          <w:sz w:val="24"/>
          <w:szCs w:val="24"/>
        </w:rPr>
        <w:t>Tavra</w:t>
      </w:r>
      <w:proofErr w:type="spellEnd"/>
      <w:r w:rsidRPr="006478E0">
        <w:rPr>
          <w:rFonts w:ascii="Arial" w:hAnsi="Arial" w:cs="Arial"/>
          <w:sz w:val="24"/>
          <w:szCs w:val="24"/>
        </w:rPr>
        <w:t>, s.f.).</w:t>
      </w:r>
      <w:r w:rsidRPr="006478E0">
        <w:rPr>
          <w:rFonts w:ascii="Arial" w:eastAsia="Times New Roman" w:hAnsi="Arial" w:cs="Arial"/>
          <w:kern w:val="0"/>
          <w:sz w:val="24"/>
          <w:szCs w:val="24"/>
          <w:lang w:eastAsia="es-419"/>
          <w14:ligatures w14:val="none"/>
        </w:rPr>
        <w:t xml:space="preserve"> </w:t>
      </w:r>
      <w:r w:rsidRPr="006478E0">
        <w:rPr>
          <w:rFonts w:ascii="Arial" w:hAnsi="Arial" w:cs="Arial"/>
          <w:sz w:val="24"/>
          <w:szCs w:val="24"/>
        </w:rPr>
        <w:t>Para aliviar la enorme carga de mantenimiento en este entorno saturado de tecnología, los inventarios modernos dependen críticamente de componentes de reemplazo modulares</w:t>
      </w:r>
      <w:r>
        <w:rPr>
          <w:rFonts w:ascii="Arial" w:hAnsi="Arial" w:cs="Arial"/>
          <w:sz w:val="24"/>
          <w:szCs w:val="24"/>
        </w:rPr>
        <w:t xml:space="preserve"> y </w:t>
      </w:r>
      <w:r w:rsidRPr="006478E0">
        <w:rPr>
          <w:rFonts w:ascii="Arial" w:hAnsi="Arial" w:cs="Arial"/>
          <w:sz w:val="24"/>
          <w:szCs w:val="24"/>
        </w:rPr>
        <w:t>la implementación de sistemas de pruebas automáticas integradas para la detección inmediata de averías (BITE) (</w:t>
      </w:r>
      <w:proofErr w:type="spellStart"/>
      <w:r w:rsidRPr="006478E0">
        <w:rPr>
          <w:rFonts w:ascii="Arial" w:hAnsi="Arial" w:cs="Arial"/>
          <w:sz w:val="24"/>
          <w:szCs w:val="24"/>
        </w:rPr>
        <w:t>Tavra</w:t>
      </w:r>
      <w:proofErr w:type="spellEnd"/>
      <w:r w:rsidRPr="006478E0">
        <w:rPr>
          <w:rFonts w:ascii="Arial" w:hAnsi="Arial" w:cs="Arial"/>
          <w:sz w:val="24"/>
          <w:szCs w:val="24"/>
        </w:rPr>
        <w:t xml:space="preserve">, s.f.). Estos repuestos exigen condiciones de almacenamiento rigurosas, además de una cadena de suministro globalizada con trazabilidad absoluta. El soporte técnico moderno requiere contratos de apoyo logístico integrado con proveedores civiles, </w:t>
      </w:r>
      <w:r w:rsidRPr="006478E0">
        <w:rPr>
          <w:rFonts w:ascii="Arial" w:hAnsi="Arial" w:cs="Arial"/>
          <w:sz w:val="24"/>
          <w:szCs w:val="24"/>
        </w:rPr>
        <w:lastRenderedPageBreak/>
        <w:t>así como simuladores de entrenamiento a bordo y un nivel de especialización en ingeniería electrónica e informática en las dotaciones sin precedentes, comprendiendo que el factor humano sigue siendo el núcleo del poder naval (</w:t>
      </w:r>
      <w:proofErr w:type="spellStart"/>
      <w:r w:rsidRPr="006478E0">
        <w:rPr>
          <w:rFonts w:ascii="Arial" w:hAnsi="Arial" w:cs="Arial"/>
          <w:sz w:val="24"/>
          <w:szCs w:val="24"/>
        </w:rPr>
        <w:t>Tavra</w:t>
      </w:r>
      <w:proofErr w:type="spellEnd"/>
      <w:r w:rsidRPr="006478E0">
        <w:rPr>
          <w:rFonts w:ascii="Arial" w:hAnsi="Arial" w:cs="Arial"/>
          <w:sz w:val="24"/>
          <w:szCs w:val="24"/>
        </w:rPr>
        <w:t xml:space="preserve">, s.f.). Para sintetizar esta transición temporal, la siguiente tabla detalla la relación directa entre los hitos de ingeniería y los requerimientos logísticos de sostenimiento a lo largo de las eras navales. </w:t>
      </w:r>
    </w:p>
    <w:p w14:paraId="1BE7AC48" w14:textId="5BA1BB17" w:rsidR="00B30725" w:rsidRPr="00B30725" w:rsidRDefault="00B30725" w:rsidP="00E4482C">
      <w:pPr>
        <w:jc w:val="both"/>
        <w:rPr>
          <w:rFonts w:ascii="Arial" w:hAnsi="Arial" w:cs="Arial"/>
          <w:sz w:val="24"/>
          <w:szCs w:val="24"/>
        </w:rPr>
      </w:pPr>
    </w:p>
    <w:p w14:paraId="28F3671B" w14:textId="77777777" w:rsidR="00B30725" w:rsidRPr="00B30725" w:rsidRDefault="00B30725" w:rsidP="00E4482C">
      <w:pPr>
        <w:jc w:val="both"/>
      </w:pPr>
    </w:p>
    <w:p w14:paraId="39FF21B4" w14:textId="4BD0AD96" w:rsidR="002A121C" w:rsidRPr="002A121C" w:rsidRDefault="002A121C" w:rsidP="00E4482C">
      <w:pPr>
        <w:jc w:val="both"/>
        <w:rPr>
          <w:rFonts w:ascii="Arial" w:hAnsi="Arial" w:cs="Arial"/>
          <w:sz w:val="24"/>
          <w:szCs w:val="24"/>
        </w:rPr>
      </w:pPr>
    </w:p>
    <w:tbl>
      <w:tblPr>
        <w:tblStyle w:val="Tablaconcuadrcula"/>
        <w:tblpPr w:leftFromText="141" w:rightFromText="141" w:vertAnchor="text" w:horzAnchor="margin" w:tblpXSpec="center" w:tblpY="-540"/>
        <w:tblOverlap w:val="never"/>
        <w:tblW w:w="10252" w:type="dxa"/>
        <w:tblLook w:val="04A0" w:firstRow="1" w:lastRow="0" w:firstColumn="1" w:lastColumn="0" w:noHBand="0" w:noVBand="1"/>
      </w:tblPr>
      <w:tblGrid>
        <w:gridCol w:w="2835"/>
        <w:gridCol w:w="2665"/>
        <w:gridCol w:w="2376"/>
        <w:gridCol w:w="2376"/>
      </w:tblGrid>
      <w:tr w:rsidR="00DA79E2" w14:paraId="5412151B" w14:textId="77777777" w:rsidTr="00DA79E2">
        <w:trPr>
          <w:trHeight w:val="1077"/>
        </w:trPr>
        <w:tc>
          <w:tcPr>
            <w:tcW w:w="2835" w:type="dxa"/>
          </w:tcPr>
          <w:p w14:paraId="231B5267" w14:textId="77777777" w:rsidR="00DA79E2" w:rsidRDefault="00DA79E2" w:rsidP="00E4482C">
            <w:pPr>
              <w:jc w:val="both"/>
              <w:rPr>
                <w:rFonts w:ascii="Arial" w:hAnsi="Arial" w:cs="Arial"/>
                <w:sz w:val="24"/>
                <w:szCs w:val="24"/>
              </w:rPr>
            </w:pPr>
            <w:r>
              <w:rPr>
                <w:rFonts w:ascii="Arial" w:hAnsi="Arial" w:cs="Arial"/>
                <w:sz w:val="24"/>
                <w:szCs w:val="24"/>
              </w:rPr>
              <w:t>DIMENSIÓN DE ANÁLISIS</w:t>
            </w:r>
          </w:p>
        </w:tc>
        <w:tc>
          <w:tcPr>
            <w:tcW w:w="2665" w:type="dxa"/>
          </w:tcPr>
          <w:p w14:paraId="6A34F32F" w14:textId="77777777" w:rsidR="00DA79E2" w:rsidRDefault="00DA79E2" w:rsidP="00E4482C">
            <w:pPr>
              <w:jc w:val="both"/>
              <w:rPr>
                <w:rFonts w:ascii="Arial" w:hAnsi="Arial" w:cs="Arial"/>
                <w:sz w:val="24"/>
                <w:szCs w:val="24"/>
              </w:rPr>
            </w:pPr>
            <w:r>
              <w:rPr>
                <w:rFonts w:ascii="Arial" w:hAnsi="Arial" w:cs="Arial"/>
                <w:sz w:val="24"/>
                <w:szCs w:val="24"/>
              </w:rPr>
              <w:t>NAVÍO DE LÍNEA</w:t>
            </w:r>
          </w:p>
        </w:tc>
        <w:tc>
          <w:tcPr>
            <w:tcW w:w="2376" w:type="dxa"/>
          </w:tcPr>
          <w:p w14:paraId="0C625401" w14:textId="77777777" w:rsidR="00DA79E2" w:rsidRDefault="00DA79E2" w:rsidP="00E4482C">
            <w:pPr>
              <w:jc w:val="both"/>
              <w:rPr>
                <w:rFonts w:ascii="Arial" w:hAnsi="Arial" w:cs="Arial"/>
                <w:sz w:val="24"/>
                <w:szCs w:val="24"/>
              </w:rPr>
            </w:pPr>
            <w:r>
              <w:rPr>
                <w:rFonts w:ascii="Arial" w:hAnsi="Arial" w:cs="Arial"/>
                <w:sz w:val="24"/>
                <w:szCs w:val="24"/>
              </w:rPr>
              <w:t>BUQUE MODERNO</w:t>
            </w:r>
          </w:p>
        </w:tc>
        <w:tc>
          <w:tcPr>
            <w:tcW w:w="2376" w:type="dxa"/>
          </w:tcPr>
          <w:p w14:paraId="333D5C7E" w14:textId="77777777" w:rsidR="00DA79E2" w:rsidRDefault="00DA79E2" w:rsidP="00E4482C">
            <w:pPr>
              <w:jc w:val="both"/>
              <w:rPr>
                <w:rFonts w:ascii="Arial" w:hAnsi="Arial" w:cs="Arial"/>
                <w:sz w:val="24"/>
                <w:szCs w:val="24"/>
              </w:rPr>
            </w:pPr>
            <w:r>
              <w:rPr>
                <w:rFonts w:ascii="Arial" w:hAnsi="Arial" w:cs="Arial"/>
                <w:sz w:val="24"/>
                <w:szCs w:val="24"/>
              </w:rPr>
              <w:t>IMAPCTO EN LA GESTIÓN LOGÍSTICA</w:t>
            </w:r>
          </w:p>
        </w:tc>
      </w:tr>
      <w:tr w:rsidR="00DA79E2" w14:paraId="76503F67" w14:textId="77777777" w:rsidTr="00DA79E2">
        <w:trPr>
          <w:trHeight w:val="287"/>
        </w:trPr>
        <w:tc>
          <w:tcPr>
            <w:tcW w:w="2835" w:type="dxa"/>
          </w:tcPr>
          <w:p w14:paraId="54C083A6" w14:textId="77777777" w:rsidR="00DA79E2" w:rsidRDefault="00DA79E2" w:rsidP="00E4482C">
            <w:pPr>
              <w:jc w:val="both"/>
              <w:rPr>
                <w:rFonts w:ascii="Arial" w:hAnsi="Arial" w:cs="Arial"/>
                <w:sz w:val="24"/>
                <w:szCs w:val="24"/>
              </w:rPr>
            </w:pPr>
            <w:r>
              <w:rPr>
                <w:rFonts w:ascii="Arial" w:hAnsi="Arial" w:cs="Arial"/>
                <w:sz w:val="24"/>
                <w:szCs w:val="24"/>
              </w:rPr>
              <w:t>Repuestos</w:t>
            </w:r>
          </w:p>
        </w:tc>
        <w:tc>
          <w:tcPr>
            <w:tcW w:w="2665" w:type="dxa"/>
          </w:tcPr>
          <w:p w14:paraId="78876525" w14:textId="77777777" w:rsidR="00DA79E2" w:rsidRDefault="00DA79E2" w:rsidP="00E4482C">
            <w:pPr>
              <w:jc w:val="both"/>
              <w:rPr>
                <w:rFonts w:ascii="Arial" w:hAnsi="Arial" w:cs="Arial"/>
                <w:sz w:val="24"/>
                <w:szCs w:val="24"/>
              </w:rPr>
            </w:pPr>
            <w:r>
              <w:rPr>
                <w:rFonts w:ascii="Arial" w:hAnsi="Arial" w:cs="Arial"/>
                <w:sz w:val="24"/>
                <w:szCs w:val="24"/>
              </w:rPr>
              <w:t>Materiales en bruto para reparación artesanal a bordo</w:t>
            </w:r>
          </w:p>
        </w:tc>
        <w:tc>
          <w:tcPr>
            <w:tcW w:w="2376" w:type="dxa"/>
          </w:tcPr>
          <w:p w14:paraId="7D404794" w14:textId="77777777" w:rsidR="00DA79E2" w:rsidRDefault="00DA79E2" w:rsidP="00E4482C">
            <w:pPr>
              <w:jc w:val="both"/>
              <w:rPr>
                <w:rFonts w:ascii="Arial" w:hAnsi="Arial" w:cs="Arial"/>
                <w:sz w:val="24"/>
                <w:szCs w:val="24"/>
              </w:rPr>
            </w:pPr>
            <w:r>
              <w:rPr>
                <w:rFonts w:ascii="Arial" w:hAnsi="Arial" w:cs="Arial"/>
                <w:sz w:val="24"/>
                <w:szCs w:val="24"/>
              </w:rPr>
              <w:t>Unidades reemplazables en línea (LRU), microchips y sensores calibrados</w:t>
            </w:r>
          </w:p>
        </w:tc>
        <w:tc>
          <w:tcPr>
            <w:tcW w:w="2376" w:type="dxa"/>
          </w:tcPr>
          <w:p w14:paraId="260704CF" w14:textId="77777777" w:rsidR="00DA79E2" w:rsidRDefault="00DA79E2" w:rsidP="00E4482C">
            <w:pPr>
              <w:jc w:val="both"/>
              <w:rPr>
                <w:rFonts w:ascii="Arial" w:hAnsi="Arial" w:cs="Arial"/>
                <w:sz w:val="24"/>
                <w:szCs w:val="24"/>
              </w:rPr>
            </w:pPr>
            <w:r>
              <w:rPr>
                <w:rFonts w:ascii="Arial" w:hAnsi="Arial" w:cs="Arial"/>
                <w:sz w:val="24"/>
                <w:szCs w:val="24"/>
              </w:rPr>
              <w:t>Pasó de la manufactura interna a la dependencia de cadenas globalizadas y trazabilidad técnica</w:t>
            </w:r>
          </w:p>
        </w:tc>
      </w:tr>
      <w:tr w:rsidR="00DA79E2" w14:paraId="331E1DD1" w14:textId="77777777" w:rsidTr="00DA79E2">
        <w:trPr>
          <w:trHeight w:val="287"/>
        </w:trPr>
        <w:tc>
          <w:tcPr>
            <w:tcW w:w="2835" w:type="dxa"/>
          </w:tcPr>
          <w:p w14:paraId="7F9D5A2F" w14:textId="77777777" w:rsidR="00DA79E2" w:rsidRDefault="00DA79E2" w:rsidP="00E4482C">
            <w:pPr>
              <w:jc w:val="both"/>
              <w:rPr>
                <w:rFonts w:ascii="Arial" w:hAnsi="Arial" w:cs="Arial"/>
                <w:sz w:val="24"/>
                <w:szCs w:val="24"/>
              </w:rPr>
            </w:pPr>
            <w:r>
              <w:rPr>
                <w:rFonts w:ascii="Arial" w:hAnsi="Arial" w:cs="Arial"/>
                <w:sz w:val="24"/>
                <w:szCs w:val="24"/>
              </w:rPr>
              <w:t>Alimentación</w:t>
            </w:r>
          </w:p>
        </w:tc>
        <w:tc>
          <w:tcPr>
            <w:tcW w:w="2665" w:type="dxa"/>
          </w:tcPr>
          <w:p w14:paraId="5299C25F" w14:textId="77777777" w:rsidR="00DA79E2" w:rsidRDefault="00DA79E2" w:rsidP="00E4482C">
            <w:pPr>
              <w:jc w:val="both"/>
              <w:rPr>
                <w:rFonts w:ascii="Arial" w:hAnsi="Arial" w:cs="Arial"/>
                <w:sz w:val="24"/>
                <w:szCs w:val="24"/>
              </w:rPr>
            </w:pPr>
            <w:r>
              <w:rPr>
                <w:rFonts w:ascii="Arial" w:hAnsi="Arial" w:cs="Arial"/>
                <w:sz w:val="24"/>
                <w:szCs w:val="24"/>
              </w:rPr>
              <w:t xml:space="preserve">Carne salada, raciones secas y agua estancada en barriles de madera </w:t>
            </w:r>
          </w:p>
        </w:tc>
        <w:tc>
          <w:tcPr>
            <w:tcW w:w="2376" w:type="dxa"/>
          </w:tcPr>
          <w:p w14:paraId="6FC295BE" w14:textId="77777777" w:rsidR="00DA79E2" w:rsidRDefault="00DA79E2" w:rsidP="00E4482C">
            <w:pPr>
              <w:jc w:val="both"/>
              <w:rPr>
                <w:rFonts w:ascii="Arial" w:hAnsi="Arial" w:cs="Arial"/>
                <w:sz w:val="24"/>
                <w:szCs w:val="24"/>
              </w:rPr>
            </w:pPr>
            <w:r>
              <w:rPr>
                <w:rFonts w:ascii="Arial" w:hAnsi="Arial" w:cs="Arial"/>
                <w:sz w:val="24"/>
                <w:szCs w:val="24"/>
              </w:rPr>
              <w:t>Alimentos frescos en cadena de frío y agua potable ilimitada por ósmosis inversa</w:t>
            </w:r>
          </w:p>
        </w:tc>
        <w:tc>
          <w:tcPr>
            <w:tcW w:w="2376" w:type="dxa"/>
          </w:tcPr>
          <w:p w14:paraId="16F7950F" w14:textId="77777777" w:rsidR="00DA79E2" w:rsidRDefault="00DA79E2" w:rsidP="00E4482C">
            <w:pPr>
              <w:jc w:val="both"/>
              <w:rPr>
                <w:rFonts w:ascii="Arial" w:hAnsi="Arial" w:cs="Arial"/>
                <w:sz w:val="24"/>
                <w:szCs w:val="24"/>
              </w:rPr>
            </w:pPr>
            <w:r>
              <w:rPr>
                <w:rFonts w:ascii="Arial" w:hAnsi="Arial" w:cs="Arial"/>
                <w:sz w:val="24"/>
                <w:szCs w:val="24"/>
              </w:rPr>
              <w:t>Exige el control crítico de frigoríficos, compras internacionales y planes de nutrición</w:t>
            </w:r>
          </w:p>
        </w:tc>
      </w:tr>
      <w:tr w:rsidR="00DA79E2" w14:paraId="53A6F310" w14:textId="77777777" w:rsidTr="00DA79E2">
        <w:trPr>
          <w:trHeight w:val="287"/>
        </w:trPr>
        <w:tc>
          <w:tcPr>
            <w:tcW w:w="2835" w:type="dxa"/>
          </w:tcPr>
          <w:p w14:paraId="256AABB3" w14:textId="77777777" w:rsidR="00DA79E2" w:rsidRDefault="00DA79E2" w:rsidP="00E4482C">
            <w:pPr>
              <w:jc w:val="both"/>
              <w:rPr>
                <w:rFonts w:ascii="Arial" w:hAnsi="Arial" w:cs="Arial"/>
                <w:sz w:val="24"/>
                <w:szCs w:val="24"/>
              </w:rPr>
            </w:pPr>
            <w:r>
              <w:rPr>
                <w:rFonts w:ascii="Arial" w:hAnsi="Arial" w:cs="Arial"/>
                <w:sz w:val="24"/>
                <w:szCs w:val="24"/>
              </w:rPr>
              <w:t>Bienestar de la dotación</w:t>
            </w:r>
          </w:p>
        </w:tc>
        <w:tc>
          <w:tcPr>
            <w:tcW w:w="2665" w:type="dxa"/>
          </w:tcPr>
          <w:p w14:paraId="0849C487" w14:textId="77777777" w:rsidR="00DA79E2" w:rsidRDefault="00DA79E2" w:rsidP="00E4482C">
            <w:pPr>
              <w:jc w:val="both"/>
              <w:rPr>
                <w:rFonts w:ascii="Arial" w:hAnsi="Arial" w:cs="Arial"/>
                <w:sz w:val="24"/>
                <w:szCs w:val="24"/>
              </w:rPr>
            </w:pPr>
            <w:r>
              <w:rPr>
                <w:rFonts w:ascii="Arial" w:hAnsi="Arial" w:cs="Arial"/>
                <w:sz w:val="24"/>
                <w:szCs w:val="24"/>
              </w:rPr>
              <w:t>Hacinamiento severo en sollados oscuros, humedad y alta exposición a enfermedades</w:t>
            </w:r>
          </w:p>
        </w:tc>
        <w:tc>
          <w:tcPr>
            <w:tcW w:w="2376" w:type="dxa"/>
          </w:tcPr>
          <w:p w14:paraId="110521FF" w14:textId="77777777" w:rsidR="00DA79E2" w:rsidRDefault="00DA79E2" w:rsidP="00E4482C">
            <w:pPr>
              <w:jc w:val="both"/>
              <w:rPr>
                <w:rFonts w:ascii="Arial" w:hAnsi="Arial" w:cs="Arial"/>
                <w:sz w:val="24"/>
                <w:szCs w:val="24"/>
              </w:rPr>
            </w:pPr>
            <w:r>
              <w:rPr>
                <w:rFonts w:ascii="Arial" w:hAnsi="Arial" w:cs="Arial"/>
                <w:sz w:val="24"/>
                <w:szCs w:val="24"/>
              </w:rPr>
              <w:t>Comportamientos climatizados con aire acondicionado y habitabilidad ergonómica</w:t>
            </w:r>
          </w:p>
        </w:tc>
        <w:tc>
          <w:tcPr>
            <w:tcW w:w="2376" w:type="dxa"/>
          </w:tcPr>
          <w:p w14:paraId="0CF5FAE6" w14:textId="77777777" w:rsidR="00DA79E2" w:rsidRDefault="00DA79E2" w:rsidP="00E4482C">
            <w:pPr>
              <w:jc w:val="both"/>
              <w:rPr>
                <w:rFonts w:ascii="Arial" w:hAnsi="Arial" w:cs="Arial"/>
                <w:sz w:val="24"/>
                <w:szCs w:val="24"/>
              </w:rPr>
            </w:pPr>
            <w:r>
              <w:rPr>
                <w:rFonts w:ascii="Arial" w:hAnsi="Arial" w:cs="Arial"/>
                <w:sz w:val="24"/>
                <w:szCs w:val="24"/>
              </w:rPr>
              <w:t>Se transformó en uno factor estratégico para sostener la moral y la salud mental</w:t>
            </w:r>
          </w:p>
        </w:tc>
      </w:tr>
      <w:tr w:rsidR="00DA79E2" w14:paraId="571832B9" w14:textId="77777777" w:rsidTr="00DA79E2">
        <w:trPr>
          <w:trHeight w:val="287"/>
        </w:trPr>
        <w:tc>
          <w:tcPr>
            <w:tcW w:w="2835" w:type="dxa"/>
          </w:tcPr>
          <w:p w14:paraId="46C79EC7" w14:textId="77777777" w:rsidR="00DA79E2" w:rsidRDefault="00DA79E2" w:rsidP="00E4482C">
            <w:pPr>
              <w:jc w:val="both"/>
              <w:rPr>
                <w:rFonts w:ascii="Arial" w:hAnsi="Arial" w:cs="Arial"/>
                <w:sz w:val="24"/>
                <w:szCs w:val="24"/>
              </w:rPr>
            </w:pPr>
            <w:r>
              <w:rPr>
                <w:rFonts w:ascii="Arial" w:hAnsi="Arial" w:cs="Arial"/>
                <w:sz w:val="24"/>
                <w:szCs w:val="24"/>
              </w:rPr>
              <w:t>Vulnerabilidad crítica</w:t>
            </w:r>
          </w:p>
        </w:tc>
        <w:tc>
          <w:tcPr>
            <w:tcW w:w="2665" w:type="dxa"/>
          </w:tcPr>
          <w:p w14:paraId="73231CB2" w14:textId="77777777" w:rsidR="00DA79E2" w:rsidRDefault="00DA79E2" w:rsidP="00E4482C">
            <w:pPr>
              <w:jc w:val="both"/>
              <w:rPr>
                <w:rFonts w:ascii="Arial" w:hAnsi="Arial" w:cs="Arial"/>
                <w:sz w:val="24"/>
                <w:szCs w:val="24"/>
              </w:rPr>
            </w:pPr>
            <w:r>
              <w:rPr>
                <w:rFonts w:ascii="Arial" w:hAnsi="Arial" w:cs="Arial"/>
                <w:sz w:val="24"/>
                <w:szCs w:val="24"/>
              </w:rPr>
              <w:t>Dependencia absoluta de las condiciones meteorológicas y el viento</w:t>
            </w:r>
          </w:p>
        </w:tc>
        <w:tc>
          <w:tcPr>
            <w:tcW w:w="2376" w:type="dxa"/>
          </w:tcPr>
          <w:p w14:paraId="2510C1CA" w14:textId="77777777" w:rsidR="00DA79E2" w:rsidRDefault="00DA79E2" w:rsidP="00E4482C">
            <w:pPr>
              <w:jc w:val="both"/>
              <w:rPr>
                <w:rFonts w:ascii="Arial" w:hAnsi="Arial" w:cs="Arial"/>
                <w:sz w:val="24"/>
                <w:szCs w:val="24"/>
              </w:rPr>
            </w:pPr>
            <w:r>
              <w:rPr>
                <w:rFonts w:ascii="Arial" w:hAnsi="Arial" w:cs="Arial"/>
                <w:sz w:val="24"/>
                <w:szCs w:val="24"/>
              </w:rPr>
              <w:t>Avería de componentes electrónicos que inmovilicen los sistemas de armas guiadas</w:t>
            </w:r>
          </w:p>
        </w:tc>
        <w:tc>
          <w:tcPr>
            <w:tcW w:w="2376" w:type="dxa"/>
          </w:tcPr>
          <w:p w14:paraId="0EE7363B" w14:textId="77777777" w:rsidR="00DA79E2" w:rsidRDefault="00DA79E2" w:rsidP="00E4482C">
            <w:pPr>
              <w:jc w:val="both"/>
              <w:rPr>
                <w:rFonts w:ascii="Arial" w:hAnsi="Arial" w:cs="Arial"/>
                <w:sz w:val="24"/>
                <w:szCs w:val="24"/>
              </w:rPr>
            </w:pPr>
            <w:r>
              <w:rPr>
                <w:rFonts w:ascii="Arial" w:hAnsi="Arial" w:cs="Arial"/>
                <w:sz w:val="24"/>
                <w:szCs w:val="24"/>
              </w:rPr>
              <w:t>Demanda una logística predictiva estricta; una falla menor puede neutralizar el poder de fuego</w:t>
            </w:r>
          </w:p>
        </w:tc>
      </w:tr>
    </w:tbl>
    <w:p w14:paraId="2C93AF74" w14:textId="77777777" w:rsidR="002E791A" w:rsidRDefault="002E791A" w:rsidP="00E4482C">
      <w:pPr>
        <w:jc w:val="both"/>
        <w:rPr>
          <w:rFonts w:ascii="Arial" w:hAnsi="Arial" w:cs="Arial"/>
          <w:sz w:val="24"/>
          <w:szCs w:val="24"/>
        </w:rPr>
      </w:pPr>
    </w:p>
    <w:p w14:paraId="0A035146" w14:textId="2E315C9B" w:rsidR="002E791A" w:rsidRDefault="002E791A" w:rsidP="00E4482C">
      <w:pPr>
        <w:pStyle w:val="Ttulo3"/>
        <w:jc w:val="both"/>
      </w:pPr>
      <w:r>
        <w:t>Bienestar de la tripulación</w:t>
      </w:r>
    </w:p>
    <w:p w14:paraId="64C7118D" w14:textId="38BEC7CA" w:rsidR="00F237EC" w:rsidRPr="00F237EC" w:rsidRDefault="00F237EC" w:rsidP="00E4482C">
      <w:pPr>
        <w:jc w:val="both"/>
        <w:rPr>
          <w:rFonts w:ascii="Arial" w:hAnsi="Arial" w:cs="Arial"/>
          <w:sz w:val="24"/>
          <w:szCs w:val="24"/>
        </w:rPr>
      </w:pPr>
      <w:r w:rsidRPr="00F237EC">
        <w:rPr>
          <w:rFonts w:ascii="Arial" w:hAnsi="Arial" w:cs="Arial"/>
          <w:sz w:val="24"/>
          <w:szCs w:val="24"/>
        </w:rPr>
        <w:t xml:space="preserve">Este desarrollo tecnológico no solo modificó la maquinaria del buque, sino que transformó de manera paralela las condiciones de vida de la dotación, reconociendo progresivamente que el bienestar del personal es un pilar crítico para la eficiencia combativa de la unidad. En la era de la vela, las condiciones humanas eran extremas, pues la ausencia de sistemas de refrigeración obligaba a basar la </w:t>
      </w:r>
      <w:r w:rsidRPr="00F237EC">
        <w:rPr>
          <w:rFonts w:ascii="Arial" w:hAnsi="Arial" w:cs="Arial"/>
          <w:sz w:val="24"/>
          <w:szCs w:val="24"/>
        </w:rPr>
        <w:lastRenderedPageBreak/>
        <w:t xml:space="preserve">alimentación en raciones secas, carne salada en barriles y galletas de mar expuestas a plagas. El agua dulce, almacenada en pipas de madera, desarrollaba bacterias rápidamente, lo que, sumado al hacinamiento extremo en sollados sin ventilación, generaba brotes masivos de enfermedades infectocontagiosas y escorbuto por déficit vitamínico, mermando el poder humano antes de entrar en combate. </w:t>
      </w:r>
    </w:p>
    <w:p w14:paraId="43F9394C" w14:textId="77777777" w:rsidR="00F237EC" w:rsidRPr="00F237EC" w:rsidRDefault="00F237EC" w:rsidP="00E4482C">
      <w:pPr>
        <w:jc w:val="both"/>
        <w:rPr>
          <w:rFonts w:ascii="Arial" w:hAnsi="Arial" w:cs="Arial"/>
          <w:sz w:val="24"/>
          <w:szCs w:val="24"/>
        </w:rPr>
      </w:pPr>
      <w:r w:rsidRPr="00F237EC">
        <w:rPr>
          <w:rFonts w:ascii="Arial" w:hAnsi="Arial" w:cs="Arial"/>
          <w:sz w:val="24"/>
          <w:szCs w:val="24"/>
        </w:rPr>
        <w:t xml:space="preserve">La transición al vapor eliminó el escorbuto gracias a los primeros sistemas rudimentarios de destilación de agua aprovechando el calor de las calderas, pero introdujo un nuevo foco de deterioro físico. Los compartimentos de máquinas y las carboneras se convirtieron en ambientes hostiles de calor extremo, gases y hollín, donde las dotaciones realizaban esfuerzos físicos extenuantes, afectando gravemente la salud respiratoria y provocando deshidratación severa. Con la llegada de los acorazados y la energía eléctrica, la habitabilidad dio un vuelco cualitativo. La instalación de las primeras plantas frigoríficas industriales permitió el almacenamiento de carnes y verduras frescas, revolucionando la dieta marinera y mejorando la moral. La ventilación forzada y la iluminación eléctrica regularon las condiciones ambientales dentro de las ciudadelas blindadas de acero. </w:t>
      </w:r>
    </w:p>
    <w:p w14:paraId="4B17E1BD" w14:textId="77777777" w:rsidR="00F237EC" w:rsidRDefault="00F237EC" w:rsidP="00E4482C">
      <w:pPr>
        <w:jc w:val="both"/>
        <w:rPr>
          <w:rFonts w:ascii="Arial" w:hAnsi="Arial" w:cs="Arial"/>
          <w:sz w:val="24"/>
          <w:szCs w:val="24"/>
        </w:rPr>
      </w:pPr>
      <w:r w:rsidRPr="00F237EC">
        <w:rPr>
          <w:rFonts w:ascii="Arial" w:hAnsi="Arial" w:cs="Arial"/>
          <w:sz w:val="24"/>
          <w:szCs w:val="24"/>
        </w:rPr>
        <w:t xml:space="preserve">En la era moderna, los estándares de bienestar se consideran factores estratégicos. Las plantas de ósmosis inversa proporcionan agua potable ilimitada para el consumo e higiene. El uso generalizado del aire acondicionado ya no es un lujo, sino una necesidad técnica para enfriar los servidores de los sistemas de combate y, simultáneamente, mantener la habitabilidad de la dotación en misiones prolongadas o climas extremos. El enfoque contemporáneo abarca la salud mental, cocinas con equipamiento industrial automatizado para dietas balanceadas y espacios de habitabilidad diseñados bajo </w:t>
      </w:r>
      <w:r w:rsidRPr="002E791A">
        <w:rPr>
          <w:rFonts w:ascii="Arial" w:hAnsi="Arial" w:cs="Arial"/>
          <w:sz w:val="24"/>
          <w:szCs w:val="24"/>
        </w:rPr>
        <w:t>criterios</w:t>
      </w:r>
      <w:r w:rsidRPr="00F237EC">
        <w:rPr>
          <w:rFonts w:ascii="Arial" w:hAnsi="Arial" w:cs="Arial"/>
          <w:sz w:val="24"/>
          <w:szCs w:val="24"/>
        </w:rPr>
        <w:t xml:space="preserve"> ergonómicos para mitigar el estrés operativo en despliegues prolongados. </w:t>
      </w:r>
    </w:p>
    <w:p w14:paraId="22C015D1" w14:textId="49CDD4BD" w:rsidR="002E791A" w:rsidRPr="00F237EC" w:rsidRDefault="002E791A" w:rsidP="00E4482C">
      <w:pPr>
        <w:pStyle w:val="Ttulo3"/>
        <w:jc w:val="both"/>
      </w:pPr>
      <w:r>
        <w:t>Rol del Oficial de Abastecimiento</w:t>
      </w:r>
    </w:p>
    <w:p w14:paraId="6E3BF449" w14:textId="23219BC6" w:rsidR="00F237EC" w:rsidRPr="00F237EC" w:rsidRDefault="00F237EC" w:rsidP="00E4482C">
      <w:pPr>
        <w:jc w:val="both"/>
        <w:rPr>
          <w:rFonts w:ascii="Arial" w:hAnsi="Arial" w:cs="Arial"/>
          <w:sz w:val="24"/>
          <w:szCs w:val="24"/>
        </w:rPr>
      </w:pPr>
      <w:r w:rsidRPr="00F237EC">
        <w:rPr>
          <w:rFonts w:ascii="Arial" w:hAnsi="Arial" w:cs="Arial"/>
          <w:sz w:val="24"/>
          <w:szCs w:val="24"/>
        </w:rPr>
        <w:t xml:space="preserve">En el centro de esta evolución se posiciona el Oficial de Abastecimiento, cuya función ha transitado desde un rol puramente contable o de custodia hacia el de un administrador estratégico de recursos críticos, indispensable para sostener el binomio material-humano que compone el buque de guerra. El Oficial de Abastecimiento moderno debe dominar la logística predictiva, </w:t>
      </w:r>
      <w:r w:rsidR="006478E0" w:rsidRPr="00F237EC">
        <w:rPr>
          <w:rFonts w:ascii="Arial" w:hAnsi="Arial" w:cs="Arial"/>
          <w:sz w:val="24"/>
          <w:szCs w:val="24"/>
        </w:rPr>
        <w:t>puesto que,</w:t>
      </w:r>
      <w:r w:rsidRPr="00F237EC">
        <w:rPr>
          <w:rFonts w:ascii="Arial" w:hAnsi="Arial" w:cs="Arial"/>
          <w:sz w:val="24"/>
          <w:szCs w:val="24"/>
        </w:rPr>
        <w:t xml:space="preserve"> en una fragata tecnológica, la falla de un solo componente electrónico puede degradar por completo un sistema de armas guiadas, neutralizando la capacidad defensiva de la unidad. Por ende, la correcta catalogación, almacenamiento y reaprovisionamiento de los repuestos críticos es una tarea de supervivencia táctica. </w:t>
      </w:r>
    </w:p>
    <w:p w14:paraId="788E4502" w14:textId="7E147602" w:rsidR="00847663" w:rsidRPr="00F237EC" w:rsidRDefault="00F237EC" w:rsidP="00E4482C">
      <w:pPr>
        <w:jc w:val="both"/>
        <w:rPr>
          <w:rFonts w:ascii="Arial" w:hAnsi="Arial" w:cs="Arial"/>
          <w:sz w:val="24"/>
          <w:szCs w:val="24"/>
        </w:rPr>
      </w:pPr>
      <w:r w:rsidRPr="00F237EC">
        <w:rPr>
          <w:rFonts w:ascii="Arial" w:hAnsi="Arial" w:cs="Arial"/>
          <w:sz w:val="24"/>
          <w:szCs w:val="24"/>
        </w:rPr>
        <w:t xml:space="preserve">Del mismo modo, el oficial lidera la cadena interna que impacta directamente en la moral colectiva, donde la planificación de los menús, la adquisición de víveres frescos en puertos extranjeros y el mantenimiento de la cadena de frío son responsabilidades directas que impactan la salud y la cohesión de la dotación. Una </w:t>
      </w:r>
      <w:r w:rsidRPr="00F237EC">
        <w:rPr>
          <w:rFonts w:ascii="Arial" w:hAnsi="Arial" w:cs="Arial"/>
          <w:sz w:val="24"/>
          <w:szCs w:val="24"/>
        </w:rPr>
        <w:lastRenderedPageBreak/>
        <w:t>falla en la gestión de víveres o en los servicios de a bordo quiebra la disciplina y debilita el espíritu de cuerpo con la misma rapidez que una avería mecánica.</w:t>
      </w:r>
    </w:p>
    <w:p w14:paraId="5C5DF2C7" w14:textId="065363AA" w:rsidR="00F237EC" w:rsidRPr="00F237EC" w:rsidRDefault="00F237EC" w:rsidP="00E4482C">
      <w:pPr>
        <w:jc w:val="both"/>
        <w:rPr>
          <w:rFonts w:ascii="Arial" w:hAnsi="Arial" w:cs="Arial"/>
          <w:sz w:val="24"/>
          <w:szCs w:val="24"/>
        </w:rPr>
      </w:pPr>
      <w:r w:rsidRPr="00F237EC">
        <w:rPr>
          <w:rFonts w:ascii="Arial" w:hAnsi="Arial" w:cs="Arial"/>
          <w:sz w:val="24"/>
          <w:szCs w:val="24"/>
        </w:rPr>
        <w:t xml:space="preserve">Finalmente, la administración de combustibles, lubricantes, repuestos de alto costo y fondos fiscales en el mar impone un desafío ético riguroso. El Oficial de Abastecimiento debe actuar bajo los principios de transparencia, probidad y eficiencia económica, asegurando que cada recurso público asignado rinda el máximo beneficio operativo. En situaciones de crisis o conflicto internacional, la seguridad logística es sinónimo de autonomía estratégica, por lo que un control riguroso de los inventarios previene discrepancias que puedan inducir a error al Comando al momento de estimar los días de operaciones disponibles y la autonomía logística del buque. La integridad del oficial en el registro de las existencias y su capacidad para mitigar riesgos en la cadena de suministro global salvaguardan la seguridad nacional, asegurando que la unidad mantenga su capacidad de combate intacta bajo cualquier condición. </w:t>
      </w:r>
    </w:p>
    <w:p w14:paraId="4D41BD95" w14:textId="77777777" w:rsidR="00AC3747" w:rsidRPr="002A121C" w:rsidRDefault="00AC3747" w:rsidP="00E4482C">
      <w:pPr>
        <w:jc w:val="both"/>
        <w:rPr>
          <w:rFonts w:ascii="Arial" w:hAnsi="Arial" w:cs="Arial"/>
          <w:sz w:val="24"/>
          <w:szCs w:val="24"/>
        </w:rPr>
      </w:pPr>
    </w:p>
    <w:p w14:paraId="0B1E468A" w14:textId="14761CC4" w:rsidR="002A121C" w:rsidRPr="002A121C" w:rsidRDefault="006478E0" w:rsidP="00E4482C">
      <w:pPr>
        <w:jc w:val="both"/>
      </w:pPr>
      <w:r>
        <w:rPr>
          <w:rFonts w:ascii="Arial" w:hAnsi="Arial" w:cs="Arial"/>
          <w:noProof/>
          <w:sz w:val="24"/>
          <w:szCs w:val="24"/>
        </w:rPr>
        <w:drawing>
          <wp:inline distT="0" distB="0" distL="0" distR="0" wp14:anchorId="123A4606" wp14:editId="609D1E35">
            <wp:extent cx="5486400" cy="3200400"/>
            <wp:effectExtent l="0" t="0" r="0" b="19050"/>
            <wp:docPr id="125766094"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83507F4" w14:textId="77777777" w:rsidR="002430E3" w:rsidRDefault="002430E3" w:rsidP="00E4482C">
      <w:pPr>
        <w:pStyle w:val="Ttulo2"/>
        <w:jc w:val="both"/>
        <w:rPr>
          <w:lang w:val="es-MX"/>
        </w:rPr>
      </w:pPr>
    </w:p>
    <w:p w14:paraId="7787FC0F" w14:textId="77777777" w:rsidR="002430E3" w:rsidRDefault="002430E3" w:rsidP="002430E3">
      <w:pPr>
        <w:rPr>
          <w:lang w:val="es-MX"/>
        </w:rPr>
      </w:pPr>
    </w:p>
    <w:p w14:paraId="313D9CE3" w14:textId="77777777" w:rsidR="002430E3" w:rsidRDefault="002430E3" w:rsidP="00E4482C">
      <w:pPr>
        <w:pStyle w:val="Ttulo2"/>
        <w:jc w:val="both"/>
        <w:rPr>
          <w:lang w:val="es-MX"/>
        </w:rPr>
      </w:pPr>
    </w:p>
    <w:p w14:paraId="17C314A9" w14:textId="77777777" w:rsidR="002430E3" w:rsidRPr="002430E3" w:rsidRDefault="002430E3" w:rsidP="002430E3">
      <w:pPr>
        <w:rPr>
          <w:lang w:val="es-MX"/>
        </w:rPr>
      </w:pPr>
    </w:p>
    <w:p w14:paraId="3D316396" w14:textId="12FA8E9B" w:rsidR="004168F0" w:rsidRDefault="00523280" w:rsidP="00E4482C">
      <w:pPr>
        <w:pStyle w:val="Ttulo2"/>
        <w:jc w:val="both"/>
        <w:rPr>
          <w:lang w:val="es-MX"/>
        </w:rPr>
      </w:pPr>
      <w:r>
        <w:rPr>
          <w:lang w:val="es-MX"/>
        </w:rPr>
        <w:lastRenderedPageBreak/>
        <w:t>Conclusión</w:t>
      </w:r>
    </w:p>
    <w:p w14:paraId="59E8C14C" w14:textId="6260C067" w:rsidR="00523280" w:rsidRDefault="00523280" w:rsidP="00E4482C">
      <w:pPr>
        <w:jc w:val="both"/>
        <w:rPr>
          <w:rFonts w:ascii="Arial" w:hAnsi="Arial" w:cs="Arial"/>
          <w:sz w:val="24"/>
          <w:szCs w:val="24"/>
          <w:lang w:val="es-MX"/>
        </w:rPr>
      </w:pPr>
      <w:r w:rsidRPr="00523280">
        <w:rPr>
          <w:rFonts w:ascii="Arial" w:hAnsi="Arial" w:cs="Arial"/>
          <w:sz w:val="24"/>
          <w:szCs w:val="24"/>
          <w:lang w:val="es-MX"/>
        </w:rPr>
        <w:t xml:space="preserve">Las necesidades de defender la soberanía y los recursos de cada país y los intereses políticos de cada uno de ellos, obligan a un avance tecnológico continuo en sus capacidades de guerra. </w:t>
      </w:r>
      <w:r>
        <w:rPr>
          <w:rFonts w:ascii="Arial" w:hAnsi="Arial" w:cs="Arial"/>
          <w:sz w:val="24"/>
          <w:szCs w:val="24"/>
          <w:lang w:val="es-MX"/>
        </w:rPr>
        <w:t>Lo que ha provocado la reconfiguración de los escenarios navales, desplazando los límites del combate hacia dimensiones electrónicas, supersónicas y autónomas. Sin embargo, la tecnología por sí sola no garantiza la victoria; para lograr el éxito el factor humano es tan importante como el material.</w:t>
      </w:r>
    </w:p>
    <w:p w14:paraId="668ADF7C" w14:textId="2E79EE37" w:rsidR="00523280" w:rsidRPr="00E4482C" w:rsidRDefault="00523280" w:rsidP="00E4482C">
      <w:pPr>
        <w:jc w:val="both"/>
        <w:rPr>
          <w:rFonts w:ascii="Arial" w:hAnsi="Arial" w:cs="Arial"/>
          <w:sz w:val="24"/>
          <w:szCs w:val="24"/>
          <w:lang w:val="es-MX"/>
        </w:rPr>
      </w:pPr>
      <w:r>
        <w:rPr>
          <w:rFonts w:ascii="Arial" w:hAnsi="Arial" w:cs="Arial"/>
          <w:sz w:val="24"/>
          <w:szCs w:val="24"/>
          <w:lang w:val="es-MX"/>
        </w:rPr>
        <w:t>En este sentido, sin una logística previa, continua</w:t>
      </w:r>
      <w:r w:rsidR="00E4482C">
        <w:rPr>
          <w:rFonts w:ascii="Arial" w:hAnsi="Arial" w:cs="Arial"/>
          <w:sz w:val="24"/>
          <w:szCs w:val="24"/>
          <w:lang w:val="es-MX"/>
        </w:rPr>
        <w:t xml:space="preserve"> y </w:t>
      </w:r>
      <w:r>
        <w:rPr>
          <w:rFonts w:ascii="Arial" w:hAnsi="Arial" w:cs="Arial"/>
          <w:sz w:val="24"/>
          <w:szCs w:val="24"/>
          <w:lang w:val="es-MX"/>
        </w:rPr>
        <w:t xml:space="preserve">progresiva ningún avance tecnológico </w:t>
      </w:r>
      <w:r w:rsidR="00E4482C">
        <w:rPr>
          <w:rFonts w:ascii="Arial" w:hAnsi="Arial" w:cs="Arial"/>
          <w:sz w:val="24"/>
          <w:szCs w:val="24"/>
          <w:lang w:val="es-MX"/>
        </w:rPr>
        <w:t xml:space="preserve">valdrá. Por tanto, la función del Oficial de Abastecimiento se consolida como un pilar estratégico imprescindible. Su capacidad para gestionar cadenas de suministro globales hipercomplejas, asegurar habitabilidad y bienestar a la dotación, además de administrar recursos fiscales con una alta probidad es lo que transforma el potencial tecnológico de una plataforma en una autonomía estratégica y poder naval efectivo. </w:t>
      </w:r>
    </w:p>
    <w:p w14:paraId="3B143223" w14:textId="77777777" w:rsidR="00523280" w:rsidRDefault="00523280" w:rsidP="00E4482C">
      <w:pPr>
        <w:jc w:val="both"/>
        <w:rPr>
          <w:lang w:val="es-MX"/>
        </w:rPr>
      </w:pPr>
    </w:p>
    <w:p w14:paraId="2179533E" w14:textId="59B70F34" w:rsidR="00523280" w:rsidRDefault="00523280" w:rsidP="00E4482C">
      <w:pPr>
        <w:pStyle w:val="Ttulo4"/>
        <w:jc w:val="both"/>
        <w:rPr>
          <w:lang w:val="es-MX"/>
        </w:rPr>
      </w:pPr>
      <w:r>
        <w:rPr>
          <w:lang w:val="es-MX"/>
        </w:rPr>
        <w:t>Bibliografía</w:t>
      </w:r>
    </w:p>
    <w:p w14:paraId="3CC72930" w14:textId="77777777" w:rsidR="00523280" w:rsidRPr="00523280" w:rsidRDefault="00523280" w:rsidP="00E4482C">
      <w:pPr>
        <w:pStyle w:val="NormalWeb"/>
        <w:numPr>
          <w:ilvl w:val="0"/>
          <w:numId w:val="6"/>
        </w:numPr>
        <w:jc w:val="both"/>
        <w:rPr>
          <w:rFonts w:ascii="Arial" w:hAnsi="Arial" w:cs="Arial"/>
        </w:rPr>
      </w:pPr>
      <w:r w:rsidRPr="00523280">
        <w:rPr>
          <w:rFonts w:ascii="Arial" w:hAnsi="Arial" w:cs="Arial"/>
        </w:rPr>
        <w:t xml:space="preserve">García Covacevich, A. (2026). </w:t>
      </w:r>
      <w:r w:rsidRPr="00523280">
        <w:rPr>
          <w:rFonts w:ascii="Arial" w:hAnsi="Arial" w:cs="Arial"/>
          <w:i/>
          <w:iCs/>
        </w:rPr>
        <w:t>Sistemas Navales: Introducción a los buques de guerra actuales</w:t>
      </w:r>
      <w:r w:rsidRPr="00523280">
        <w:rPr>
          <w:rFonts w:ascii="Arial" w:hAnsi="Arial" w:cs="Arial"/>
        </w:rPr>
        <w:t>. Escuela Naval de Chile.</w:t>
      </w:r>
    </w:p>
    <w:p w14:paraId="227178C2" w14:textId="159F62B9" w:rsidR="00D528A7" w:rsidRPr="00E4482C" w:rsidRDefault="00523280" w:rsidP="00E4482C">
      <w:pPr>
        <w:pStyle w:val="NormalWeb"/>
        <w:numPr>
          <w:ilvl w:val="0"/>
          <w:numId w:val="6"/>
        </w:numPr>
        <w:jc w:val="both"/>
        <w:rPr>
          <w:rFonts w:ascii="Arial" w:hAnsi="Arial" w:cs="Arial"/>
        </w:rPr>
      </w:pPr>
      <w:proofErr w:type="spellStart"/>
      <w:r w:rsidRPr="00523280">
        <w:rPr>
          <w:rFonts w:ascii="Arial" w:hAnsi="Arial" w:cs="Arial"/>
        </w:rPr>
        <w:t>Tavra</w:t>
      </w:r>
      <w:proofErr w:type="spellEnd"/>
      <w:r w:rsidRPr="00523280">
        <w:rPr>
          <w:rFonts w:ascii="Arial" w:hAnsi="Arial" w:cs="Arial"/>
        </w:rPr>
        <w:t xml:space="preserve"> Checura, A. (s.f.). </w:t>
      </w:r>
      <w:r w:rsidRPr="00523280">
        <w:rPr>
          <w:rFonts w:ascii="Arial" w:hAnsi="Arial" w:cs="Arial"/>
          <w:i/>
          <w:iCs/>
        </w:rPr>
        <w:t>El desarrollo tecnológico y los sistemas de armas navales (Enfoque descriptivo)</w:t>
      </w:r>
      <w:r w:rsidRPr="00523280">
        <w:rPr>
          <w:rFonts w:ascii="Arial" w:hAnsi="Arial" w:cs="Arial"/>
        </w:rPr>
        <w:t>. Academia de Guerra Naval.</w:t>
      </w:r>
    </w:p>
    <w:p w14:paraId="06BDFAA2" w14:textId="77777777" w:rsidR="00D528A7" w:rsidRDefault="00D528A7" w:rsidP="00E4482C">
      <w:pPr>
        <w:jc w:val="both"/>
        <w:rPr>
          <w:lang w:val="es-MX"/>
        </w:rPr>
      </w:pPr>
    </w:p>
    <w:p w14:paraId="6DDCF1F9" w14:textId="77777777" w:rsidR="00D528A7" w:rsidRDefault="00D528A7" w:rsidP="00E4482C">
      <w:pPr>
        <w:jc w:val="both"/>
        <w:rPr>
          <w:lang w:val="es-MX"/>
        </w:rPr>
      </w:pPr>
    </w:p>
    <w:p w14:paraId="5B3BBE95" w14:textId="77777777" w:rsidR="00D528A7" w:rsidRPr="00E4482C" w:rsidRDefault="00D528A7" w:rsidP="00E4482C">
      <w:pPr>
        <w:jc w:val="both"/>
        <w:rPr>
          <w:rFonts w:ascii="Arial" w:hAnsi="Arial" w:cs="Arial"/>
          <w:sz w:val="24"/>
          <w:szCs w:val="24"/>
          <w:lang w:val="es-MX"/>
        </w:rPr>
      </w:pPr>
    </w:p>
    <w:p w14:paraId="307C0FC2" w14:textId="59C0DE55" w:rsidR="00D528A7" w:rsidRPr="00E4482C" w:rsidRDefault="00D528A7" w:rsidP="00E4482C">
      <w:pPr>
        <w:pStyle w:val="Prrafodelista"/>
        <w:numPr>
          <w:ilvl w:val="0"/>
          <w:numId w:val="7"/>
        </w:numPr>
        <w:jc w:val="both"/>
        <w:rPr>
          <w:rFonts w:ascii="Arial" w:hAnsi="Arial" w:cs="Arial"/>
          <w:b/>
          <w:bCs/>
          <w:sz w:val="24"/>
          <w:szCs w:val="24"/>
          <w:lang w:val="es-MX"/>
        </w:rPr>
      </w:pPr>
      <w:r w:rsidRPr="00E4482C">
        <w:rPr>
          <w:rFonts w:ascii="Arial" w:hAnsi="Arial" w:cs="Arial"/>
          <w:b/>
          <w:bCs/>
          <w:sz w:val="24"/>
          <w:szCs w:val="24"/>
          <w:lang w:val="es-MX"/>
        </w:rPr>
        <w:t>Preguntas por responder</w:t>
      </w:r>
      <w:r w:rsidR="00E4482C">
        <w:rPr>
          <w:rFonts w:ascii="Arial" w:hAnsi="Arial" w:cs="Arial"/>
          <w:b/>
          <w:bCs/>
          <w:sz w:val="24"/>
          <w:szCs w:val="24"/>
          <w:lang w:val="es-MX"/>
        </w:rPr>
        <w:t>:</w:t>
      </w:r>
    </w:p>
    <w:p w14:paraId="51518547" w14:textId="77777777" w:rsidR="00E4482C" w:rsidRDefault="00F50FBC" w:rsidP="00E4482C">
      <w:pPr>
        <w:pStyle w:val="Prrafodelista"/>
        <w:numPr>
          <w:ilvl w:val="0"/>
          <w:numId w:val="8"/>
        </w:numPr>
        <w:jc w:val="both"/>
        <w:rPr>
          <w:rFonts w:ascii="Arial" w:hAnsi="Arial" w:cs="Arial"/>
          <w:sz w:val="24"/>
          <w:szCs w:val="24"/>
          <w:lang w:val="es-MX"/>
        </w:rPr>
      </w:pPr>
      <w:r w:rsidRPr="00E4482C">
        <w:rPr>
          <w:rFonts w:ascii="Arial" w:hAnsi="Arial" w:cs="Arial"/>
          <w:i/>
          <w:iCs/>
          <w:sz w:val="24"/>
          <w:szCs w:val="24"/>
          <w:lang w:val="es-MX"/>
        </w:rPr>
        <w:t>Herramienta utilizada:</w:t>
      </w:r>
      <w:r w:rsidRPr="00E4482C">
        <w:rPr>
          <w:rFonts w:ascii="Arial" w:hAnsi="Arial" w:cs="Arial"/>
          <w:sz w:val="24"/>
          <w:szCs w:val="24"/>
          <w:lang w:val="es-MX"/>
        </w:rPr>
        <w:t xml:space="preserve"> Gemini </w:t>
      </w:r>
      <w:proofErr w:type="spellStart"/>
      <w:r w:rsidRPr="00E4482C">
        <w:rPr>
          <w:rFonts w:ascii="Arial" w:hAnsi="Arial" w:cs="Arial"/>
          <w:sz w:val="24"/>
          <w:szCs w:val="24"/>
          <w:lang w:val="es-MX"/>
        </w:rPr>
        <w:t>Advanced</w:t>
      </w:r>
      <w:proofErr w:type="spellEnd"/>
    </w:p>
    <w:p w14:paraId="23C263AA" w14:textId="77777777" w:rsidR="00E4482C" w:rsidRDefault="00F50FBC" w:rsidP="00E4482C">
      <w:pPr>
        <w:pStyle w:val="Prrafodelista"/>
        <w:numPr>
          <w:ilvl w:val="0"/>
          <w:numId w:val="8"/>
        </w:numPr>
        <w:jc w:val="both"/>
        <w:rPr>
          <w:rFonts w:ascii="Arial" w:hAnsi="Arial" w:cs="Arial"/>
          <w:sz w:val="24"/>
          <w:szCs w:val="24"/>
          <w:lang w:val="es-MX"/>
        </w:rPr>
      </w:pPr>
      <w:r w:rsidRPr="00E4482C">
        <w:rPr>
          <w:rFonts w:ascii="Arial" w:hAnsi="Arial" w:cs="Arial"/>
          <w:i/>
          <w:iCs/>
          <w:sz w:val="24"/>
          <w:szCs w:val="24"/>
          <w:lang w:val="es-MX"/>
        </w:rPr>
        <w:t>Propósito del uso:</w:t>
      </w:r>
      <w:r w:rsidRPr="00E4482C">
        <w:rPr>
          <w:rFonts w:ascii="Arial" w:hAnsi="Arial" w:cs="Arial"/>
          <w:sz w:val="24"/>
          <w:szCs w:val="24"/>
          <w:lang w:val="es-MX"/>
        </w:rPr>
        <w:t xml:space="preserve"> orientarme en el propósito del trabajo, darme ideas de cómo estructurar el trabajo y ayudarme en la redacción de este. Además, de enseñarme a cómo citar en formato APA. </w:t>
      </w:r>
    </w:p>
    <w:p w14:paraId="0D9A6E4E" w14:textId="77777777" w:rsidR="00E4482C" w:rsidRDefault="00F50FBC" w:rsidP="00E4482C">
      <w:pPr>
        <w:pStyle w:val="Prrafodelista"/>
        <w:numPr>
          <w:ilvl w:val="0"/>
          <w:numId w:val="8"/>
        </w:numPr>
        <w:jc w:val="both"/>
        <w:rPr>
          <w:rFonts w:ascii="Arial" w:hAnsi="Arial" w:cs="Arial"/>
          <w:sz w:val="24"/>
          <w:szCs w:val="24"/>
          <w:lang w:val="es-MX"/>
        </w:rPr>
      </w:pPr>
      <w:r w:rsidRPr="00E4482C">
        <w:rPr>
          <w:rFonts w:ascii="Arial" w:hAnsi="Arial" w:cs="Arial"/>
          <w:i/>
          <w:iCs/>
          <w:sz w:val="24"/>
          <w:szCs w:val="24"/>
          <w:lang w:val="es-MX"/>
        </w:rPr>
        <w:t>Cambios realizados por mí:</w:t>
      </w:r>
      <w:r w:rsidRPr="00E4482C">
        <w:rPr>
          <w:rFonts w:ascii="Arial" w:hAnsi="Arial" w:cs="Arial"/>
          <w:sz w:val="24"/>
          <w:szCs w:val="24"/>
          <w:lang w:val="es-MX"/>
        </w:rPr>
        <w:t xml:space="preserve"> el texto fue creado a raíz de “Gemini”, sin embargo, fui sacando información sin ninguna fuente como base y fui agregando información respecto al PPT trabajado en clases y </w:t>
      </w:r>
      <w:r w:rsidR="00FD5A6E" w:rsidRPr="00E4482C">
        <w:rPr>
          <w:rFonts w:ascii="Arial" w:hAnsi="Arial" w:cs="Arial"/>
          <w:sz w:val="24"/>
          <w:szCs w:val="24"/>
          <w:lang w:val="es-MX"/>
        </w:rPr>
        <w:t xml:space="preserve">de otras fuentes. La conclusión fue solo mía. </w:t>
      </w:r>
    </w:p>
    <w:p w14:paraId="1966E59A" w14:textId="39E7D31A" w:rsidR="008D57CD" w:rsidRPr="00E4482C" w:rsidRDefault="008D57CD" w:rsidP="00E4482C">
      <w:pPr>
        <w:pStyle w:val="Prrafodelista"/>
        <w:numPr>
          <w:ilvl w:val="0"/>
          <w:numId w:val="8"/>
        </w:numPr>
        <w:jc w:val="both"/>
        <w:rPr>
          <w:rFonts w:ascii="Arial" w:hAnsi="Arial" w:cs="Arial"/>
          <w:sz w:val="24"/>
          <w:szCs w:val="24"/>
          <w:lang w:val="es-MX"/>
        </w:rPr>
      </w:pPr>
      <w:r w:rsidRPr="00E4482C">
        <w:rPr>
          <w:rFonts w:ascii="Arial" w:hAnsi="Arial" w:cs="Arial"/>
          <w:i/>
          <w:iCs/>
          <w:sz w:val="24"/>
          <w:szCs w:val="24"/>
          <w:lang w:val="es-MX"/>
        </w:rPr>
        <w:t xml:space="preserve">Parte del trabajo en que se </w:t>
      </w:r>
      <w:r w:rsidR="00E4482C" w:rsidRPr="00E4482C">
        <w:rPr>
          <w:rFonts w:ascii="Arial" w:hAnsi="Arial" w:cs="Arial"/>
          <w:i/>
          <w:iCs/>
          <w:sz w:val="24"/>
          <w:szCs w:val="24"/>
          <w:lang w:val="es-MX"/>
        </w:rPr>
        <w:t>utilizó</w:t>
      </w:r>
      <w:r w:rsidRPr="00E4482C">
        <w:rPr>
          <w:rFonts w:ascii="Arial" w:hAnsi="Arial" w:cs="Arial"/>
          <w:i/>
          <w:iCs/>
          <w:sz w:val="24"/>
          <w:szCs w:val="24"/>
          <w:lang w:val="es-MX"/>
        </w:rPr>
        <w:t xml:space="preserve"> IA:</w:t>
      </w:r>
      <w:r w:rsidRPr="00E4482C">
        <w:rPr>
          <w:rFonts w:ascii="Arial" w:hAnsi="Arial" w:cs="Arial"/>
          <w:sz w:val="24"/>
          <w:szCs w:val="24"/>
          <w:lang w:val="es-MX"/>
        </w:rPr>
        <w:t xml:space="preserve"> En la introducción y desarrollo. </w:t>
      </w:r>
    </w:p>
    <w:p w14:paraId="425BA08C" w14:textId="77777777" w:rsidR="00F50FBC" w:rsidRPr="00D528A7" w:rsidRDefault="00F50FBC" w:rsidP="00D528A7">
      <w:pPr>
        <w:rPr>
          <w:lang w:val="es-MX"/>
        </w:rPr>
      </w:pPr>
    </w:p>
    <w:sectPr w:rsidR="00F50FBC" w:rsidRPr="00D528A7" w:rsidSect="001D1958">
      <w:footerReference w:type="default" r:id="rId14"/>
      <w:pgSz w:w="12240" w:h="15840" w:code="1"/>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44D90" w14:textId="77777777" w:rsidR="00B05D82" w:rsidRDefault="00B05D82" w:rsidP="007E0744">
      <w:pPr>
        <w:spacing w:after="0" w:line="240" w:lineRule="auto"/>
      </w:pPr>
      <w:r>
        <w:separator/>
      </w:r>
    </w:p>
  </w:endnote>
  <w:endnote w:type="continuationSeparator" w:id="0">
    <w:p w14:paraId="24EF2ED2" w14:textId="77777777" w:rsidR="00B05D82" w:rsidRDefault="00B05D82" w:rsidP="007E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590926"/>
      <w:docPartObj>
        <w:docPartGallery w:val="Page Numbers (Bottom of Page)"/>
        <w:docPartUnique/>
      </w:docPartObj>
    </w:sdtPr>
    <w:sdtContent>
      <w:p w14:paraId="55B4C93D" w14:textId="65B90A95" w:rsidR="002430E3" w:rsidRDefault="002430E3">
        <w:pPr>
          <w:pStyle w:val="Piedepgina"/>
          <w:jc w:val="center"/>
        </w:pPr>
        <w:r>
          <w:fldChar w:fldCharType="begin"/>
        </w:r>
        <w:r>
          <w:instrText>PAGE   \* MERGEFORMAT</w:instrText>
        </w:r>
        <w:r>
          <w:fldChar w:fldCharType="separate"/>
        </w:r>
        <w:r>
          <w:rPr>
            <w:lang w:val="es-ES"/>
          </w:rPr>
          <w:t>2</w:t>
        </w:r>
        <w:r>
          <w:fldChar w:fldCharType="end"/>
        </w:r>
      </w:p>
    </w:sdtContent>
  </w:sdt>
  <w:p w14:paraId="3224650D" w14:textId="77777777" w:rsidR="002430E3" w:rsidRDefault="002430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D4FC3" w14:textId="77777777" w:rsidR="00B05D82" w:rsidRDefault="00B05D82" w:rsidP="007E0744">
      <w:pPr>
        <w:spacing w:after="0" w:line="240" w:lineRule="auto"/>
      </w:pPr>
      <w:r>
        <w:separator/>
      </w:r>
    </w:p>
  </w:footnote>
  <w:footnote w:type="continuationSeparator" w:id="0">
    <w:p w14:paraId="322F6F90" w14:textId="77777777" w:rsidR="00B05D82" w:rsidRDefault="00B05D82" w:rsidP="007E0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E06DA"/>
    <w:multiLevelType w:val="hybridMultilevel"/>
    <w:tmpl w:val="EFB6C902"/>
    <w:lvl w:ilvl="0" w:tplc="580A000F">
      <w:start w:val="1"/>
      <w:numFmt w:val="decimal"/>
      <w:lvlText w:val="%1."/>
      <w:lvlJc w:val="left"/>
      <w:pPr>
        <w:ind w:left="3118" w:hanging="360"/>
      </w:pPr>
      <w:rPr>
        <w:rFonts w:hint="default"/>
      </w:rPr>
    </w:lvl>
    <w:lvl w:ilvl="1" w:tplc="580A0019" w:tentative="1">
      <w:start w:val="1"/>
      <w:numFmt w:val="lowerLetter"/>
      <w:lvlText w:val="%2."/>
      <w:lvlJc w:val="left"/>
      <w:pPr>
        <w:ind w:left="3838" w:hanging="360"/>
      </w:pPr>
    </w:lvl>
    <w:lvl w:ilvl="2" w:tplc="580A001B" w:tentative="1">
      <w:start w:val="1"/>
      <w:numFmt w:val="lowerRoman"/>
      <w:lvlText w:val="%3."/>
      <w:lvlJc w:val="right"/>
      <w:pPr>
        <w:ind w:left="4558" w:hanging="180"/>
      </w:pPr>
    </w:lvl>
    <w:lvl w:ilvl="3" w:tplc="580A000F" w:tentative="1">
      <w:start w:val="1"/>
      <w:numFmt w:val="decimal"/>
      <w:lvlText w:val="%4."/>
      <w:lvlJc w:val="left"/>
      <w:pPr>
        <w:ind w:left="5278" w:hanging="360"/>
      </w:pPr>
    </w:lvl>
    <w:lvl w:ilvl="4" w:tplc="580A0019" w:tentative="1">
      <w:start w:val="1"/>
      <w:numFmt w:val="lowerLetter"/>
      <w:lvlText w:val="%5."/>
      <w:lvlJc w:val="left"/>
      <w:pPr>
        <w:ind w:left="5998" w:hanging="360"/>
      </w:pPr>
    </w:lvl>
    <w:lvl w:ilvl="5" w:tplc="580A001B" w:tentative="1">
      <w:start w:val="1"/>
      <w:numFmt w:val="lowerRoman"/>
      <w:lvlText w:val="%6."/>
      <w:lvlJc w:val="right"/>
      <w:pPr>
        <w:ind w:left="6718" w:hanging="180"/>
      </w:pPr>
    </w:lvl>
    <w:lvl w:ilvl="6" w:tplc="580A000F" w:tentative="1">
      <w:start w:val="1"/>
      <w:numFmt w:val="decimal"/>
      <w:lvlText w:val="%7."/>
      <w:lvlJc w:val="left"/>
      <w:pPr>
        <w:ind w:left="7438" w:hanging="360"/>
      </w:pPr>
    </w:lvl>
    <w:lvl w:ilvl="7" w:tplc="580A0019" w:tentative="1">
      <w:start w:val="1"/>
      <w:numFmt w:val="lowerLetter"/>
      <w:lvlText w:val="%8."/>
      <w:lvlJc w:val="left"/>
      <w:pPr>
        <w:ind w:left="8158" w:hanging="360"/>
      </w:pPr>
    </w:lvl>
    <w:lvl w:ilvl="8" w:tplc="580A001B" w:tentative="1">
      <w:start w:val="1"/>
      <w:numFmt w:val="lowerRoman"/>
      <w:lvlText w:val="%9."/>
      <w:lvlJc w:val="right"/>
      <w:pPr>
        <w:ind w:left="8878" w:hanging="180"/>
      </w:pPr>
    </w:lvl>
  </w:abstractNum>
  <w:abstractNum w:abstractNumId="1" w15:restartNumberingAfterBreak="0">
    <w:nsid w:val="21435268"/>
    <w:multiLevelType w:val="hybridMultilevel"/>
    <w:tmpl w:val="FB7EC2BA"/>
    <w:lvl w:ilvl="0" w:tplc="995CE88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2B505B5B"/>
    <w:multiLevelType w:val="hybridMultilevel"/>
    <w:tmpl w:val="085625DE"/>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3E66203C"/>
    <w:multiLevelType w:val="hybridMultilevel"/>
    <w:tmpl w:val="F58EE6E0"/>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5D3923EA"/>
    <w:multiLevelType w:val="hybridMultilevel"/>
    <w:tmpl w:val="F488864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68D7501B"/>
    <w:multiLevelType w:val="hybridMultilevel"/>
    <w:tmpl w:val="C8C4C100"/>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732106A8"/>
    <w:multiLevelType w:val="hybridMultilevel"/>
    <w:tmpl w:val="0C64D69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7EFE2279"/>
    <w:multiLevelType w:val="hybridMultilevel"/>
    <w:tmpl w:val="9A1CCD7C"/>
    <w:lvl w:ilvl="0" w:tplc="93FE1A2E">
      <w:start w:val="1"/>
      <w:numFmt w:val="decimal"/>
      <w:lvlText w:val="%1."/>
      <w:lvlJc w:val="left"/>
      <w:pPr>
        <w:ind w:left="1080" w:hanging="360"/>
      </w:pPr>
      <w:rPr>
        <w:rFonts w:hint="default"/>
      </w:rPr>
    </w:lvl>
    <w:lvl w:ilvl="1" w:tplc="580A0019">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num w:numId="1" w16cid:durableId="887105898">
    <w:abstractNumId w:val="0"/>
  </w:num>
  <w:num w:numId="2" w16cid:durableId="1755665092">
    <w:abstractNumId w:val="3"/>
  </w:num>
  <w:num w:numId="3" w16cid:durableId="2105030080">
    <w:abstractNumId w:val="7"/>
  </w:num>
  <w:num w:numId="4" w16cid:durableId="423460203">
    <w:abstractNumId w:val="1"/>
  </w:num>
  <w:num w:numId="5" w16cid:durableId="1642615191">
    <w:abstractNumId w:val="5"/>
  </w:num>
  <w:num w:numId="6" w16cid:durableId="1882815725">
    <w:abstractNumId w:val="6"/>
  </w:num>
  <w:num w:numId="7" w16cid:durableId="769812310">
    <w:abstractNumId w:val="2"/>
  </w:num>
  <w:num w:numId="8" w16cid:durableId="20489454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8F0"/>
    <w:rsid w:val="00042BCC"/>
    <w:rsid w:val="001D1958"/>
    <w:rsid w:val="002430E3"/>
    <w:rsid w:val="00284D9F"/>
    <w:rsid w:val="002A121C"/>
    <w:rsid w:val="002E791A"/>
    <w:rsid w:val="003F4026"/>
    <w:rsid w:val="004168F0"/>
    <w:rsid w:val="00523280"/>
    <w:rsid w:val="005D5B33"/>
    <w:rsid w:val="006478E0"/>
    <w:rsid w:val="006B54FD"/>
    <w:rsid w:val="006E5456"/>
    <w:rsid w:val="00792F46"/>
    <w:rsid w:val="00797377"/>
    <w:rsid w:val="007E008F"/>
    <w:rsid w:val="007E0744"/>
    <w:rsid w:val="00847663"/>
    <w:rsid w:val="00881D2E"/>
    <w:rsid w:val="008D57CD"/>
    <w:rsid w:val="00AC3747"/>
    <w:rsid w:val="00B05D82"/>
    <w:rsid w:val="00B30725"/>
    <w:rsid w:val="00D528A7"/>
    <w:rsid w:val="00DA79E2"/>
    <w:rsid w:val="00DF58BE"/>
    <w:rsid w:val="00E4482C"/>
    <w:rsid w:val="00EC0D43"/>
    <w:rsid w:val="00F237EC"/>
    <w:rsid w:val="00F50FBC"/>
    <w:rsid w:val="00FD4271"/>
    <w:rsid w:val="00FD5A6E"/>
    <w:rsid w:val="00FE388F"/>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E223B"/>
  <w15:chartTrackingRefBased/>
  <w15:docId w15:val="{AE3986E1-E895-4C73-9905-0F3515324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280"/>
  </w:style>
  <w:style w:type="paragraph" w:styleId="Ttulo1">
    <w:name w:val="heading 1"/>
    <w:basedOn w:val="Normal"/>
    <w:next w:val="Normal"/>
    <w:link w:val="Ttulo1Car"/>
    <w:uiPriority w:val="9"/>
    <w:qFormat/>
    <w:rsid w:val="004168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4168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4168F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4168F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168F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168F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168F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168F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168F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168F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4168F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4168F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4168F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168F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168F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168F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168F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168F0"/>
    <w:rPr>
      <w:rFonts w:eastAsiaTheme="majorEastAsia" w:cstheme="majorBidi"/>
      <w:color w:val="272727" w:themeColor="text1" w:themeTint="D8"/>
    </w:rPr>
  </w:style>
  <w:style w:type="paragraph" w:styleId="Ttulo">
    <w:name w:val="Title"/>
    <w:basedOn w:val="Normal"/>
    <w:next w:val="Normal"/>
    <w:link w:val="TtuloCar"/>
    <w:uiPriority w:val="10"/>
    <w:qFormat/>
    <w:rsid w:val="00416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168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168F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168F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168F0"/>
    <w:pPr>
      <w:spacing w:before="160"/>
      <w:jc w:val="center"/>
    </w:pPr>
    <w:rPr>
      <w:i/>
      <w:iCs/>
      <w:color w:val="404040" w:themeColor="text1" w:themeTint="BF"/>
    </w:rPr>
  </w:style>
  <w:style w:type="character" w:customStyle="1" w:styleId="CitaCar">
    <w:name w:val="Cita Car"/>
    <w:basedOn w:val="Fuentedeprrafopredeter"/>
    <w:link w:val="Cita"/>
    <w:uiPriority w:val="29"/>
    <w:rsid w:val="004168F0"/>
    <w:rPr>
      <w:i/>
      <w:iCs/>
      <w:color w:val="404040" w:themeColor="text1" w:themeTint="BF"/>
    </w:rPr>
  </w:style>
  <w:style w:type="paragraph" w:styleId="Prrafodelista">
    <w:name w:val="List Paragraph"/>
    <w:basedOn w:val="Normal"/>
    <w:uiPriority w:val="34"/>
    <w:qFormat/>
    <w:rsid w:val="004168F0"/>
    <w:pPr>
      <w:ind w:left="720"/>
      <w:contextualSpacing/>
    </w:pPr>
  </w:style>
  <w:style w:type="character" w:styleId="nfasisintenso">
    <w:name w:val="Intense Emphasis"/>
    <w:basedOn w:val="Fuentedeprrafopredeter"/>
    <w:uiPriority w:val="21"/>
    <w:qFormat/>
    <w:rsid w:val="004168F0"/>
    <w:rPr>
      <w:i/>
      <w:iCs/>
      <w:color w:val="2F5496" w:themeColor="accent1" w:themeShade="BF"/>
    </w:rPr>
  </w:style>
  <w:style w:type="paragraph" w:styleId="Citadestacada">
    <w:name w:val="Intense Quote"/>
    <w:basedOn w:val="Normal"/>
    <w:next w:val="Normal"/>
    <w:link w:val="CitadestacadaCar"/>
    <w:uiPriority w:val="30"/>
    <w:qFormat/>
    <w:rsid w:val="004168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168F0"/>
    <w:rPr>
      <w:i/>
      <w:iCs/>
      <w:color w:val="2F5496" w:themeColor="accent1" w:themeShade="BF"/>
    </w:rPr>
  </w:style>
  <w:style w:type="character" w:styleId="Referenciaintensa">
    <w:name w:val="Intense Reference"/>
    <w:basedOn w:val="Fuentedeprrafopredeter"/>
    <w:uiPriority w:val="32"/>
    <w:qFormat/>
    <w:rsid w:val="004168F0"/>
    <w:rPr>
      <w:b/>
      <w:bCs/>
      <w:smallCaps/>
      <w:color w:val="2F5496" w:themeColor="accent1" w:themeShade="BF"/>
      <w:spacing w:val="5"/>
    </w:rPr>
  </w:style>
  <w:style w:type="paragraph" w:styleId="Sinespaciado">
    <w:name w:val="No Spacing"/>
    <w:link w:val="SinespaciadoCar"/>
    <w:uiPriority w:val="1"/>
    <w:qFormat/>
    <w:rsid w:val="007E0744"/>
    <w:pPr>
      <w:spacing w:after="0" w:line="240" w:lineRule="auto"/>
    </w:pPr>
    <w:rPr>
      <w:rFonts w:eastAsiaTheme="minorEastAsia"/>
      <w:kern w:val="0"/>
      <w:lang w:eastAsia="es-419"/>
      <w14:ligatures w14:val="none"/>
    </w:rPr>
  </w:style>
  <w:style w:type="character" w:customStyle="1" w:styleId="SinespaciadoCar">
    <w:name w:val="Sin espaciado Car"/>
    <w:basedOn w:val="Fuentedeprrafopredeter"/>
    <w:link w:val="Sinespaciado"/>
    <w:uiPriority w:val="1"/>
    <w:rsid w:val="007E0744"/>
    <w:rPr>
      <w:rFonts w:eastAsiaTheme="minorEastAsia"/>
      <w:kern w:val="0"/>
      <w:lang w:eastAsia="es-419"/>
      <w14:ligatures w14:val="none"/>
    </w:rPr>
  </w:style>
  <w:style w:type="paragraph" w:styleId="TtuloTDC">
    <w:name w:val="TOC Heading"/>
    <w:basedOn w:val="Ttulo1"/>
    <w:next w:val="Normal"/>
    <w:uiPriority w:val="39"/>
    <w:unhideWhenUsed/>
    <w:qFormat/>
    <w:rsid w:val="007E0744"/>
    <w:pPr>
      <w:spacing w:before="240" w:after="0"/>
      <w:outlineLvl w:val="9"/>
    </w:pPr>
    <w:rPr>
      <w:kern w:val="0"/>
      <w:sz w:val="32"/>
      <w:szCs w:val="32"/>
      <w:lang w:eastAsia="es-419"/>
      <w14:ligatures w14:val="none"/>
    </w:rPr>
  </w:style>
  <w:style w:type="paragraph" w:styleId="TDC2">
    <w:name w:val="toc 2"/>
    <w:basedOn w:val="Normal"/>
    <w:next w:val="Normal"/>
    <w:autoRedefine/>
    <w:uiPriority w:val="39"/>
    <w:unhideWhenUsed/>
    <w:rsid w:val="007E0744"/>
    <w:pPr>
      <w:spacing w:after="100"/>
      <w:ind w:left="220"/>
    </w:pPr>
  </w:style>
  <w:style w:type="character" w:styleId="Hipervnculo">
    <w:name w:val="Hyperlink"/>
    <w:basedOn w:val="Fuentedeprrafopredeter"/>
    <w:uiPriority w:val="99"/>
    <w:unhideWhenUsed/>
    <w:rsid w:val="007E0744"/>
    <w:rPr>
      <w:color w:val="0563C1" w:themeColor="hyperlink"/>
      <w:u w:val="single"/>
    </w:rPr>
  </w:style>
  <w:style w:type="paragraph" w:styleId="TDC1">
    <w:name w:val="toc 1"/>
    <w:basedOn w:val="Normal"/>
    <w:next w:val="Normal"/>
    <w:autoRedefine/>
    <w:uiPriority w:val="39"/>
    <w:unhideWhenUsed/>
    <w:rsid w:val="007E0744"/>
    <w:pPr>
      <w:spacing w:after="100"/>
    </w:pPr>
    <w:rPr>
      <w:rFonts w:eastAsiaTheme="minorEastAsia" w:cs="Times New Roman"/>
      <w:kern w:val="0"/>
      <w:lang w:eastAsia="es-419"/>
      <w14:ligatures w14:val="none"/>
    </w:rPr>
  </w:style>
  <w:style w:type="paragraph" w:styleId="TDC3">
    <w:name w:val="toc 3"/>
    <w:basedOn w:val="Normal"/>
    <w:next w:val="Normal"/>
    <w:autoRedefine/>
    <w:uiPriority w:val="39"/>
    <w:unhideWhenUsed/>
    <w:rsid w:val="007E0744"/>
    <w:pPr>
      <w:spacing w:after="100"/>
      <w:ind w:left="440"/>
    </w:pPr>
    <w:rPr>
      <w:rFonts w:eastAsiaTheme="minorEastAsia" w:cs="Times New Roman"/>
      <w:kern w:val="0"/>
      <w:lang w:eastAsia="es-419"/>
      <w14:ligatures w14:val="none"/>
    </w:rPr>
  </w:style>
  <w:style w:type="paragraph" w:styleId="Encabezado">
    <w:name w:val="header"/>
    <w:basedOn w:val="Normal"/>
    <w:link w:val="EncabezadoCar"/>
    <w:uiPriority w:val="99"/>
    <w:unhideWhenUsed/>
    <w:rsid w:val="007E074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0744"/>
  </w:style>
  <w:style w:type="paragraph" w:styleId="Piedepgina">
    <w:name w:val="footer"/>
    <w:basedOn w:val="Normal"/>
    <w:link w:val="PiedepginaCar"/>
    <w:uiPriority w:val="99"/>
    <w:unhideWhenUsed/>
    <w:rsid w:val="007E074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0744"/>
  </w:style>
  <w:style w:type="table" w:styleId="Tablaconcuadrcula">
    <w:name w:val="Table Grid"/>
    <w:basedOn w:val="Tablanormal"/>
    <w:uiPriority w:val="39"/>
    <w:rsid w:val="00AC3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478E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478E0"/>
    <w:rPr>
      <w:sz w:val="20"/>
      <w:szCs w:val="20"/>
    </w:rPr>
  </w:style>
  <w:style w:type="character" w:styleId="Refdenotaalpie">
    <w:name w:val="footnote reference"/>
    <w:basedOn w:val="Fuentedeprrafopredeter"/>
    <w:uiPriority w:val="99"/>
    <w:semiHidden/>
    <w:unhideWhenUsed/>
    <w:rsid w:val="006478E0"/>
    <w:rPr>
      <w:vertAlign w:val="superscript"/>
    </w:rPr>
  </w:style>
  <w:style w:type="paragraph" w:styleId="NormalWeb">
    <w:name w:val="Normal (Web)"/>
    <w:basedOn w:val="Normal"/>
    <w:uiPriority w:val="99"/>
    <w:unhideWhenUsed/>
    <w:rsid w:val="00523280"/>
    <w:pPr>
      <w:spacing w:before="100" w:beforeAutospacing="1" w:after="100" w:afterAutospacing="1" w:line="240" w:lineRule="auto"/>
    </w:pPr>
    <w:rPr>
      <w:rFonts w:ascii="Times New Roman" w:eastAsia="Times New Roman" w:hAnsi="Times New Roman" w:cs="Times New Roman"/>
      <w:kern w:val="0"/>
      <w:sz w:val="24"/>
      <w:szCs w:val="24"/>
      <w:lang w:eastAsia="es-41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0CB08A-4A97-493D-A15A-C793295DAE44}"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s-419"/>
        </a:p>
      </dgm:t>
    </dgm:pt>
    <dgm:pt modelId="{262EDDA3-5EF4-4B1B-A413-DF9A146811D9}">
      <dgm:prSet phldrT="[Texto]"/>
      <dgm:spPr/>
      <dgm:t>
        <a:bodyPr/>
        <a:lstStyle/>
        <a:p>
          <a:r>
            <a:rPr lang="es-419"/>
            <a:t>Oficial de Abastecimiento</a:t>
          </a:r>
        </a:p>
      </dgm:t>
    </dgm:pt>
    <dgm:pt modelId="{91C5F346-783E-4152-9A00-3F2F36673BFF}" type="parTrans" cxnId="{E7D09766-C62D-479D-B617-6E450335CD85}">
      <dgm:prSet/>
      <dgm:spPr/>
      <dgm:t>
        <a:bodyPr/>
        <a:lstStyle/>
        <a:p>
          <a:endParaRPr lang="es-419"/>
        </a:p>
      </dgm:t>
    </dgm:pt>
    <dgm:pt modelId="{5EE099C9-C66C-47F9-B749-92150FDA795D}" type="sibTrans" cxnId="{E7D09766-C62D-479D-B617-6E450335CD85}">
      <dgm:prSet/>
      <dgm:spPr/>
      <dgm:t>
        <a:bodyPr/>
        <a:lstStyle/>
        <a:p>
          <a:endParaRPr lang="es-419"/>
        </a:p>
      </dgm:t>
    </dgm:pt>
    <dgm:pt modelId="{62245805-C1DB-41BB-BA3A-33D846C8DA50}">
      <dgm:prSet phldrT="[Texto]"/>
      <dgm:spPr/>
      <dgm:t>
        <a:bodyPr/>
        <a:lstStyle/>
        <a:p>
          <a:r>
            <a:rPr lang="es-419"/>
            <a:t>Continuidad Operativa</a:t>
          </a:r>
        </a:p>
        <a:p>
          <a:r>
            <a:rPr lang="es-419"/>
            <a:t>*Gestión de repuestos</a:t>
          </a:r>
        </a:p>
        <a:p>
          <a:r>
            <a:rPr lang="es-419"/>
            <a:t>*Cadena de suministro Global</a:t>
          </a:r>
        </a:p>
        <a:p>
          <a:r>
            <a:rPr lang="es-419"/>
            <a:t>*Control de combustible</a:t>
          </a:r>
        </a:p>
      </dgm:t>
    </dgm:pt>
    <dgm:pt modelId="{5D1A3469-5399-4D83-8DE3-FFFA9E673705}" type="parTrans" cxnId="{23EFE5E4-2C8D-4B8B-B0FB-0D9F62B18BC9}">
      <dgm:prSet/>
      <dgm:spPr/>
      <dgm:t>
        <a:bodyPr/>
        <a:lstStyle/>
        <a:p>
          <a:endParaRPr lang="es-419"/>
        </a:p>
      </dgm:t>
    </dgm:pt>
    <dgm:pt modelId="{8F298FD4-CF2A-4B1F-BAAE-A32FFB24CB99}" type="sibTrans" cxnId="{23EFE5E4-2C8D-4B8B-B0FB-0D9F62B18BC9}">
      <dgm:prSet/>
      <dgm:spPr/>
      <dgm:t>
        <a:bodyPr/>
        <a:lstStyle/>
        <a:p>
          <a:endParaRPr lang="es-419"/>
        </a:p>
      </dgm:t>
    </dgm:pt>
    <dgm:pt modelId="{1B536686-22F7-4121-A012-6C9A0BFEA89B}">
      <dgm:prSet phldrT="[Texto]"/>
      <dgm:spPr/>
      <dgm:t>
        <a:bodyPr/>
        <a:lstStyle/>
        <a:p>
          <a:r>
            <a:rPr lang="es-419"/>
            <a:t>Bienestar de la dotación</a:t>
          </a:r>
        </a:p>
        <a:p>
          <a:r>
            <a:rPr lang="es-419"/>
            <a:t>*Alimentación</a:t>
          </a:r>
        </a:p>
        <a:p>
          <a:r>
            <a:rPr lang="es-419"/>
            <a:t>*Habitabilidad</a:t>
          </a:r>
        </a:p>
        <a:p>
          <a:r>
            <a:rPr lang="es-419"/>
            <a:t>*Sostenimiento de la moral</a:t>
          </a:r>
        </a:p>
        <a:p>
          <a:endParaRPr lang="es-419"/>
        </a:p>
      </dgm:t>
    </dgm:pt>
    <dgm:pt modelId="{962888D6-585C-47DB-95A4-E06831DC1880}" type="parTrans" cxnId="{4BD4D7DF-D3FB-45B3-90BB-A7637B5900B8}">
      <dgm:prSet/>
      <dgm:spPr/>
      <dgm:t>
        <a:bodyPr/>
        <a:lstStyle/>
        <a:p>
          <a:endParaRPr lang="es-419"/>
        </a:p>
      </dgm:t>
    </dgm:pt>
    <dgm:pt modelId="{B090CB23-D68D-4C0D-AC1F-66B739FE6B3A}" type="sibTrans" cxnId="{4BD4D7DF-D3FB-45B3-90BB-A7637B5900B8}">
      <dgm:prSet/>
      <dgm:spPr/>
      <dgm:t>
        <a:bodyPr/>
        <a:lstStyle/>
        <a:p>
          <a:endParaRPr lang="es-419"/>
        </a:p>
      </dgm:t>
    </dgm:pt>
    <dgm:pt modelId="{FBB9A483-676D-467C-AA78-B428E4FBF4A2}">
      <dgm:prSet/>
      <dgm:spPr/>
      <dgm:t>
        <a:bodyPr/>
        <a:lstStyle/>
        <a:p>
          <a:r>
            <a:rPr lang="es-419"/>
            <a:t>Ethos y Seguridad Naval</a:t>
          </a:r>
        </a:p>
        <a:p>
          <a:r>
            <a:rPr lang="es-419"/>
            <a:t>*Probidad en recursos públicos</a:t>
          </a:r>
        </a:p>
        <a:p>
          <a:r>
            <a:rPr lang="es-419"/>
            <a:t>*Autonomía logística crítica</a:t>
          </a:r>
        </a:p>
      </dgm:t>
    </dgm:pt>
    <dgm:pt modelId="{635339D4-B032-4CA9-BA5A-297887F4D6AE}" type="parTrans" cxnId="{D6919003-C2AF-44E4-9EC1-D8CBAE6E57BD}">
      <dgm:prSet/>
      <dgm:spPr/>
      <dgm:t>
        <a:bodyPr/>
        <a:lstStyle/>
        <a:p>
          <a:endParaRPr lang="es-419"/>
        </a:p>
      </dgm:t>
    </dgm:pt>
    <dgm:pt modelId="{736F09E3-14A7-4208-9FEB-1D1AB8A73FA3}" type="sibTrans" cxnId="{D6919003-C2AF-44E4-9EC1-D8CBAE6E57BD}">
      <dgm:prSet/>
      <dgm:spPr/>
      <dgm:t>
        <a:bodyPr/>
        <a:lstStyle/>
        <a:p>
          <a:endParaRPr lang="es-419"/>
        </a:p>
      </dgm:t>
    </dgm:pt>
    <dgm:pt modelId="{46735C8E-28B8-4691-8517-F4D686A0E16E}" type="pres">
      <dgm:prSet presAssocID="{5E0CB08A-4A97-493D-A15A-C793295DAE44}" presName="diagram" presStyleCnt="0">
        <dgm:presLayoutVars>
          <dgm:chPref val="1"/>
          <dgm:dir/>
          <dgm:animOne val="branch"/>
          <dgm:animLvl val="lvl"/>
          <dgm:resizeHandles val="exact"/>
        </dgm:presLayoutVars>
      </dgm:prSet>
      <dgm:spPr/>
    </dgm:pt>
    <dgm:pt modelId="{30A7B97D-7E42-4DCA-B6A0-7AD13E9AF4B4}" type="pres">
      <dgm:prSet presAssocID="{262EDDA3-5EF4-4B1B-A413-DF9A146811D9}" presName="root1" presStyleCnt="0"/>
      <dgm:spPr/>
    </dgm:pt>
    <dgm:pt modelId="{1EB85CDA-910A-4682-8B2D-12F3C1E70803}" type="pres">
      <dgm:prSet presAssocID="{262EDDA3-5EF4-4B1B-A413-DF9A146811D9}" presName="LevelOneTextNode" presStyleLbl="node0" presStyleIdx="0" presStyleCnt="1">
        <dgm:presLayoutVars>
          <dgm:chPref val="3"/>
        </dgm:presLayoutVars>
      </dgm:prSet>
      <dgm:spPr/>
    </dgm:pt>
    <dgm:pt modelId="{CAFC5122-0A9D-4A54-9B10-701CFC261E61}" type="pres">
      <dgm:prSet presAssocID="{262EDDA3-5EF4-4B1B-A413-DF9A146811D9}" presName="level2hierChild" presStyleCnt="0"/>
      <dgm:spPr/>
    </dgm:pt>
    <dgm:pt modelId="{A8804086-25DA-4AEE-9207-348A72391AFC}" type="pres">
      <dgm:prSet presAssocID="{5D1A3469-5399-4D83-8DE3-FFFA9E673705}" presName="conn2-1" presStyleLbl="parChTrans1D2" presStyleIdx="0" presStyleCnt="3"/>
      <dgm:spPr/>
    </dgm:pt>
    <dgm:pt modelId="{6EF003E2-C95F-4441-B9B3-4BD1A9495A81}" type="pres">
      <dgm:prSet presAssocID="{5D1A3469-5399-4D83-8DE3-FFFA9E673705}" presName="connTx" presStyleLbl="parChTrans1D2" presStyleIdx="0" presStyleCnt="3"/>
      <dgm:spPr/>
    </dgm:pt>
    <dgm:pt modelId="{A9DE2900-D559-4602-9FD0-F9AAC27BFE42}" type="pres">
      <dgm:prSet presAssocID="{62245805-C1DB-41BB-BA3A-33D846C8DA50}" presName="root2" presStyleCnt="0"/>
      <dgm:spPr/>
    </dgm:pt>
    <dgm:pt modelId="{DD227873-4005-4BA4-A747-C803755F2504}" type="pres">
      <dgm:prSet presAssocID="{62245805-C1DB-41BB-BA3A-33D846C8DA50}" presName="LevelTwoTextNode" presStyleLbl="node2" presStyleIdx="0" presStyleCnt="3">
        <dgm:presLayoutVars>
          <dgm:chPref val="3"/>
        </dgm:presLayoutVars>
      </dgm:prSet>
      <dgm:spPr/>
    </dgm:pt>
    <dgm:pt modelId="{52FD4C5D-B575-4785-9D52-45AFC190599D}" type="pres">
      <dgm:prSet presAssocID="{62245805-C1DB-41BB-BA3A-33D846C8DA50}" presName="level3hierChild" presStyleCnt="0"/>
      <dgm:spPr/>
    </dgm:pt>
    <dgm:pt modelId="{17FEC499-F06F-43FB-8A39-2DA6E06D7B19}" type="pres">
      <dgm:prSet presAssocID="{635339D4-B032-4CA9-BA5A-297887F4D6AE}" presName="conn2-1" presStyleLbl="parChTrans1D2" presStyleIdx="1" presStyleCnt="3"/>
      <dgm:spPr/>
    </dgm:pt>
    <dgm:pt modelId="{E8F9E0A1-A74C-4543-AA05-057B0361EF32}" type="pres">
      <dgm:prSet presAssocID="{635339D4-B032-4CA9-BA5A-297887F4D6AE}" presName="connTx" presStyleLbl="parChTrans1D2" presStyleIdx="1" presStyleCnt="3"/>
      <dgm:spPr/>
    </dgm:pt>
    <dgm:pt modelId="{3793DC85-6EEC-49FD-BE2E-01892152B12D}" type="pres">
      <dgm:prSet presAssocID="{FBB9A483-676D-467C-AA78-B428E4FBF4A2}" presName="root2" presStyleCnt="0"/>
      <dgm:spPr/>
    </dgm:pt>
    <dgm:pt modelId="{D39762EF-1603-4C79-9218-086D4F2DDF10}" type="pres">
      <dgm:prSet presAssocID="{FBB9A483-676D-467C-AA78-B428E4FBF4A2}" presName="LevelTwoTextNode" presStyleLbl="node2" presStyleIdx="1" presStyleCnt="3" custLinFactNeighborX="922" custLinFactNeighborY="-983">
        <dgm:presLayoutVars>
          <dgm:chPref val="3"/>
        </dgm:presLayoutVars>
      </dgm:prSet>
      <dgm:spPr/>
    </dgm:pt>
    <dgm:pt modelId="{2503C6DE-8C4E-44EF-9DAE-A4A32D38023C}" type="pres">
      <dgm:prSet presAssocID="{FBB9A483-676D-467C-AA78-B428E4FBF4A2}" presName="level3hierChild" presStyleCnt="0"/>
      <dgm:spPr/>
    </dgm:pt>
    <dgm:pt modelId="{B6CA4554-0776-4959-8324-4759FC3CC8A4}" type="pres">
      <dgm:prSet presAssocID="{962888D6-585C-47DB-95A4-E06831DC1880}" presName="conn2-1" presStyleLbl="parChTrans1D2" presStyleIdx="2" presStyleCnt="3"/>
      <dgm:spPr/>
    </dgm:pt>
    <dgm:pt modelId="{403537F5-43D6-4CD5-B269-B455FC19705D}" type="pres">
      <dgm:prSet presAssocID="{962888D6-585C-47DB-95A4-E06831DC1880}" presName="connTx" presStyleLbl="parChTrans1D2" presStyleIdx="2" presStyleCnt="3"/>
      <dgm:spPr/>
    </dgm:pt>
    <dgm:pt modelId="{7E72D8BC-E0AA-4144-BB46-940EAA2ADF6D}" type="pres">
      <dgm:prSet presAssocID="{1B536686-22F7-4121-A012-6C9A0BFEA89B}" presName="root2" presStyleCnt="0"/>
      <dgm:spPr/>
    </dgm:pt>
    <dgm:pt modelId="{494C5DA3-8045-41C1-8379-F85FBBAD1E39}" type="pres">
      <dgm:prSet presAssocID="{1B536686-22F7-4121-A012-6C9A0BFEA89B}" presName="LevelTwoTextNode" presStyleLbl="node2" presStyleIdx="2" presStyleCnt="3">
        <dgm:presLayoutVars>
          <dgm:chPref val="3"/>
        </dgm:presLayoutVars>
      </dgm:prSet>
      <dgm:spPr/>
    </dgm:pt>
    <dgm:pt modelId="{2B6EB2C3-1336-47B0-A4AE-6A15FAFD5270}" type="pres">
      <dgm:prSet presAssocID="{1B536686-22F7-4121-A012-6C9A0BFEA89B}" presName="level3hierChild" presStyleCnt="0"/>
      <dgm:spPr/>
    </dgm:pt>
  </dgm:ptLst>
  <dgm:cxnLst>
    <dgm:cxn modelId="{D6919003-C2AF-44E4-9EC1-D8CBAE6E57BD}" srcId="{262EDDA3-5EF4-4B1B-A413-DF9A146811D9}" destId="{FBB9A483-676D-467C-AA78-B428E4FBF4A2}" srcOrd="1" destOrd="0" parTransId="{635339D4-B032-4CA9-BA5A-297887F4D6AE}" sibTransId="{736F09E3-14A7-4208-9FEB-1D1AB8A73FA3}"/>
    <dgm:cxn modelId="{5F54835F-A15F-4180-92BB-9E10F2E16E84}" type="presOf" srcId="{5D1A3469-5399-4D83-8DE3-FFFA9E673705}" destId="{6EF003E2-C95F-4441-B9B3-4BD1A9495A81}" srcOrd="1" destOrd="0" presId="urn:microsoft.com/office/officeart/2005/8/layout/hierarchy2"/>
    <dgm:cxn modelId="{A03F3741-1424-43F7-8C01-40D10687F933}" type="presOf" srcId="{635339D4-B032-4CA9-BA5A-297887F4D6AE}" destId="{17FEC499-F06F-43FB-8A39-2DA6E06D7B19}" srcOrd="0" destOrd="0" presId="urn:microsoft.com/office/officeart/2005/8/layout/hierarchy2"/>
    <dgm:cxn modelId="{E7D09766-C62D-479D-B617-6E450335CD85}" srcId="{5E0CB08A-4A97-493D-A15A-C793295DAE44}" destId="{262EDDA3-5EF4-4B1B-A413-DF9A146811D9}" srcOrd="0" destOrd="0" parTransId="{91C5F346-783E-4152-9A00-3F2F36673BFF}" sibTransId="{5EE099C9-C66C-47F9-B749-92150FDA795D}"/>
    <dgm:cxn modelId="{8E7CDA6C-C9F5-408F-98CB-682A745F84B5}" type="presOf" srcId="{5E0CB08A-4A97-493D-A15A-C793295DAE44}" destId="{46735C8E-28B8-4691-8517-F4D686A0E16E}" srcOrd="0" destOrd="0" presId="urn:microsoft.com/office/officeart/2005/8/layout/hierarchy2"/>
    <dgm:cxn modelId="{74F33550-2DE0-4579-845A-FD0AA35C367A}" type="presOf" srcId="{FBB9A483-676D-467C-AA78-B428E4FBF4A2}" destId="{D39762EF-1603-4C79-9218-086D4F2DDF10}" srcOrd="0" destOrd="0" presId="urn:microsoft.com/office/officeart/2005/8/layout/hierarchy2"/>
    <dgm:cxn modelId="{A25A2377-4E28-4EE4-981E-D8934DD5F3B9}" type="presOf" srcId="{262EDDA3-5EF4-4B1B-A413-DF9A146811D9}" destId="{1EB85CDA-910A-4682-8B2D-12F3C1E70803}" srcOrd="0" destOrd="0" presId="urn:microsoft.com/office/officeart/2005/8/layout/hierarchy2"/>
    <dgm:cxn modelId="{471BED8B-7922-429F-892B-A07301770002}" type="presOf" srcId="{5D1A3469-5399-4D83-8DE3-FFFA9E673705}" destId="{A8804086-25DA-4AEE-9207-348A72391AFC}" srcOrd="0" destOrd="0" presId="urn:microsoft.com/office/officeart/2005/8/layout/hierarchy2"/>
    <dgm:cxn modelId="{9306EB96-D4C4-4CF4-8FA2-E61F5E63B9C8}" type="presOf" srcId="{962888D6-585C-47DB-95A4-E06831DC1880}" destId="{403537F5-43D6-4CD5-B269-B455FC19705D}" srcOrd="1" destOrd="0" presId="urn:microsoft.com/office/officeart/2005/8/layout/hierarchy2"/>
    <dgm:cxn modelId="{2529639F-29D0-4DEC-8BEC-EFE69AFB6291}" type="presOf" srcId="{62245805-C1DB-41BB-BA3A-33D846C8DA50}" destId="{DD227873-4005-4BA4-A747-C803755F2504}" srcOrd="0" destOrd="0" presId="urn:microsoft.com/office/officeart/2005/8/layout/hierarchy2"/>
    <dgm:cxn modelId="{05B509A2-8C1A-40BC-8F36-067216F5E1C9}" type="presOf" srcId="{1B536686-22F7-4121-A012-6C9A0BFEA89B}" destId="{494C5DA3-8045-41C1-8379-F85FBBAD1E39}" srcOrd="0" destOrd="0" presId="urn:microsoft.com/office/officeart/2005/8/layout/hierarchy2"/>
    <dgm:cxn modelId="{4BD4D7DF-D3FB-45B3-90BB-A7637B5900B8}" srcId="{262EDDA3-5EF4-4B1B-A413-DF9A146811D9}" destId="{1B536686-22F7-4121-A012-6C9A0BFEA89B}" srcOrd="2" destOrd="0" parTransId="{962888D6-585C-47DB-95A4-E06831DC1880}" sibTransId="{B090CB23-D68D-4C0D-AC1F-66B739FE6B3A}"/>
    <dgm:cxn modelId="{23EFE5E4-2C8D-4B8B-B0FB-0D9F62B18BC9}" srcId="{262EDDA3-5EF4-4B1B-A413-DF9A146811D9}" destId="{62245805-C1DB-41BB-BA3A-33D846C8DA50}" srcOrd="0" destOrd="0" parTransId="{5D1A3469-5399-4D83-8DE3-FFFA9E673705}" sibTransId="{8F298FD4-CF2A-4B1F-BAAE-A32FFB24CB99}"/>
    <dgm:cxn modelId="{1C1841F3-545F-48E4-8C41-5E42EDFC448B}" type="presOf" srcId="{962888D6-585C-47DB-95A4-E06831DC1880}" destId="{B6CA4554-0776-4959-8324-4759FC3CC8A4}" srcOrd="0" destOrd="0" presId="urn:microsoft.com/office/officeart/2005/8/layout/hierarchy2"/>
    <dgm:cxn modelId="{EC635CFC-E968-4656-89FD-1F90787AD0F7}" type="presOf" srcId="{635339D4-B032-4CA9-BA5A-297887F4D6AE}" destId="{E8F9E0A1-A74C-4543-AA05-057B0361EF32}" srcOrd="1" destOrd="0" presId="urn:microsoft.com/office/officeart/2005/8/layout/hierarchy2"/>
    <dgm:cxn modelId="{638EF265-2F54-4625-9FB4-63C166F5CC6C}" type="presParOf" srcId="{46735C8E-28B8-4691-8517-F4D686A0E16E}" destId="{30A7B97D-7E42-4DCA-B6A0-7AD13E9AF4B4}" srcOrd="0" destOrd="0" presId="urn:microsoft.com/office/officeart/2005/8/layout/hierarchy2"/>
    <dgm:cxn modelId="{F7871789-41F4-4F1A-936E-CFE325B49811}" type="presParOf" srcId="{30A7B97D-7E42-4DCA-B6A0-7AD13E9AF4B4}" destId="{1EB85CDA-910A-4682-8B2D-12F3C1E70803}" srcOrd="0" destOrd="0" presId="urn:microsoft.com/office/officeart/2005/8/layout/hierarchy2"/>
    <dgm:cxn modelId="{DBAA8901-CE7C-4217-8043-A444A549B471}" type="presParOf" srcId="{30A7B97D-7E42-4DCA-B6A0-7AD13E9AF4B4}" destId="{CAFC5122-0A9D-4A54-9B10-701CFC261E61}" srcOrd="1" destOrd="0" presId="urn:microsoft.com/office/officeart/2005/8/layout/hierarchy2"/>
    <dgm:cxn modelId="{23768622-522B-4110-94F7-CFADD63F6419}" type="presParOf" srcId="{CAFC5122-0A9D-4A54-9B10-701CFC261E61}" destId="{A8804086-25DA-4AEE-9207-348A72391AFC}" srcOrd="0" destOrd="0" presId="urn:microsoft.com/office/officeart/2005/8/layout/hierarchy2"/>
    <dgm:cxn modelId="{E8284E36-F244-440E-BDD0-1350719700B9}" type="presParOf" srcId="{A8804086-25DA-4AEE-9207-348A72391AFC}" destId="{6EF003E2-C95F-4441-B9B3-4BD1A9495A81}" srcOrd="0" destOrd="0" presId="urn:microsoft.com/office/officeart/2005/8/layout/hierarchy2"/>
    <dgm:cxn modelId="{28640798-A914-4863-900D-C55D1B287A84}" type="presParOf" srcId="{CAFC5122-0A9D-4A54-9B10-701CFC261E61}" destId="{A9DE2900-D559-4602-9FD0-F9AAC27BFE42}" srcOrd="1" destOrd="0" presId="urn:microsoft.com/office/officeart/2005/8/layout/hierarchy2"/>
    <dgm:cxn modelId="{73625BCA-EAF6-4EF7-B2EF-08AE0C799B4E}" type="presParOf" srcId="{A9DE2900-D559-4602-9FD0-F9AAC27BFE42}" destId="{DD227873-4005-4BA4-A747-C803755F2504}" srcOrd="0" destOrd="0" presId="urn:microsoft.com/office/officeart/2005/8/layout/hierarchy2"/>
    <dgm:cxn modelId="{282B6DA5-11EE-4C36-B0A6-1E03086F9838}" type="presParOf" srcId="{A9DE2900-D559-4602-9FD0-F9AAC27BFE42}" destId="{52FD4C5D-B575-4785-9D52-45AFC190599D}" srcOrd="1" destOrd="0" presId="urn:microsoft.com/office/officeart/2005/8/layout/hierarchy2"/>
    <dgm:cxn modelId="{CBD89417-DCDF-4F04-BC8C-44DE031891E7}" type="presParOf" srcId="{CAFC5122-0A9D-4A54-9B10-701CFC261E61}" destId="{17FEC499-F06F-43FB-8A39-2DA6E06D7B19}" srcOrd="2" destOrd="0" presId="urn:microsoft.com/office/officeart/2005/8/layout/hierarchy2"/>
    <dgm:cxn modelId="{5BC7B712-82B5-488D-8C2E-CD09C23E2649}" type="presParOf" srcId="{17FEC499-F06F-43FB-8A39-2DA6E06D7B19}" destId="{E8F9E0A1-A74C-4543-AA05-057B0361EF32}" srcOrd="0" destOrd="0" presId="urn:microsoft.com/office/officeart/2005/8/layout/hierarchy2"/>
    <dgm:cxn modelId="{7919FDE9-5082-444E-B04B-B1AC2A40FE0F}" type="presParOf" srcId="{CAFC5122-0A9D-4A54-9B10-701CFC261E61}" destId="{3793DC85-6EEC-49FD-BE2E-01892152B12D}" srcOrd="3" destOrd="0" presId="urn:microsoft.com/office/officeart/2005/8/layout/hierarchy2"/>
    <dgm:cxn modelId="{B05FF20D-B099-4419-AC6F-24DEEBCA6306}" type="presParOf" srcId="{3793DC85-6EEC-49FD-BE2E-01892152B12D}" destId="{D39762EF-1603-4C79-9218-086D4F2DDF10}" srcOrd="0" destOrd="0" presId="urn:microsoft.com/office/officeart/2005/8/layout/hierarchy2"/>
    <dgm:cxn modelId="{274DFC4B-184D-4DE3-B622-5C8818B2EE6A}" type="presParOf" srcId="{3793DC85-6EEC-49FD-BE2E-01892152B12D}" destId="{2503C6DE-8C4E-44EF-9DAE-A4A32D38023C}" srcOrd="1" destOrd="0" presId="urn:microsoft.com/office/officeart/2005/8/layout/hierarchy2"/>
    <dgm:cxn modelId="{18C201CE-D856-4954-99C6-431CBA40E61A}" type="presParOf" srcId="{CAFC5122-0A9D-4A54-9B10-701CFC261E61}" destId="{B6CA4554-0776-4959-8324-4759FC3CC8A4}" srcOrd="4" destOrd="0" presId="urn:microsoft.com/office/officeart/2005/8/layout/hierarchy2"/>
    <dgm:cxn modelId="{92742BA3-9C7D-402F-9F49-2F74028D6C3D}" type="presParOf" srcId="{B6CA4554-0776-4959-8324-4759FC3CC8A4}" destId="{403537F5-43D6-4CD5-B269-B455FC19705D}" srcOrd="0" destOrd="0" presId="urn:microsoft.com/office/officeart/2005/8/layout/hierarchy2"/>
    <dgm:cxn modelId="{BC947F90-BC48-44BB-B9B8-0E0EAFC19E1E}" type="presParOf" srcId="{CAFC5122-0A9D-4A54-9B10-701CFC261E61}" destId="{7E72D8BC-E0AA-4144-BB46-940EAA2ADF6D}" srcOrd="5" destOrd="0" presId="urn:microsoft.com/office/officeart/2005/8/layout/hierarchy2"/>
    <dgm:cxn modelId="{E4275760-3B59-4DC0-BA16-0F0D4F8E0B22}" type="presParOf" srcId="{7E72D8BC-E0AA-4144-BB46-940EAA2ADF6D}" destId="{494C5DA3-8045-41C1-8379-F85FBBAD1E39}" srcOrd="0" destOrd="0" presId="urn:microsoft.com/office/officeart/2005/8/layout/hierarchy2"/>
    <dgm:cxn modelId="{71AF36ED-DEE4-4BCA-8DA7-383ED60DE127}" type="presParOf" srcId="{7E72D8BC-E0AA-4144-BB46-940EAA2ADF6D}" destId="{2B6EB2C3-1336-47B0-A4AE-6A15FAFD5270}"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B85CDA-910A-4682-8B2D-12F3C1E70803}">
      <dsp:nvSpPr>
        <dsp:cNvPr id="0" name=""/>
        <dsp:cNvSpPr/>
      </dsp:nvSpPr>
      <dsp:spPr>
        <a:xfrm>
          <a:off x="417909" y="1115764"/>
          <a:ext cx="1937742" cy="9688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419" sz="900" kern="1200"/>
            <a:t>Oficial de Abastecimiento</a:t>
          </a:r>
        </a:p>
      </dsp:txBody>
      <dsp:txXfrm>
        <a:off x="446286" y="1144141"/>
        <a:ext cx="1880988" cy="912117"/>
      </dsp:txXfrm>
    </dsp:sp>
    <dsp:sp modelId="{A8804086-25DA-4AEE-9207-348A72391AFC}">
      <dsp:nvSpPr>
        <dsp:cNvPr id="0" name=""/>
        <dsp:cNvSpPr/>
      </dsp:nvSpPr>
      <dsp:spPr>
        <a:xfrm rot="18289469">
          <a:off x="2064557" y="1015853"/>
          <a:ext cx="1357284" cy="54492"/>
        </a:xfrm>
        <a:custGeom>
          <a:avLst/>
          <a:gdLst/>
          <a:ahLst/>
          <a:cxnLst/>
          <a:rect l="0" t="0" r="0" b="0"/>
          <a:pathLst>
            <a:path>
              <a:moveTo>
                <a:pt x="0" y="27246"/>
              </a:moveTo>
              <a:lnTo>
                <a:pt x="1357284" y="272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419" sz="500" kern="1200"/>
        </a:p>
      </dsp:txBody>
      <dsp:txXfrm>
        <a:off x="2709267" y="1009167"/>
        <a:ext cx="67864" cy="67864"/>
      </dsp:txXfrm>
    </dsp:sp>
    <dsp:sp modelId="{DD227873-4005-4BA4-A747-C803755F2504}">
      <dsp:nvSpPr>
        <dsp:cNvPr id="0" name=""/>
        <dsp:cNvSpPr/>
      </dsp:nvSpPr>
      <dsp:spPr>
        <a:xfrm>
          <a:off x="3130748" y="1562"/>
          <a:ext cx="1937742" cy="9688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419" sz="900" kern="1200"/>
            <a:t>Continuidad Operativa</a:t>
          </a:r>
        </a:p>
        <a:p>
          <a:pPr marL="0" lvl="0" indent="0" algn="ctr" defTabSz="400050">
            <a:lnSpc>
              <a:spcPct val="90000"/>
            </a:lnSpc>
            <a:spcBef>
              <a:spcPct val="0"/>
            </a:spcBef>
            <a:spcAft>
              <a:spcPct val="35000"/>
            </a:spcAft>
            <a:buNone/>
          </a:pPr>
          <a:r>
            <a:rPr lang="es-419" sz="900" kern="1200"/>
            <a:t>*Gestión de repuestos</a:t>
          </a:r>
        </a:p>
        <a:p>
          <a:pPr marL="0" lvl="0" indent="0" algn="ctr" defTabSz="400050">
            <a:lnSpc>
              <a:spcPct val="90000"/>
            </a:lnSpc>
            <a:spcBef>
              <a:spcPct val="0"/>
            </a:spcBef>
            <a:spcAft>
              <a:spcPct val="35000"/>
            </a:spcAft>
            <a:buNone/>
          </a:pPr>
          <a:r>
            <a:rPr lang="es-419" sz="900" kern="1200"/>
            <a:t>*Cadena de suministro Global</a:t>
          </a:r>
        </a:p>
        <a:p>
          <a:pPr marL="0" lvl="0" indent="0" algn="ctr" defTabSz="400050">
            <a:lnSpc>
              <a:spcPct val="90000"/>
            </a:lnSpc>
            <a:spcBef>
              <a:spcPct val="0"/>
            </a:spcBef>
            <a:spcAft>
              <a:spcPct val="35000"/>
            </a:spcAft>
            <a:buNone/>
          </a:pPr>
          <a:r>
            <a:rPr lang="es-419" sz="900" kern="1200"/>
            <a:t>*Control de combustible</a:t>
          </a:r>
        </a:p>
      </dsp:txBody>
      <dsp:txXfrm>
        <a:off x="3159125" y="29939"/>
        <a:ext cx="1880988" cy="912117"/>
      </dsp:txXfrm>
    </dsp:sp>
    <dsp:sp modelId="{17FEC499-F06F-43FB-8A39-2DA6E06D7B19}">
      <dsp:nvSpPr>
        <dsp:cNvPr id="0" name=""/>
        <dsp:cNvSpPr/>
      </dsp:nvSpPr>
      <dsp:spPr>
        <a:xfrm rot="21558712">
          <a:off x="2355622" y="1568191"/>
          <a:ext cx="793020" cy="54492"/>
        </a:xfrm>
        <a:custGeom>
          <a:avLst/>
          <a:gdLst/>
          <a:ahLst/>
          <a:cxnLst/>
          <a:rect l="0" t="0" r="0" b="0"/>
          <a:pathLst>
            <a:path>
              <a:moveTo>
                <a:pt x="0" y="27246"/>
              </a:moveTo>
              <a:lnTo>
                <a:pt x="793020" y="272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419" sz="500" kern="1200"/>
        </a:p>
      </dsp:txBody>
      <dsp:txXfrm>
        <a:off x="2732307" y="1575612"/>
        <a:ext cx="39651" cy="39651"/>
      </dsp:txXfrm>
    </dsp:sp>
    <dsp:sp modelId="{D39762EF-1603-4C79-9218-086D4F2DDF10}">
      <dsp:nvSpPr>
        <dsp:cNvPr id="0" name=""/>
        <dsp:cNvSpPr/>
      </dsp:nvSpPr>
      <dsp:spPr>
        <a:xfrm>
          <a:off x="3148614" y="1106240"/>
          <a:ext cx="1937742" cy="9688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419" sz="900" kern="1200"/>
            <a:t>Ethos y Seguridad Naval</a:t>
          </a:r>
        </a:p>
        <a:p>
          <a:pPr marL="0" lvl="0" indent="0" algn="ctr" defTabSz="400050">
            <a:lnSpc>
              <a:spcPct val="90000"/>
            </a:lnSpc>
            <a:spcBef>
              <a:spcPct val="0"/>
            </a:spcBef>
            <a:spcAft>
              <a:spcPct val="35000"/>
            </a:spcAft>
            <a:buNone/>
          </a:pPr>
          <a:r>
            <a:rPr lang="es-419" sz="900" kern="1200"/>
            <a:t>*Probidad en recursos públicos</a:t>
          </a:r>
        </a:p>
        <a:p>
          <a:pPr marL="0" lvl="0" indent="0" algn="ctr" defTabSz="400050">
            <a:lnSpc>
              <a:spcPct val="90000"/>
            </a:lnSpc>
            <a:spcBef>
              <a:spcPct val="0"/>
            </a:spcBef>
            <a:spcAft>
              <a:spcPct val="35000"/>
            </a:spcAft>
            <a:buNone/>
          </a:pPr>
          <a:r>
            <a:rPr lang="es-419" sz="900" kern="1200"/>
            <a:t>*Autonomía logística crítica</a:t>
          </a:r>
        </a:p>
      </dsp:txBody>
      <dsp:txXfrm>
        <a:off x="3176991" y="1134617"/>
        <a:ext cx="1880988" cy="912117"/>
      </dsp:txXfrm>
    </dsp:sp>
    <dsp:sp modelId="{B6CA4554-0776-4959-8324-4759FC3CC8A4}">
      <dsp:nvSpPr>
        <dsp:cNvPr id="0" name=""/>
        <dsp:cNvSpPr/>
      </dsp:nvSpPr>
      <dsp:spPr>
        <a:xfrm rot="3310531">
          <a:off x="2064557" y="2130054"/>
          <a:ext cx="1357284" cy="54492"/>
        </a:xfrm>
        <a:custGeom>
          <a:avLst/>
          <a:gdLst/>
          <a:ahLst/>
          <a:cxnLst/>
          <a:rect l="0" t="0" r="0" b="0"/>
          <a:pathLst>
            <a:path>
              <a:moveTo>
                <a:pt x="0" y="27246"/>
              </a:moveTo>
              <a:lnTo>
                <a:pt x="1357284" y="272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419" sz="500" kern="1200"/>
        </a:p>
      </dsp:txBody>
      <dsp:txXfrm>
        <a:off x="2709267" y="2123368"/>
        <a:ext cx="67864" cy="67864"/>
      </dsp:txXfrm>
    </dsp:sp>
    <dsp:sp modelId="{494C5DA3-8045-41C1-8379-F85FBBAD1E39}">
      <dsp:nvSpPr>
        <dsp:cNvPr id="0" name=""/>
        <dsp:cNvSpPr/>
      </dsp:nvSpPr>
      <dsp:spPr>
        <a:xfrm>
          <a:off x="3130748" y="2229966"/>
          <a:ext cx="1937742" cy="9688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419" sz="900" kern="1200"/>
            <a:t>Bienestar de la dotación</a:t>
          </a:r>
        </a:p>
        <a:p>
          <a:pPr marL="0" lvl="0" indent="0" algn="ctr" defTabSz="400050">
            <a:lnSpc>
              <a:spcPct val="90000"/>
            </a:lnSpc>
            <a:spcBef>
              <a:spcPct val="0"/>
            </a:spcBef>
            <a:spcAft>
              <a:spcPct val="35000"/>
            </a:spcAft>
            <a:buNone/>
          </a:pPr>
          <a:r>
            <a:rPr lang="es-419" sz="900" kern="1200"/>
            <a:t>*Alimentación</a:t>
          </a:r>
        </a:p>
        <a:p>
          <a:pPr marL="0" lvl="0" indent="0" algn="ctr" defTabSz="400050">
            <a:lnSpc>
              <a:spcPct val="90000"/>
            </a:lnSpc>
            <a:spcBef>
              <a:spcPct val="0"/>
            </a:spcBef>
            <a:spcAft>
              <a:spcPct val="35000"/>
            </a:spcAft>
            <a:buNone/>
          </a:pPr>
          <a:r>
            <a:rPr lang="es-419" sz="900" kern="1200"/>
            <a:t>*Habitabilidad</a:t>
          </a:r>
        </a:p>
        <a:p>
          <a:pPr marL="0" lvl="0" indent="0" algn="ctr" defTabSz="400050">
            <a:lnSpc>
              <a:spcPct val="90000"/>
            </a:lnSpc>
            <a:spcBef>
              <a:spcPct val="0"/>
            </a:spcBef>
            <a:spcAft>
              <a:spcPct val="35000"/>
            </a:spcAft>
            <a:buNone/>
          </a:pPr>
          <a:r>
            <a:rPr lang="es-419" sz="900" kern="1200"/>
            <a:t>*Sostenimiento de la moral</a:t>
          </a:r>
        </a:p>
        <a:p>
          <a:pPr marL="0" lvl="0" indent="0" algn="ctr" defTabSz="400050">
            <a:lnSpc>
              <a:spcPct val="90000"/>
            </a:lnSpc>
            <a:spcBef>
              <a:spcPct val="0"/>
            </a:spcBef>
            <a:spcAft>
              <a:spcPct val="35000"/>
            </a:spcAft>
            <a:buNone/>
          </a:pPr>
          <a:endParaRPr lang="es-419" sz="900" kern="1200"/>
        </a:p>
      </dsp:txBody>
      <dsp:txXfrm>
        <a:off x="3159125" y="2258343"/>
        <a:ext cx="1880988" cy="9121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2928FF4E184AA9A7EEEA74E45FDD98"/>
        <w:category>
          <w:name w:val="General"/>
          <w:gallery w:val="placeholder"/>
        </w:category>
        <w:types>
          <w:type w:val="bbPlcHdr"/>
        </w:types>
        <w:behaviors>
          <w:behavior w:val="content"/>
        </w:behaviors>
        <w:guid w:val="{6E6334D9-9B08-44B6-A630-B3825E605211}"/>
      </w:docPartPr>
      <w:docPartBody>
        <w:p w:rsidR="00000000" w:rsidRDefault="009A285B" w:rsidP="009A285B">
          <w:pPr>
            <w:pStyle w:val="332928FF4E184AA9A7EEEA74E45FDD98"/>
          </w:pPr>
          <w:r>
            <w:rPr>
              <w:rFonts w:asciiTheme="majorHAnsi" w:eastAsiaTheme="majorEastAsia" w:hAnsiTheme="majorHAnsi" w:cstheme="majorBidi"/>
              <w:color w:val="4472C4" w:themeColor="accent1"/>
              <w:sz w:val="88"/>
              <w:szCs w:val="88"/>
              <w:lang w:val="es-ES"/>
            </w:rPr>
            <w:t>[Título del documento]</w:t>
          </w:r>
        </w:p>
      </w:docPartBody>
    </w:docPart>
    <w:docPart>
      <w:docPartPr>
        <w:name w:val="5EA8A0CFD10F4D638F3DBF17B1E86CCA"/>
        <w:category>
          <w:name w:val="General"/>
          <w:gallery w:val="placeholder"/>
        </w:category>
        <w:types>
          <w:type w:val="bbPlcHdr"/>
        </w:types>
        <w:behaviors>
          <w:behavior w:val="content"/>
        </w:behaviors>
        <w:guid w:val="{0167AE47-4144-4B34-92D3-F05179D3AEE4}"/>
      </w:docPartPr>
      <w:docPartBody>
        <w:p w:rsidR="00000000" w:rsidRDefault="009A285B" w:rsidP="009A285B">
          <w:pPr>
            <w:pStyle w:val="5EA8A0CFD10F4D638F3DBF17B1E86CCA"/>
          </w:pPr>
          <w:r>
            <w:rPr>
              <w:color w:val="2F5496" w:themeColor="accent1" w:themeShade="BF"/>
              <w:lang w:val="es-ES"/>
            </w:rPr>
            <w:t>[Subtítulo del documento]</w:t>
          </w:r>
        </w:p>
      </w:docPartBody>
    </w:docPart>
    <w:docPart>
      <w:docPartPr>
        <w:name w:val="13188FB8A9394276B23675830728B6DC"/>
        <w:category>
          <w:name w:val="General"/>
          <w:gallery w:val="placeholder"/>
        </w:category>
        <w:types>
          <w:type w:val="bbPlcHdr"/>
        </w:types>
        <w:behaviors>
          <w:behavior w:val="content"/>
        </w:behaviors>
        <w:guid w:val="{C4FBC883-0C29-4BA6-A16E-4FEADA365347}"/>
      </w:docPartPr>
      <w:docPartBody>
        <w:p w:rsidR="00000000" w:rsidRDefault="009A285B" w:rsidP="009A285B">
          <w:pPr>
            <w:pStyle w:val="13188FB8A9394276B23675830728B6DC"/>
          </w:pPr>
          <w:r>
            <w:rPr>
              <w:color w:val="4472C4" w:themeColor="accent1"/>
              <w:sz w:val="28"/>
              <w:szCs w:val="28"/>
              <w:lang w:val="es-ES"/>
            </w:rPr>
            <w:t>[Nombre del autor]</w:t>
          </w:r>
        </w:p>
      </w:docPartBody>
    </w:docPart>
    <w:docPart>
      <w:docPartPr>
        <w:name w:val="C7AA36666D6F4D63AF6277762F400D3F"/>
        <w:category>
          <w:name w:val="General"/>
          <w:gallery w:val="placeholder"/>
        </w:category>
        <w:types>
          <w:type w:val="bbPlcHdr"/>
        </w:types>
        <w:behaviors>
          <w:behavior w:val="content"/>
        </w:behaviors>
        <w:guid w:val="{5B52AA68-E5FF-46F0-BE12-8DC684FD8A0C}"/>
      </w:docPartPr>
      <w:docPartBody>
        <w:p w:rsidR="00000000" w:rsidRDefault="009A285B" w:rsidP="009A285B">
          <w:pPr>
            <w:pStyle w:val="C7AA36666D6F4D63AF6277762F400D3F"/>
          </w:pPr>
          <w:r>
            <w:rPr>
              <w:color w:val="4472C4" w:themeColor="accent1"/>
              <w:sz w:val="28"/>
              <w:szCs w:val="28"/>
              <w:lang w:val="es-ES"/>
            </w:rPr>
            <w:t>[Fecha]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5B"/>
    <w:rsid w:val="00042BCC"/>
    <w:rsid w:val="008E4D66"/>
    <w:rsid w:val="009A28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419" w:eastAsia="es-419"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15DE40B4C2C4F789924824ECFAA1672">
    <w:name w:val="C15DE40B4C2C4F789924824ECFAA1672"/>
    <w:rsid w:val="009A285B"/>
  </w:style>
  <w:style w:type="paragraph" w:customStyle="1" w:styleId="B604D0FA641741FEBECA1E8ADE1179F8">
    <w:name w:val="B604D0FA641741FEBECA1E8ADE1179F8"/>
    <w:rsid w:val="009A285B"/>
  </w:style>
  <w:style w:type="paragraph" w:customStyle="1" w:styleId="A70027547B3540F6AEFB59BBC24D992C">
    <w:name w:val="A70027547B3540F6AEFB59BBC24D992C"/>
    <w:rsid w:val="009A285B"/>
  </w:style>
  <w:style w:type="paragraph" w:customStyle="1" w:styleId="332928FF4E184AA9A7EEEA74E45FDD98">
    <w:name w:val="332928FF4E184AA9A7EEEA74E45FDD98"/>
    <w:rsid w:val="009A285B"/>
  </w:style>
  <w:style w:type="paragraph" w:customStyle="1" w:styleId="5EA8A0CFD10F4D638F3DBF17B1E86CCA">
    <w:name w:val="5EA8A0CFD10F4D638F3DBF17B1E86CCA"/>
    <w:rsid w:val="009A285B"/>
  </w:style>
  <w:style w:type="paragraph" w:customStyle="1" w:styleId="13188FB8A9394276B23675830728B6DC">
    <w:name w:val="13188FB8A9394276B23675830728B6DC"/>
    <w:rsid w:val="009A285B"/>
  </w:style>
  <w:style w:type="paragraph" w:customStyle="1" w:styleId="C7AA36666D6F4D63AF6277762F400D3F">
    <w:name w:val="C7AA36666D6F4D63AF6277762F400D3F"/>
    <w:rsid w:val="009A285B"/>
  </w:style>
  <w:style w:type="paragraph" w:customStyle="1" w:styleId="91DDBA5572A048B5A707A86CCA98709E">
    <w:name w:val="91DDBA5572A048B5A707A86CCA98709E"/>
    <w:rsid w:val="009A285B"/>
  </w:style>
  <w:style w:type="paragraph" w:customStyle="1" w:styleId="CA5EB4C5CA9248A6A72A1053249E2B6B">
    <w:name w:val="CA5EB4C5CA9248A6A72A1053249E2B6B"/>
    <w:rsid w:val="009A285B"/>
  </w:style>
  <w:style w:type="paragraph" w:customStyle="1" w:styleId="2228DAC2B5334B5D9DCD2957B619D237">
    <w:name w:val="2228DAC2B5334B5D9DCD2957B619D237"/>
    <w:rsid w:val="009A285B"/>
  </w:style>
  <w:style w:type="paragraph" w:customStyle="1" w:styleId="AE2107B153D44D0CA82CF26F4E9FEF72">
    <w:name w:val="AE2107B153D44D0CA82CF26F4E9FEF72"/>
    <w:rsid w:val="009A28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B0CF7A-21B1-41FC-8BA8-E9B0BBDD4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2462</Words>
  <Characters>13541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Evolución de los buques de guerra y su impacto</vt:lpstr>
    </vt:vector>
  </TitlesOfParts>
  <Company/>
  <LinksUpToDate>false</LinksUpToDate>
  <CharactersWithSpaces>15972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EVOLUCIÓN DE LOS BUQUES DE GUERRA Y SU IMPACTO LOGÍSTICA</dc:title>
  <dc:subject>Valentina Vergara Zamora</dc:subject>
  <dc:creator>4TO Abastecimiento</dc:creator>
  <cp:keywords/>
  <dc:description/>
  <cp:lastModifiedBy>chica vergara</cp:lastModifiedBy>
  <cp:revision>2</cp:revision>
  <dcterms:created xsi:type="dcterms:W3CDTF">2026-07-13T02:48:00Z</dcterms:created>
  <dcterms:modified xsi:type="dcterms:W3CDTF">2026-07-13T02:48:00Z</dcterms:modified>
</cp:coreProperties>
</file>