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598" w:rsidRDefault="00EF3598" w:rsidP="009B2EAC">
      <w:pPr>
        <w:shd w:val="clear" w:color="auto" w:fill="FFFFFF"/>
        <w:spacing w:after="0" w:line="465" w:lineRule="atLeast"/>
        <w:jc w:val="both"/>
        <w:textAlignment w:val="baseline"/>
        <w:rPr>
          <w:rFonts w:ascii="Arial" w:eastAsia="Times New Roman" w:hAnsi="Arial" w:cs="Arial"/>
          <w:b/>
          <w:bCs/>
          <w:color w:val="333333"/>
          <w:lang w:eastAsia="es-CL"/>
        </w:rPr>
      </w:pPr>
    </w:p>
    <w:p w:rsidR="00124AE5" w:rsidRDefault="00EF3598" w:rsidP="00EF3598">
      <w:pPr>
        <w:shd w:val="clear" w:color="auto" w:fill="FFFFFF"/>
        <w:spacing w:after="0" w:line="465" w:lineRule="atLeast"/>
        <w:jc w:val="center"/>
        <w:textAlignment w:val="baseline"/>
        <w:rPr>
          <w:rFonts w:ascii="Arial" w:eastAsia="Times New Roman" w:hAnsi="Arial" w:cs="Arial"/>
          <w:b/>
          <w:bCs/>
          <w:color w:val="333333"/>
          <w:sz w:val="28"/>
          <w:szCs w:val="28"/>
          <w:lang w:eastAsia="es-CL"/>
        </w:rPr>
      </w:pPr>
      <w:r w:rsidRPr="00EF3598">
        <w:rPr>
          <w:rFonts w:ascii="Arial" w:eastAsia="Times New Roman" w:hAnsi="Arial" w:cs="Arial"/>
          <w:b/>
          <w:bCs/>
          <w:color w:val="333333"/>
          <w:sz w:val="28"/>
          <w:szCs w:val="28"/>
          <w:lang w:eastAsia="es-CL"/>
        </w:rPr>
        <w:t xml:space="preserve">TEMAS </w:t>
      </w:r>
    </w:p>
    <w:p w:rsidR="00EF3598" w:rsidRPr="00EF3598" w:rsidRDefault="00EF3598" w:rsidP="00EF3598">
      <w:pPr>
        <w:shd w:val="clear" w:color="auto" w:fill="FFFFFF"/>
        <w:spacing w:after="0" w:line="465" w:lineRule="atLeast"/>
        <w:jc w:val="center"/>
        <w:textAlignment w:val="baseline"/>
        <w:rPr>
          <w:rFonts w:ascii="Arial" w:eastAsia="Times New Roman" w:hAnsi="Arial" w:cs="Arial"/>
          <w:b/>
          <w:bCs/>
          <w:color w:val="333333"/>
          <w:sz w:val="28"/>
          <w:szCs w:val="28"/>
          <w:lang w:eastAsia="es-CL"/>
        </w:rPr>
      </w:pPr>
      <w:r w:rsidRPr="00EF3598">
        <w:rPr>
          <w:rFonts w:ascii="Arial" w:eastAsia="Times New Roman" w:hAnsi="Arial" w:cs="Arial"/>
          <w:b/>
          <w:bCs/>
          <w:color w:val="333333"/>
          <w:sz w:val="28"/>
          <w:szCs w:val="28"/>
          <w:lang w:eastAsia="es-CL"/>
        </w:rPr>
        <w:t>TALLER 2</w:t>
      </w:r>
    </w:p>
    <w:p w:rsidR="00EF3598" w:rsidRDefault="00EF3598" w:rsidP="009B2EAC">
      <w:pPr>
        <w:shd w:val="clear" w:color="auto" w:fill="FFFFFF"/>
        <w:spacing w:after="0" w:line="465" w:lineRule="atLeast"/>
        <w:jc w:val="both"/>
        <w:textAlignment w:val="baseline"/>
        <w:rPr>
          <w:rFonts w:ascii="Arial" w:eastAsia="Times New Roman" w:hAnsi="Arial" w:cs="Arial"/>
          <w:b/>
          <w:bCs/>
          <w:color w:val="333333"/>
          <w:lang w:eastAsia="es-CL"/>
        </w:rPr>
      </w:pPr>
    </w:p>
    <w:p w:rsidR="004D5EFB" w:rsidRPr="009B2EAC" w:rsidRDefault="004D5EFB" w:rsidP="009B2EAC">
      <w:pPr>
        <w:pStyle w:val="Prrafodelista"/>
        <w:numPr>
          <w:ilvl w:val="0"/>
          <w:numId w:val="6"/>
        </w:numPr>
        <w:shd w:val="clear" w:color="auto" w:fill="FFFFFF"/>
        <w:spacing w:after="0" w:line="465" w:lineRule="atLeast"/>
        <w:jc w:val="both"/>
        <w:textAlignment w:val="baseline"/>
        <w:rPr>
          <w:rFonts w:ascii="Arial" w:eastAsia="Times New Roman" w:hAnsi="Arial" w:cs="Arial"/>
          <w:b/>
          <w:bCs/>
          <w:color w:val="333333"/>
          <w:lang w:eastAsia="es-CL"/>
        </w:rPr>
      </w:pPr>
      <w:r w:rsidRPr="009B2EAC">
        <w:rPr>
          <w:rFonts w:ascii="Arial" w:eastAsia="Times New Roman" w:hAnsi="Arial" w:cs="Arial"/>
          <w:b/>
          <w:bCs/>
          <w:color w:val="333333"/>
          <w:lang w:eastAsia="es-CL"/>
        </w:rPr>
        <w:t>CRÍMENES DE LESA HUMANIDAD</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1948-92 Crimen del apartheid</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Durante el tiempo del apartheid en Sudáfrica, la minoría blanca que gobernaba el país impulsó una política de segregación racial que privaba al 80% de su población de raza negra de los derechos humanos más básicos.</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En 1994, tras las primeras elecciones multirraciales, Nelson Mandela fue elegido presidente de Sudáfrica. Años más tarde, el apartheid fue incluido por las Naciones Unidas dentro de los crímenes de lesa humanidad.</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1993 Limpieza étnica en la ex Yugoslavia</w:t>
      </w:r>
    </w:p>
    <w:p w:rsidR="004D5EFB" w:rsidRPr="004D5EFB" w:rsidRDefault="004D5EFB" w:rsidP="009B2EAC">
      <w:pPr>
        <w:spacing w:before="100" w:beforeAutospacing="1" w:after="100" w:afterAutospacing="1"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La limpieza étnica en gran parte de Bosnia contra los no serbios durante la segunda guerra de los Balcanes provocó la matanza de miles de hombres y niños en el territorio de la antigua Yugoslavia. Más de 10.000 personas fueron asesinadas y más de 161 han sido procesadas.</w:t>
      </w:r>
    </w:p>
    <w:p w:rsidR="004D5EFB" w:rsidRPr="009B2EAC" w:rsidRDefault="004D5EFB"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4D5EFB" w:rsidRPr="004D5EFB" w:rsidRDefault="004D5EFB" w:rsidP="009B2EAC">
      <w:pPr>
        <w:spacing w:beforeAutospacing="1" w:after="0" w:afterAutospacing="1" w:line="240" w:lineRule="auto"/>
        <w:contextualSpacing/>
        <w:jc w:val="both"/>
        <w:textAlignment w:val="baseline"/>
        <w:rPr>
          <w:rFonts w:ascii="Arial" w:eastAsia="Times New Roman" w:hAnsi="Arial" w:cs="Arial"/>
          <w:color w:val="3A343A"/>
          <w:lang w:eastAsia="es-CL"/>
        </w:rPr>
      </w:pPr>
      <w:r w:rsidRPr="009B2EAC">
        <w:rPr>
          <w:rFonts w:ascii="Arial" w:eastAsia="Times New Roman" w:hAnsi="Arial" w:cs="Arial"/>
          <w:b/>
          <w:bCs/>
          <w:color w:val="3A343A"/>
          <w:lang w:eastAsia="es-CL"/>
        </w:rPr>
        <w:t>2014 El ISIS en Siria</w:t>
      </w:r>
    </w:p>
    <w:p w:rsidR="004D5EFB" w:rsidRPr="004D5EFB" w:rsidRDefault="004D5EFB" w:rsidP="009B2EAC">
      <w:pPr>
        <w:spacing w:after="0" w:line="240" w:lineRule="auto"/>
        <w:contextualSpacing/>
        <w:jc w:val="both"/>
        <w:textAlignment w:val="baseline"/>
        <w:rPr>
          <w:rFonts w:ascii="Arial" w:eastAsia="Times New Roman" w:hAnsi="Arial" w:cs="Arial"/>
          <w:color w:val="3A343A"/>
          <w:lang w:eastAsia="es-CL"/>
        </w:rPr>
      </w:pPr>
      <w:r w:rsidRPr="004D5EFB">
        <w:rPr>
          <w:rFonts w:ascii="Arial" w:eastAsia="Times New Roman" w:hAnsi="Arial" w:cs="Arial"/>
          <w:color w:val="3A343A"/>
          <w:lang w:eastAsia="es-CL"/>
        </w:rPr>
        <w:t>La ONU investiga crímenes de guerra y lesa humanidad por el ISIS en Siria. La Comisión documentó que el ISIS habría utilizado el terror entre la población civil, adoctrinando a menores y ejerciendo torturas, ejecuciones, amputaciones, exhibiciones públicas de cuerpos mutilados, lapidaciones de mujeres y niñas, matrimonios forzosos, secuestros y esclavitud sexual.</w:t>
      </w:r>
    </w:p>
    <w:p w:rsidR="004D5EFB" w:rsidRDefault="004D5EFB"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Default="00934A2C">
      <w:pPr>
        <w:rPr>
          <w:rFonts w:ascii="Arial" w:eastAsia="Times New Roman" w:hAnsi="Arial" w:cs="Arial"/>
          <w:b/>
          <w:bCs/>
          <w:color w:val="333333"/>
          <w:lang w:eastAsia="es-CL"/>
        </w:rPr>
      </w:pPr>
    </w:p>
    <w:p w:rsidR="00934A2C" w:rsidRDefault="00934A2C" w:rsidP="00934A2C">
      <w:pPr>
        <w:jc w:val="both"/>
        <w:rPr>
          <w:rFonts w:ascii="Arial" w:hAnsi="Arial" w:cs="Arial"/>
        </w:rPr>
      </w:pPr>
      <w:r>
        <w:rPr>
          <w:rFonts w:ascii="Arial" w:hAnsi="Arial" w:cs="Arial"/>
        </w:rPr>
        <w:t>FUENTES</w:t>
      </w:r>
    </w:p>
    <w:p w:rsidR="00934A2C" w:rsidRDefault="00D60018" w:rsidP="00934A2C">
      <w:pPr>
        <w:jc w:val="both"/>
        <w:rPr>
          <w:rFonts w:ascii="Arial" w:hAnsi="Arial" w:cs="Arial"/>
        </w:rPr>
      </w:pPr>
      <w:hyperlink r:id="rId7" w:history="1">
        <w:r w:rsidR="00934A2C" w:rsidRPr="009E27DD">
          <w:rPr>
            <w:rStyle w:val="Hipervnculo"/>
            <w:rFonts w:ascii="Arial" w:hAnsi="Arial" w:cs="Arial"/>
          </w:rPr>
          <w:t>https://eacnur.org/es/actualidad/noticias/emergencias/crimenes-de-lesa-humanidad-las-mayores-atrocidades-de-la-historia</w:t>
        </w:r>
      </w:hyperlink>
    </w:p>
    <w:p w:rsidR="00934A2C" w:rsidRDefault="00934A2C">
      <w:pPr>
        <w:rPr>
          <w:rFonts w:ascii="Arial" w:eastAsia="Times New Roman" w:hAnsi="Arial" w:cs="Arial"/>
          <w:b/>
          <w:bCs/>
          <w:color w:val="333333"/>
          <w:lang w:eastAsia="es-CL"/>
        </w:rPr>
      </w:pPr>
      <w:r>
        <w:rPr>
          <w:rFonts w:ascii="Arial" w:eastAsia="Times New Roman" w:hAnsi="Arial" w:cs="Arial"/>
          <w:b/>
          <w:bCs/>
          <w:color w:val="333333"/>
          <w:lang w:eastAsia="es-CL"/>
        </w:rPr>
        <w:br w:type="page"/>
      </w:r>
    </w:p>
    <w:p w:rsidR="00934A2C" w:rsidRPr="009B2EAC" w:rsidRDefault="00934A2C" w:rsidP="00934A2C">
      <w:pPr>
        <w:pStyle w:val="Prrafodelista"/>
        <w:numPr>
          <w:ilvl w:val="0"/>
          <w:numId w:val="6"/>
        </w:numPr>
        <w:shd w:val="clear" w:color="auto" w:fill="FFFFFF"/>
        <w:spacing w:after="0" w:line="465" w:lineRule="atLeast"/>
        <w:jc w:val="both"/>
        <w:textAlignment w:val="baseline"/>
        <w:rPr>
          <w:rFonts w:ascii="Arial" w:eastAsia="Times New Roman" w:hAnsi="Arial" w:cs="Arial"/>
          <w:b/>
          <w:bCs/>
          <w:color w:val="333333"/>
          <w:lang w:eastAsia="es-CL"/>
        </w:rPr>
      </w:pPr>
      <w:r w:rsidRPr="009B2EAC">
        <w:rPr>
          <w:rFonts w:ascii="Arial" w:eastAsia="Times New Roman" w:hAnsi="Arial" w:cs="Arial"/>
          <w:b/>
          <w:bCs/>
          <w:color w:val="333333"/>
          <w:lang w:eastAsia="es-CL"/>
        </w:rPr>
        <w:lastRenderedPageBreak/>
        <w:t>CRÍMENES DE GENOCIDIOS</w:t>
      </w:r>
    </w:p>
    <w:p w:rsidR="00934A2C" w:rsidRPr="004D5EFB" w:rsidRDefault="00934A2C" w:rsidP="00934A2C">
      <w:pPr>
        <w:shd w:val="clear" w:color="auto" w:fill="FFFFFF"/>
        <w:spacing w:after="0" w:line="465" w:lineRule="atLeast"/>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1915-1923</w:t>
      </w:r>
      <w:r>
        <w:rPr>
          <w:rFonts w:ascii="Arial" w:eastAsia="Times New Roman" w:hAnsi="Arial" w:cs="Arial"/>
          <w:b/>
          <w:bCs/>
          <w:color w:val="333333"/>
          <w:lang w:eastAsia="es-CL"/>
        </w:rPr>
        <w:t xml:space="preserve"> El genocidio armenio</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El 'Gran Crimen' (o </w:t>
      </w:r>
      <w:proofErr w:type="spellStart"/>
      <w:r w:rsidRPr="004D5EFB">
        <w:rPr>
          <w:rFonts w:ascii="Arial" w:eastAsia="Times New Roman" w:hAnsi="Arial" w:cs="Arial"/>
          <w:color w:val="515151"/>
          <w:lang w:eastAsia="es-CL"/>
        </w:rPr>
        <w:t>Medz</w:t>
      </w:r>
      <w:proofErr w:type="spellEnd"/>
      <w:r w:rsidRPr="004D5EFB">
        <w:rPr>
          <w:rFonts w:ascii="Arial" w:eastAsia="Times New Roman" w:hAnsi="Arial" w:cs="Arial"/>
          <w:color w:val="515151"/>
          <w:lang w:eastAsia="es-CL"/>
        </w:rPr>
        <w:t xml:space="preserve"> </w:t>
      </w:r>
      <w:proofErr w:type="spellStart"/>
      <w:r w:rsidRPr="004D5EFB">
        <w:rPr>
          <w:rFonts w:ascii="Arial" w:eastAsia="Times New Roman" w:hAnsi="Arial" w:cs="Arial"/>
          <w:color w:val="515151"/>
          <w:lang w:eastAsia="es-CL"/>
        </w:rPr>
        <w:t>Yeghern</w:t>
      </w:r>
      <w:proofErr w:type="spellEnd"/>
      <w:r w:rsidRPr="004D5EFB">
        <w:rPr>
          <w:rFonts w:ascii="Arial" w:eastAsia="Times New Roman" w:hAnsi="Arial" w:cs="Arial"/>
          <w:color w:val="515151"/>
          <w:lang w:eastAsia="es-CL"/>
        </w:rPr>
        <w:t xml:space="preserve"> en armenio) comenzó el 24 de abril de 1915, cuando las autoridades turcas detuvieron a 235 miembros de la comunidad de armenios en Estambul. Después la cifra aumentó a 600, y al final, se ordenó la deportación de toda la población armenia. No se les dejó cargar con medios para subsistir, y la mayoría murieron a causa del hambre y la sed.</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¿Los motivos para el genocidio? Diferencias étnicas y religiosas. Las leyes islámicas consideraban a los no musulmanes como '</w:t>
      </w:r>
      <w:proofErr w:type="spellStart"/>
      <w:r w:rsidRPr="004D5EFB">
        <w:rPr>
          <w:rFonts w:ascii="Arial" w:eastAsia="Times New Roman" w:hAnsi="Arial" w:cs="Arial"/>
          <w:color w:val="515151"/>
          <w:lang w:eastAsia="es-CL"/>
        </w:rPr>
        <w:t>dhimmi</w:t>
      </w:r>
      <w:proofErr w:type="spellEnd"/>
      <w:r w:rsidRPr="004D5EFB">
        <w:rPr>
          <w:rFonts w:ascii="Arial" w:eastAsia="Times New Roman" w:hAnsi="Arial" w:cs="Arial"/>
          <w:color w:val="515151"/>
          <w:lang w:eastAsia="es-CL"/>
        </w:rPr>
        <w:t>', es decir, pertenecían a una clase social inferior. Aunque se toleraba su presencia, tenían que pagar más impuestos.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En total, entre 1915 y 1923 murieron un millón y medio de personas. Además de los armenios, el Imperio otomano también se ensañó con otros grupos étnicos: asirios, griegos, serbios...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Actualmente, Turquía no niega la masacre perpetuada por el Imperio otomano, pero no la califica de genocidio, ya que no considera que se tratara de un plan sistemático y premeditado.</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Pr>
          <w:rFonts w:ascii="Arial" w:eastAsia="Times New Roman" w:hAnsi="Arial" w:cs="Arial"/>
          <w:b/>
          <w:bCs/>
          <w:color w:val="333333"/>
          <w:lang w:eastAsia="es-CL"/>
        </w:rPr>
        <w:t xml:space="preserve">1994 </w:t>
      </w:r>
      <w:r w:rsidRPr="004D5EFB">
        <w:rPr>
          <w:rFonts w:ascii="Arial" w:eastAsia="Times New Roman" w:hAnsi="Arial" w:cs="Arial"/>
          <w:b/>
          <w:bCs/>
          <w:color w:val="333333"/>
          <w:lang w:eastAsia="es-CL"/>
        </w:rPr>
        <w:t>La barbarie de Ruanda</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En Ruanda se distinguían dos clases, </w:t>
      </w:r>
      <w:proofErr w:type="gramStart"/>
      <w:r w:rsidRPr="004D5EFB">
        <w:rPr>
          <w:rFonts w:ascii="Arial" w:eastAsia="Times New Roman" w:hAnsi="Arial" w:cs="Arial"/>
          <w:color w:val="515151"/>
          <w:lang w:eastAsia="es-CL"/>
        </w:rPr>
        <w:t>los hutu</w:t>
      </w:r>
      <w:proofErr w:type="gramEnd"/>
      <w:r w:rsidRPr="004D5EFB">
        <w:rPr>
          <w:rFonts w:ascii="Arial" w:eastAsia="Times New Roman" w:hAnsi="Arial" w:cs="Arial"/>
          <w:color w:val="515151"/>
          <w:lang w:eastAsia="es-CL"/>
        </w:rPr>
        <w:t xml:space="preserve"> y los tutsi. La distinción no respondía a criterios étnicos o religiosos, ya que no existen rasgos físicos específicos que diferencien a los hutus de los tutsis. Las diferencias se limitaban a cuestiones tribales y demográficas: la mayoría de la población ruandesa pertenecía a la clase hutu.</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La masacre comenzó a raíz del asesinato en 1994 del general </w:t>
      </w:r>
      <w:proofErr w:type="spellStart"/>
      <w:r w:rsidRPr="004D5EFB">
        <w:rPr>
          <w:rFonts w:ascii="Arial" w:eastAsia="Times New Roman" w:hAnsi="Arial" w:cs="Arial"/>
          <w:color w:val="515151"/>
          <w:lang w:eastAsia="es-CL"/>
        </w:rPr>
        <w:t>Juvénal</w:t>
      </w:r>
      <w:proofErr w:type="spellEnd"/>
      <w:r w:rsidRPr="004D5EFB">
        <w:rPr>
          <w:rFonts w:ascii="Arial" w:eastAsia="Times New Roman" w:hAnsi="Arial" w:cs="Arial"/>
          <w:color w:val="515151"/>
          <w:lang w:eastAsia="es-CL"/>
        </w:rPr>
        <w:t xml:space="preserve"> </w:t>
      </w:r>
      <w:proofErr w:type="spellStart"/>
      <w:r w:rsidRPr="004D5EFB">
        <w:rPr>
          <w:rFonts w:ascii="Arial" w:eastAsia="Times New Roman" w:hAnsi="Arial" w:cs="Arial"/>
          <w:color w:val="515151"/>
          <w:lang w:eastAsia="es-CL"/>
        </w:rPr>
        <w:t>Habyarimana</w:t>
      </w:r>
      <w:proofErr w:type="spellEnd"/>
      <w:r w:rsidRPr="004D5EFB">
        <w:rPr>
          <w:rFonts w:ascii="Arial" w:eastAsia="Times New Roman" w:hAnsi="Arial" w:cs="Arial"/>
          <w:color w:val="515151"/>
          <w:lang w:eastAsia="es-CL"/>
        </w:rPr>
        <w:t>, presidente de Ruanda y perteneciente a los hutus. Su muerte desencadenó un plan de persecución contra los tutsis, que fueron desplazados a campos de refugiados. Se eliminó al 75% de la población tutsi durante la barbarie.</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Se calcula que más de 800.000 personas fueron asesinadas y casi cada una de las mujeres que sobrevivieron al genocidio </w:t>
      </w:r>
      <w:r w:rsidRPr="009B2EAC">
        <w:rPr>
          <w:rFonts w:ascii="Arial" w:eastAsia="Times New Roman" w:hAnsi="Arial" w:cs="Arial"/>
          <w:color w:val="515151"/>
          <w:lang w:eastAsia="es-CL"/>
        </w:rPr>
        <w:t>fueron</w:t>
      </w:r>
      <w:r w:rsidRPr="004D5EFB">
        <w:rPr>
          <w:rFonts w:ascii="Arial" w:eastAsia="Times New Roman" w:hAnsi="Arial" w:cs="Arial"/>
          <w:color w:val="515151"/>
          <w:lang w:eastAsia="es-CL"/>
        </w:rPr>
        <w:t xml:space="preserve"> violadas. También se habla de una venganza tutsi, conocida como el "otro genocidio", aunque sus cifras no son comparables.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Sin embargo, la matanza no solo se centró en los tutsis. El sector radical de los hutus también aniquiló a hutus moderados que se oponían al régimen de </w:t>
      </w:r>
      <w:proofErr w:type="spellStart"/>
      <w:r w:rsidRPr="004D5EFB">
        <w:rPr>
          <w:rFonts w:ascii="Arial" w:eastAsia="Times New Roman" w:hAnsi="Arial" w:cs="Arial"/>
          <w:color w:val="515151"/>
          <w:lang w:eastAsia="es-CL"/>
        </w:rPr>
        <w:t>Habyarimana</w:t>
      </w:r>
      <w:proofErr w:type="spellEnd"/>
      <w:r w:rsidRPr="004D5EFB">
        <w:rPr>
          <w:rFonts w:ascii="Arial" w:eastAsia="Times New Roman" w:hAnsi="Arial" w:cs="Arial"/>
          <w:color w:val="515151"/>
          <w:lang w:eastAsia="es-CL"/>
        </w:rPr>
        <w:t>. Se mezclaron por tanto razones políticas al genocidio. Tras el genocidio, la distinción entre hutu y tutsi fue eliminada de los carnés de identidad.</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1932-1933</w:t>
      </w:r>
      <w:r>
        <w:rPr>
          <w:rFonts w:ascii="Arial" w:eastAsia="Times New Roman" w:hAnsi="Arial" w:cs="Arial"/>
          <w:b/>
          <w:bCs/>
          <w:color w:val="333333"/>
          <w:lang w:eastAsia="es-CL"/>
        </w:rPr>
        <w:t xml:space="preserve"> </w:t>
      </w:r>
      <w:proofErr w:type="spellStart"/>
      <w:r>
        <w:rPr>
          <w:rFonts w:ascii="Arial" w:eastAsia="Times New Roman" w:hAnsi="Arial" w:cs="Arial"/>
          <w:b/>
          <w:bCs/>
          <w:color w:val="333333"/>
          <w:lang w:eastAsia="es-CL"/>
        </w:rPr>
        <w:t>Holodomor</w:t>
      </w:r>
      <w:proofErr w:type="spellEnd"/>
      <w:r>
        <w:rPr>
          <w:rFonts w:ascii="Arial" w:eastAsia="Times New Roman" w:hAnsi="Arial" w:cs="Arial"/>
          <w:b/>
          <w:bCs/>
          <w:color w:val="333333"/>
          <w:lang w:eastAsia="es-CL"/>
        </w:rPr>
        <w:t xml:space="preserve"> ucraniano</w:t>
      </w:r>
      <w:r w:rsidRPr="004D5EFB">
        <w:rPr>
          <w:rFonts w:ascii="Arial" w:eastAsia="Times New Roman" w:hAnsi="Arial" w:cs="Arial"/>
          <w:b/>
          <w:bCs/>
          <w:color w:val="333333"/>
          <w:lang w:eastAsia="es-CL"/>
        </w:rPr>
        <w:t xml:space="preserve"> </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Matar de hambre. Ese fue el método que aplicó la URSS para convertir a Ucrania en un estado satélite del régimen soviético. A este genocidio se le conoce por el nombre de </w:t>
      </w:r>
      <w:proofErr w:type="spellStart"/>
      <w:r w:rsidRPr="004D5EFB">
        <w:rPr>
          <w:rFonts w:ascii="Arial" w:eastAsia="Times New Roman" w:hAnsi="Arial" w:cs="Arial"/>
          <w:color w:val="515151"/>
          <w:lang w:eastAsia="es-CL"/>
        </w:rPr>
        <w:t>Holodomor</w:t>
      </w:r>
      <w:proofErr w:type="spellEnd"/>
      <w:r w:rsidRPr="004D5EFB">
        <w:rPr>
          <w:rFonts w:ascii="Arial" w:eastAsia="Times New Roman" w:hAnsi="Arial" w:cs="Arial"/>
          <w:color w:val="515151"/>
          <w:lang w:eastAsia="es-CL"/>
        </w:rPr>
        <w:t>, que significa 'matar de hambre'.</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La hambruna artificial fue una técnica que Stalin provocó en más de una región adscrita a la URSS. En 2008, la ONU y el Parlamento Europeo condenaron los hechos como crímenes contra la humanidad, pero no emplearon el término genocidio en su denuncia. Murieron entre 1,5 y 10 millones de personas.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A </w:t>
      </w:r>
      <w:proofErr w:type="spellStart"/>
      <w:r w:rsidRPr="004D5EFB">
        <w:rPr>
          <w:rFonts w:ascii="Arial" w:eastAsia="Times New Roman" w:hAnsi="Arial" w:cs="Arial"/>
          <w:color w:val="515151"/>
          <w:lang w:eastAsia="es-CL"/>
        </w:rPr>
        <w:t>Iósif</w:t>
      </w:r>
      <w:proofErr w:type="spellEnd"/>
      <w:r w:rsidRPr="004D5EFB">
        <w:rPr>
          <w:rFonts w:ascii="Arial" w:eastAsia="Times New Roman" w:hAnsi="Arial" w:cs="Arial"/>
          <w:color w:val="515151"/>
          <w:lang w:eastAsia="es-CL"/>
        </w:rPr>
        <w:t xml:space="preserve"> Stalin, que dirigió la Unión Soviética entre 1924 y 1953, se le atribuye la muerte de 40 millones de personas, entre purgas, hambrunas, colectivizaciones forzosas, depuraciones étnicas...</w:t>
      </w:r>
    </w:p>
    <w:p w:rsidR="00934A2C" w:rsidRDefault="00934A2C">
      <w:pPr>
        <w:rPr>
          <w:rFonts w:ascii="Arial" w:eastAsia="Times New Roman" w:hAnsi="Arial" w:cs="Arial"/>
          <w:b/>
          <w:bCs/>
          <w:color w:val="333333"/>
          <w:lang w:eastAsia="es-CL"/>
        </w:rPr>
      </w:pPr>
      <w:r>
        <w:rPr>
          <w:rFonts w:ascii="Arial" w:eastAsia="Times New Roman" w:hAnsi="Arial" w:cs="Arial"/>
          <w:b/>
          <w:bCs/>
          <w:color w:val="333333"/>
          <w:lang w:eastAsia="es-CL"/>
        </w:rPr>
        <w:br w:type="page"/>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1975-1979</w:t>
      </w:r>
      <w:r>
        <w:rPr>
          <w:rFonts w:ascii="Arial" w:eastAsia="Times New Roman" w:hAnsi="Arial" w:cs="Arial"/>
          <w:b/>
          <w:bCs/>
          <w:color w:val="333333"/>
          <w:lang w:eastAsia="es-CL"/>
        </w:rPr>
        <w:t xml:space="preserve"> Pol </w:t>
      </w:r>
      <w:proofErr w:type="spellStart"/>
      <w:r>
        <w:rPr>
          <w:rFonts w:ascii="Arial" w:eastAsia="Times New Roman" w:hAnsi="Arial" w:cs="Arial"/>
          <w:b/>
          <w:bCs/>
          <w:color w:val="333333"/>
          <w:lang w:eastAsia="es-CL"/>
        </w:rPr>
        <w:t>Pot</w:t>
      </w:r>
      <w:proofErr w:type="spellEnd"/>
      <w:r>
        <w:rPr>
          <w:rFonts w:ascii="Arial" w:eastAsia="Times New Roman" w:hAnsi="Arial" w:cs="Arial"/>
          <w:b/>
          <w:bCs/>
          <w:color w:val="333333"/>
          <w:lang w:eastAsia="es-CL"/>
        </w:rPr>
        <w:t xml:space="preserve"> y los Jemeres Rojos</w:t>
      </w:r>
    </w:p>
    <w:p w:rsidR="00934A2C" w:rsidRPr="004D5EFB"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Los Jemeres Rojos fueron el partido político que gobernó Camboya entre 1975 y 1979. Su líder fue Pol </w:t>
      </w:r>
      <w:proofErr w:type="spellStart"/>
      <w:r w:rsidRPr="004D5EFB">
        <w:rPr>
          <w:rFonts w:ascii="Arial" w:eastAsia="Times New Roman" w:hAnsi="Arial" w:cs="Arial"/>
          <w:color w:val="515151"/>
          <w:lang w:eastAsia="es-CL"/>
        </w:rPr>
        <w:t>Pot</w:t>
      </w:r>
      <w:proofErr w:type="spellEnd"/>
      <w:r w:rsidRPr="004D5EFB">
        <w:rPr>
          <w:rFonts w:ascii="Arial" w:eastAsia="Times New Roman" w:hAnsi="Arial" w:cs="Arial"/>
          <w:color w:val="515151"/>
          <w:lang w:eastAsia="es-CL"/>
        </w:rPr>
        <w:t>, que abrazó la ideología maoísta de forma extrema en plena Guerra Fría, con una idea muy clara: evitar cualquier ataque aéreo por parte de Estados Unidos.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Con ese pretexto, la primera medida que tomó el régimen de Pol </w:t>
      </w:r>
      <w:proofErr w:type="spellStart"/>
      <w:r w:rsidRPr="004D5EFB">
        <w:rPr>
          <w:rFonts w:ascii="Arial" w:eastAsia="Times New Roman" w:hAnsi="Arial" w:cs="Arial"/>
          <w:color w:val="515151"/>
          <w:lang w:eastAsia="es-CL"/>
        </w:rPr>
        <w:t>Pot</w:t>
      </w:r>
      <w:proofErr w:type="spellEnd"/>
      <w:r w:rsidRPr="004D5EFB">
        <w:rPr>
          <w:rFonts w:ascii="Arial" w:eastAsia="Times New Roman" w:hAnsi="Arial" w:cs="Arial"/>
          <w:color w:val="515151"/>
          <w:lang w:eastAsia="es-CL"/>
        </w:rPr>
        <w:t xml:space="preserve"> fue el de evacuar todas las zonas urbanas del país, y declaró a los habitantes de las urbes como enemigos del Estado. Llevó el marxismo hasta tal punto que hizo desaparecer la moneda, el mercado, las escuelas y las religiones.</w:t>
      </w:r>
    </w:p>
    <w:p w:rsidR="00934A2C" w:rsidRPr="004D5EFB" w:rsidRDefault="00934A2C" w:rsidP="00934A2C">
      <w:pPr>
        <w:shd w:val="clear" w:color="auto" w:fill="FFFFFF"/>
        <w:spacing w:after="450"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Si en 1975 la población de Camboya era de 7,3 millones de habitantes, en 1978 esta disminuyó a 5 millones.</w:t>
      </w:r>
    </w:p>
    <w:p w:rsidR="00934A2C" w:rsidRPr="009B2EAC"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34A2C" w:rsidRPr="004D5EFB" w:rsidRDefault="00934A2C" w:rsidP="00934A2C">
      <w:pPr>
        <w:shd w:val="clear" w:color="auto" w:fill="FFFFFF"/>
        <w:spacing w:after="0" w:line="240" w:lineRule="auto"/>
        <w:contextualSpacing/>
        <w:jc w:val="both"/>
        <w:textAlignment w:val="baseline"/>
        <w:rPr>
          <w:rFonts w:ascii="Arial" w:eastAsia="Times New Roman" w:hAnsi="Arial" w:cs="Arial"/>
          <w:b/>
          <w:bCs/>
          <w:color w:val="333333"/>
          <w:lang w:eastAsia="es-CL"/>
        </w:rPr>
      </w:pPr>
      <w:r w:rsidRPr="004D5EFB">
        <w:rPr>
          <w:rFonts w:ascii="Arial" w:eastAsia="Times New Roman" w:hAnsi="Arial" w:cs="Arial"/>
          <w:b/>
          <w:bCs/>
          <w:color w:val="333333"/>
          <w:lang w:eastAsia="es-CL"/>
        </w:rPr>
        <w:t>1949-1969</w:t>
      </w:r>
      <w:r>
        <w:rPr>
          <w:rFonts w:ascii="Arial" w:eastAsia="Times New Roman" w:hAnsi="Arial" w:cs="Arial"/>
          <w:b/>
          <w:bCs/>
          <w:color w:val="333333"/>
          <w:lang w:eastAsia="es-CL"/>
        </w:rPr>
        <w:t xml:space="preserve"> </w:t>
      </w:r>
      <w:r w:rsidRPr="004D5EFB">
        <w:rPr>
          <w:rFonts w:ascii="Arial" w:eastAsia="Times New Roman" w:hAnsi="Arial" w:cs="Arial"/>
          <w:b/>
          <w:bCs/>
          <w:color w:val="333333"/>
          <w:lang w:eastAsia="es-CL"/>
        </w:rPr>
        <w:t>La revol</w:t>
      </w:r>
      <w:r>
        <w:rPr>
          <w:rFonts w:ascii="Arial" w:eastAsia="Times New Roman" w:hAnsi="Arial" w:cs="Arial"/>
          <w:b/>
          <w:bCs/>
          <w:color w:val="333333"/>
          <w:lang w:eastAsia="es-CL"/>
        </w:rPr>
        <w:t xml:space="preserve">ución cultural de Mao </w:t>
      </w:r>
      <w:proofErr w:type="spellStart"/>
      <w:r>
        <w:rPr>
          <w:rFonts w:ascii="Arial" w:eastAsia="Times New Roman" w:hAnsi="Arial" w:cs="Arial"/>
          <w:b/>
          <w:bCs/>
          <w:color w:val="333333"/>
          <w:lang w:eastAsia="es-CL"/>
        </w:rPr>
        <w:t>Tse</w:t>
      </w:r>
      <w:proofErr w:type="spellEnd"/>
      <w:r>
        <w:rPr>
          <w:rFonts w:ascii="Arial" w:eastAsia="Times New Roman" w:hAnsi="Arial" w:cs="Arial"/>
          <w:b/>
          <w:bCs/>
          <w:color w:val="333333"/>
          <w:lang w:eastAsia="es-CL"/>
        </w:rPr>
        <w:t xml:space="preserve"> </w:t>
      </w:r>
      <w:proofErr w:type="spellStart"/>
      <w:r>
        <w:rPr>
          <w:rFonts w:ascii="Arial" w:eastAsia="Times New Roman" w:hAnsi="Arial" w:cs="Arial"/>
          <w:b/>
          <w:bCs/>
          <w:color w:val="333333"/>
          <w:lang w:eastAsia="es-CL"/>
        </w:rPr>
        <w:t>Tung</w:t>
      </w:r>
      <w:proofErr w:type="spellEnd"/>
    </w:p>
    <w:p w:rsidR="00934A2C" w:rsidRDefault="00934A2C" w:rsidP="00934A2C">
      <w:pPr>
        <w:shd w:val="clear" w:color="auto" w:fill="FFFFFF"/>
        <w:spacing w:line="240" w:lineRule="auto"/>
        <w:contextualSpacing/>
        <w:jc w:val="both"/>
        <w:textAlignment w:val="baseline"/>
        <w:rPr>
          <w:rFonts w:ascii="Arial" w:eastAsia="Times New Roman" w:hAnsi="Arial" w:cs="Arial"/>
          <w:color w:val="515151"/>
          <w:lang w:eastAsia="es-CL"/>
        </w:rPr>
      </w:pPr>
      <w:r w:rsidRPr="004D5EFB">
        <w:rPr>
          <w:rFonts w:ascii="Arial" w:eastAsia="Times New Roman" w:hAnsi="Arial" w:cs="Arial"/>
          <w:color w:val="515151"/>
          <w:lang w:eastAsia="es-CL"/>
        </w:rPr>
        <w:t xml:space="preserve">Lo que se conoce como 'Revolución cultural' fue más bien un ajuste de cuentas dentro del Partido Comunista Chino, que acabó con un líder indiscutible: Mao </w:t>
      </w:r>
      <w:proofErr w:type="spellStart"/>
      <w:r w:rsidRPr="004D5EFB">
        <w:rPr>
          <w:rFonts w:ascii="Arial" w:eastAsia="Times New Roman" w:hAnsi="Arial" w:cs="Arial"/>
          <w:color w:val="515151"/>
          <w:lang w:eastAsia="es-CL"/>
        </w:rPr>
        <w:t>Tse</w:t>
      </w:r>
      <w:proofErr w:type="spellEnd"/>
      <w:r w:rsidRPr="004D5EFB">
        <w:rPr>
          <w:rFonts w:ascii="Arial" w:eastAsia="Times New Roman" w:hAnsi="Arial" w:cs="Arial"/>
          <w:color w:val="515151"/>
          <w:lang w:eastAsia="es-CL"/>
        </w:rPr>
        <w:t xml:space="preserve"> </w:t>
      </w:r>
      <w:proofErr w:type="spellStart"/>
      <w:r w:rsidRPr="004D5EFB">
        <w:rPr>
          <w:rFonts w:ascii="Arial" w:eastAsia="Times New Roman" w:hAnsi="Arial" w:cs="Arial"/>
          <w:color w:val="515151"/>
          <w:lang w:eastAsia="es-CL"/>
        </w:rPr>
        <w:t>Tung</w:t>
      </w:r>
      <w:proofErr w:type="spellEnd"/>
      <w:r w:rsidRPr="004D5EFB">
        <w:rPr>
          <w:rFonts w:ascii="Arial" w:eastAsia="Times New Roman" w:hAnsi="Arial" w:cs="Arial"/>
          <w:color w:val="515151"/>
          <w:lang w:eastAsia="es-CL"/>
        </w:rPr>
        <w:t>, responsable de la muerte de más de 70 millones de personas.</w:t>
      </w:r>
    </w:p>
    <w:p w:rsidR="004231B2" w:rsidRPr="004D5EFB" w:rsidRDefault="004231B2" w:rsidP="00934A2C">
      <w:pPr>
        <w:shd w:val="clear" w:color="auto" w:fill="FFFFFF"/>
        <w:spacing w:line="240" w:lineRule="auto"/>
        <w:contextualSpacing/>
        <w:jc w:val="both"/>
        <w:textAlignment w:val="baseline"/>
        <w:rPr>
          <w:rFonts w:ascii="Arial" w:eastAsia="Times New Roman" w:hAnsi="Arial" w:cs="Arial"/>
          <w:color w:val="515151"/>
          <w:lang w:eastAsia="es-CL"/>
        </w:rPr>
      </w:pPr>
    </w:p>
    <w:p w:rsidR="004231B2" w:rsidRPr="004231B2" w:rsidRDefault="004231B2" w:rsidP="004231B2">
      <w:pPr>
        <w:rPr>
          <w:rFonts w:ascii="Arial" w:eastAsia="Times New Roman" w:hAnsi="Arial" w:cs="Arial"/>
          <w:b/>
          <w:bCs/>
          <w:caps/>
          <w:color w:val="333333"/>
          <w:lang w:eastAsia="es-CL"/>
        </w:rPr>
      </w:pPr>
      <w:r w:rsidRPr="004231B2">
        <w:rPr>
          <w:rFonts w:ascii="Arial" w:eastAsia="Times New Roman" w:hAnsi="Arial" w:cs="Arial"/>
          <w:b/>
          <w:bCs/>
          <w:caps/>
          <w:color w:val="333333"/>
          <w:lang w:eastAsia="es-CL"/>
        </w:rPr>
        <w:t xml:space="preserve">1982-3 </w:t>
      </w:r>
      <w:r>
        <w:rPr>
          <w:rFonts w:ascii="Arial" w:eastAsia="Times New Roman" w:hAnsi="Arial" w:cs="Arial"/>
          <w:b/>
          <w:bCs/>
          <w:color w:val="333333"/>
          <w:lang w:eastAsia="es-CL"/>
        </w:rPr>
        <w:t>Genocidio contra los Maya en G</w:t>
      </w:r>
      <w:r w:rsidRPr="004231B2">
        <w:rPr>
          <w:rFonts w:ascii="Arial" w:eastAsia="Times New Roman" w:hAnsi="Arial" w:cs="Arial"/>
          <w:b/>
          <w:bCs/>
          <w:color w:val="333333"/>
          <w:lang w:eastAsia="es-CL"/>
        </w:rPr>
        <w:t>uatemala</w:t>
      </w:r>
    </w:p>
    <w:p w:rsidR="00934A2C" w:rsidRPr="004231B2" w:rsidRDefault="004231B2" w:rsidP="004231B2">
      <w:pPr>
        <w:rPr>
          <w:rFonts w:ascii="Arial" w:eastAsia="Times New Roman" w:hAnsi="Arial" w:cs="Arial"/>
          <w:bCs/>
          <w:caps/>
          <w:color w:val="333333"/>
          <w:lang w:eastAsia="es-CL"/>
        </w:rPr>
      </w:pPr>
      <w:r>
        <w:rPr>
          <w:rFonts w:ascii="Arial" w:eastAsia="Times New Roman" w:hAnsi="Arial" w:cs="Arial"/>
          <w:bCs/>
          <w:color w:val="333333"/>
          <w:lang w:eastAsia="es-CL"/>
        </w:rPr>
        <w:t xml:space="preserve">En el genocidio en Guatemala contra la etnia maya </w:t>
      </w:r>
      <w:proofErr w:type="spellStart"/>
      <w:r>
        <w:rPr>
          <w:rFonts w:ascii="Arial" w:eastAsia="Times New Roman" w:hAnsi="Arial" w:cs="Arial"/>
          <w:bCs/>
          <w:color w:val="333333"/>
          <w:lang w:eastAsia="es-CL"/>
        </w:rPr>
        <w:t>I</w:t>
      </w:r>
      <w:r w:rsidRPr="004231B2">
        <w:rPr>
          <w:rFonts w:ascii="Arial" w:eastAsia="Times New Roman" w:hAnsi="Arial" w:cs="Arial"/>
          <w:bCs/>
          <w:color w:val="333333"/>
          <w:lang w:eastAsia="es-CL"/>
        </w:rPr>
        <w:t>xil</w:t>
      </w:r>
      <w:proofErr w:type="spellEnd"/>
      <w:r w:rsidRPr="004231B2">
        <w:rPr>
          <w:rFonts w:ascii="Arial" w:eastAsia="Times New Roman" w:hAnsi="Arial" w:cs="Arial"/>
          <w:bCs/>
          <w:color w:val="333333"/>
          <w:lang w:eastAsia="es-CL"/>
        </w:rPr>
        <w:t xml:space="preserve"> entre marzo de 1982 y agosto de 1983 murieron 1.771 per</w:t>
      </w:r>
      <w:r>
        <w:rPr>
          <w:rFonts w:ascii="Arial" w:eastAsia="Times New Roman" w:hAnsi="Arial" w:cs="Arial"/>
          <w:bCs/>
          <w:color w:val="333333"/>
          <w:lang w:eastAsia="es-CL"/>
        </w:rPr>
        <w:t>sonas, según los datos de la ONU</w:t>
      </w:r>
      <w:r w:rsidRPr="004231B2">
        <w:rPr>
          <w:rFonts w:ascii="Arial" w:eastAsia="Times New Roman" w:hAnsi="Arial" w:cs="Arial"/>
          <w:bCs/>
          <w:color w:val="333333"/>
          <w:lang w:eastAsia="es-CL"/>
        </w:rPr>
        <w:t>.</w:t>
      </w:r>
    </w:p>
    <w:p w:rsidR="004231B2" w:rsidRDefault="004231B2" w:rsidP="00934A2C">
      <w:pPr>
        <w:jc w:val="both"/>
        <w:rPr>
          <w:rFonts w:ascii="Arial" w:hAnsi="Arial" w:cs="Arial"/>
        </w:rPr>
      </w:pPr>
    </w:p>
    <w:p w:rsidR="00934A2C" w:rsidRDefault="00934A2C" w:rsidP="00934A2C">
      <w:pPr>
        <w:jc w:val="both"/>
        <w:rPr>
          <w:rFonts w:ascii="Arial" w:hAnsi="Arial" w:cs="Arial"/>
        </w:rPr>
      </w:pPr>
      <w:r>
        <w:rPr>
          <w:rFonts w:ascii="Arial" w:hAnsi="Arial" w:cs="Arial"/>
        </w:rPr>
        <w:t>FUENTES</w:t>
      </w:r>
    </w:p>
    <w:p w:rsidR="00934A2C" w:rsidRDefault="00D60018" w:rsidP="00934A2C">
      <w:pPr>
        <w:jc w:val="both"/>
        <w:rPr>
          <w:rFonts w:ascii="Arial" w:hAnsi="Arial" w:cs="Arial"/>
        </w:rPr>
      </w:pPr>
      <w:hyperlink r:id="rId8" w:history="1">
        <w:r w:rsidR="00934A2C" w:rsidRPr="009E27DD">
          <w:rPr>
            <w:rStyle w:val="Hipervnculo"/>
            <w:rFonts w:ascii="Arial" w:hAnsi="Arial" w:cs="Arial"/>
          </w:rPr>
          <w:t>https://www.lainformacion.com/mundo/los-genocidios-mas-crueles-de-la-historia-desde-la-matanza-de-ruanda-hasta-la-masacre-armenia_3fpNG37nkn2zGysy9GZgB4/</w:t>
        </w:r>
      </w:hyperlink>
    </w:p>
    <w:p w:rsidR="00934A2C" w:rsidRDefault="00934A2C">
      <w:pPr>
        <w:rPr>
          <w:rFonts w:ascii="Arial" w:eastAsia="Times New Roman" w:hAnsi="Arial" w:cs="Arial"/>
          <w:b/>
          <w:bCs/>
          <w:caps/>
          <w:color w:val="333333"/>
          <w:lang w:eastAsia="es-CL"/>
        </w:rPr>
      </w:pPr>
      <w:r>
        <w:rPr>
          <w:rFonts w:ascii="Arial" w:eastAsia="Times New Roman" w:hAnsi="Arial" w:cs="Arial"/>
          <w:b/>
          <w:bCs/>
          <w:caps/>
          <w:color w:val="333333"/>
          <w:lang w:eastAsia="es-CL"/>
        </w:rPr>
        <w:br w:type="page"/>
      </w:r>
    </w:p>
    <w:p w:rsidR="004D5EFB" w:rsidRPr="00934A2C" w:rsidRDefault="009B2EAC" w:rsidP="00934A2C">
      <w:pPr>
        <w:pStyle w:val="Prrafodelista"/>
        <w:numPr>
          <w:ilvl w:val="0"/>
          <w:numId w:val="6"/>
        </w:numPr>
        <w:shd w:val="clear" w:color="auto" w:fill="FFFFFF"/>
        <w:spacing w:after="0" w:line="465" w:lineRule="atLeast"/>
        <w:jc w:val="both"/>
        <w:textAlignment w:val="baseline"/>
        <w:rPr>
          <w:rFonts w:ascii="Arial" w:eastAsia="Times New Roman" w:hAnsi="Arial" w:cs="Arial"/>
          <w:b/>
          <w:bCs/>
          <w:caps/>
          <w:color w:val="333333"/>
          <w:lang w:eastAsia="es-CL"/>
        </w:rPr>
      </w:pPr>
      <w:r w:rsidRPr="009B2EAC">
        <w:rPr>
          <w:rFonts w:ascii="Arial" w:eastAsia="Times New Roman" w:hAnsi="Arial" w:cs="Arial"/>
          <w:b/>
          <w:bCs/>
          <w:caps/>
          <w:color w:val="333333"/>
          <w:lang w:eastAsia="es-CL"/>
        </w:rPr>
        <w:lastRenderedPageBreak/>
        <w:t xml:space="preserve">Crímenes de </w:t>
      </w:r>
      <w:r w:rsidRPr="00934A2C">
        <w:rPr>
          <w:rFonts w:ascii="Arial" w:eastAsia="Times New Roman" w:hAnsi="Arial" w:cs="Arial"/>
          <w:b/>
          <w:bCs/>
          <w:caps/>
          <w:color w:val="333333"/>
          <w:lang w:eastAsia="es-CL"/>
        </w:rPr>
        <w:t>guerra</w:t>
      </w:r>
    </w:p>
    <w:p w:rsidR="009B2EAC" w:rsidRDefault="009B2EA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p>
    <w:p w:rsidR="009B2EAC" w:rsidRPr="009B2EAC" w:rsidRDefault="00934A2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 xml:space="preserve">1939-1945 </w:t>
      </w:r>
      <w:r w:rsidR="009B2EAC" w:rsidRPr="009B2EAC">
        <w:rPr>
          <w:rFonts w:ascii="Arial" w:eastAsia="Times New Roman" w:hAnsi="Arial" w:cs="Arial"/>
          <w:b/>
          <w:bCs/>
          <w:color w:val="3A343A"/>
          <w:lang w:eastAsia="es-CL"/>
        </w:rPr>
        <w:t>Crímenes de guerra en la Segunda Guerra Mundial</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Toda la información, investigaciones y conclusiones sobre los crímenes de guerra cometidos durante la II Guerra Mundial fueron guardados durante 70 años bajo llave hasta que, en 2015, la ONU decidió estudiar cómo poner este archivo a disposición general.</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Más de 70 millones de muertos lo convirtieron en el conflicto más sangriento de la historia de la humanidad. Es después de esta sangrienta guerra cuando 17 países deciden formar una comisión de crímenes de guerra para condenar a los culpables y un logro de los derechos humanos: consolidar el concepto de </w:t>
      </w:r>
      <w:hyperlink r:id="rId9" w:history="1">
        <w:r w:rsidRPr="009B2EAC">
          <w:rPr>
            <w:rFonts w:eastAsia="Times New Roman"/>
            <w:bCs/>
            <w:color w:val="3A343A"/>
            <w:lang w:eastAsia="es-CL"/>
          </w:rPr>
          <w:t>crímenes lesa humanidad</w:t>
        </w:r>
      </w:hyperlink>
      <w:r w:rsidRPr="009B2EAC">
        <w:rPr>
          <w:rFonts w:ascii="Arial" w:eastAsia="Times New Roman" w:hAnsi="Arial" w:cs="Arial"/>
          <w:bCs/>
          <w:color w:val="3A343A"/>
          <w:lang w:eastAsia="es-CL"/>
        </w:rPr>
        <w:t>.</w:t>
      </w:r>
    </w:p>
    <w:p w:rsidR="009B2EAC" w:rsidRPr="009B2EAC" w:rsidRDefault="009B2EAC" w:rsidP="009B2EAC">
      <w:pPr>
        <w:shd w:val="clear" w:color="auto" w:fill="FFFFFF"/>
        <w:spacing w:after="0" w:line="240" w:lineRule="auto"/>
        <w:contextualSpacing/>
        <w:jc w:val="both"/>
        <w:textAlignment w:val="baseline"/>
        <w:rPr>
          <w:rFonts w:ascii="Arial" w:eastAsia="Times New Roman" w:hAnsi="Arial" w:cs="Arial"/>
          <w:b/>
          <w:bCs/>
          <w:color w:val="333333"/>
          <w:lang w:eastAsia="es-CL"/>
        </w:rPr>
      </w:pPr>
    </w:p>
    <w:p w:rsidR="009B2EAC" w:rsidRPr="009B2EAC" w:rsidRDefault="00934A2C" w:rsidP="009B2EAC">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 xml:space="preserve">2011- </w:t>
      </w:r>
      <w:r w:rsidR="009B2EAC" w:rsidRPr="009B2EAC">
        <w:rPr>
          <w:rFonts w:ascii="Arial" w:eastAsia="Times New Roman" w:hAnsi="Arial" w:cs="Arial"/>
          <w:b/>
          <w:bCs/>
          <w:color w:val="3A343A"/>
          <w:lang w:eastAsia="es-CL"/>
        </w:rPr>
        <w:t>Crímenes de guerra: Siria</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En los últimos años, la ONU ha relacionado en más de una ocasión a este conflicto que permanece activo con un crimen de guerra. </w:t>
      </w:r>
      <w:proofErr w:type="spellStart"/>
      <w:r w:rsidR="00D60018">
        <w:fldChar w:fldCharType="begin"/>
      </w:r>
      <w:r w:rsidR="00D60018">
        <w:instrText xml:space="preserve"> HYPERLINK "https://eacnur.org/es/actualidad/noticias/eventos/antonio-guterres-sera-el-nuevo-secretario-general-de-la-onu" </w:instrText>
      </w:r>
      <w:r w:rsidR="00D60018">
        <w:fldChar w:fldCharType="separate"/>
      </w:r>
      <w:r w:rsidRPr="009B2EAC">
        <w:rPr>
          <w:rFonts w:eastAsia="Times New Roman"/>
          <w:bCs/>
          <w:color w:val="3A343A"/>
          <w:lang w:eastAsia="es-CL"/>
        </w:rPr>
        <w:t>Antònio</w:t>
      </w:r>
      <w:proofErr w:type="spellEnd"/>
      <w:r w:rsidRPr="009B2EAC">
        <w:rPr>
          <w:rFonts w:eastAsia="Times New Roman"/>
          <w:bCs/>
          <w:color w:val="3A343A"/>
          <w:lang w:eastAsia="es-CL"/>
        </w:rPr>
        <w:t xml:space="preserve"> </w:t>
      </w:r>
      <w:proofErr w:type="spellStart"/>
      <w:r w:rsidRPr="009B2EAC">
        <w:rPr>
          <w:rFonts w:eastAsia="Times New Roman"/>
          <w:bCs/>
          <w:color w:val="3A343A"/>
          <w:lang w:eastAsia="es-CL"/>
        </w:rPr>
        <w:t>Guterres</w:t>
      </w:r>
      <w:proofErr w:type="spellEnd"/>
      <w:r w:rsidRPr="009B2EAC">
        <w:rPr>
          <w:rFonts w:eastAsia="Times New Roman"/>
          <w:bCs/>
          <w:color w:val="3A343A"/>
          <w:lang w:eastAsia="es-CL"/>
        </w:rPr>
        <w:t>, antiguo Alto Comisionado de ACNUR</w:t>
      </w:r>
      <w:r w:rsidR="00D60018">
        <w:rPr>
          <w:rFonts w:eastAsia="Times New Roman"/>
          <w:bCs/>
          <w:color w:val="3A343A"/>
          <w:lang w:eastAsia="es-CL"/>
        </w:rPr>
        <w:fldChar w:fldCharType="end"/>
      </w:r>
      <w:r w:rsidRPr="009B2EAC">
        <w:rPr>
          <w:rFonts w:ascii="Arial" w:eastAsia="Times New Roman" w:hAnsi="Arial" w:cs="Arial"/>
          <w:bCs/>
          <w:color w:val="3A343A"/>
          <w:lang w:eastAsia="es-CL"/>
        </w:rPr>
        <w:t> y actual secretario general de la ONU es a día de hoy el líder de la investigación sobre lo que está ocurriendo en este país.</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Dos años después del comienzo de la guerra en Siria, la Comisión de Investigación de la ONU comenzaba a investigar sobre los crímenes de guerra en este territorio.</w:t>
      </w:r>
    </w:p>
    <w:p w:rsidR="009B2EAC" w:rsidRPr="009B2EAC" w:rsidRDefault="009B2EAC" w:rsidP="009B2EAC">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9B2EAC">
        <w:rPr>
          <w:rFonts w:ascii="Arial" w:eastAsia="Times New Roman" w:hAnsi="Arial" w:cs="Arial"/>
          <w:bCs/>
          <w:color w:val="3A343A"/>
          <w:lang w:eastAsia="es-CL"/>
        </w:rPr>
        <w:t xml:space="preserve">En 2016, el entonces secretario </w:t>
      </w:r>
      <w:proofErr w:type="spellStart"/>
      <w:r w:rsidRPr="009B2EAC">
        <w:rPr>
          <w:rFonts w:ascii="Arial" w:eastAsia="Times New Roman" w:hAnsi="Arial" w:cs="Arial"/>
          <w:bCs/>
          <w:color w:val="3A343A"/>
          <w:lang w:eastAsia="es-CL"/>
        </w:rPr>
        <w:t>Ban</w:t>
      </w:r>
      <w:proofErr w:type="spellEnd"/>
      <w:r w:rsidRPr="009B2EAC">
        <w:rPr>
          <w:rFonts w:ascii="Arial" w:eastAsia="Times New Roman" w:hAnsi="Arial" w:cs="Arial"/>
          <w:bCs/>
          <w:color w:val="3A343A"/>
          <w:lang w:eastAsia="es-CL"/>
        </w:rPr>
        <w:t xml:space="preserve"> Ki-Moon alertaba tras el bombardeo de Alepo de que el uso sistemático de armas incendiarias y municiones de última generación sobre áreas densamente pobladas podía ser considerado como un crimen de guerra.</w:t>
      </w:r>
    </w:p>
    <w:p w:rsidR="00934A2C" w:rsidRDefault="00934A2C" w:rsidP="009B2EAC">
      <w:pPr>
        <w:jc w:val="both"/>
        <w:rPr>
          <w:rFonts w:ascii="Arial" w:hAnsi="Arial" w:cs="Arial"/>
        </w:rPr>
      </w:pPr>
    </w:p>
    <w:p w:rsidR="00934A2C" w:rsidRDefault="00934A2C" w:rsidP="009B2EAC">
      <w:pPr>
        <w:jc w:val="both"/>
        <w:rPr>
          <w:rFonts w:ascii="Arial" w:hAnsi="Arial" w:cs="Arial"/>
        </w:rPr>
      </w:pPr>
      <w:r>
        <w:rPr>
          <w:rFonts w:ascii="Arial" w:hAnsi="Arial" w:cs="Arial"/>
        </w:rPr>
        <w:t>FUENTES</w:t>
      </w:r>
    </w:p>
    <w:p w:rsidR="00934A2C" w:rsidRDefault="00D60018" w:rsidP="009B2EAC">
      <w:pPr>
        <w:jc w:val="both"/>
        <w:rPr>
          <w:rFonts w:ascii="Arial" w:hAnsi="Arial" w:cs="Arial"/>
        </w:rPr>
      </w:pPr>
      <w:hyperlink r:id="rId10" w:history="1">
        <w:r w:rsidR="00934A2C" w:rsidRPr="009E27DD">
          <w:rPr>
            <w:rStyle w:val="Hipervnculo"/>
            <w:rFonts w:ascii="Arial" w:hAnsi="Arial" w:cs="Arial"/>
          </w:rPr>
          <w:t>https://eacnur.org/es/actualidad/noticias/emergencias/crimenes-de-guerra-de-la-historia-reciente</w:t>
        </w:r>
      </w:hyperlink>
    </w:p>
    <w:p w:rsidR="00934A2C" w:rsidRDefault="00934A2C"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B40716" w:rsidRDefault="00B40716" w:rsidP="009B2EAC">
      <w:pPr>
        <w:jc w:val="both"/>
        <w:rPr>
          <w:rFonts w:ascii="Arial" w:hAnsi="Arial" w:cs="Arial"/>
        </w:rPr>
      </w:pPr>
    </w:p>
    <w:p w:rsidR="00934A2C" w:rsidRDefault="004231B2" w:rsidP="004231B2">
      <w:pPr>
        <w:pStyle w:val="Prrafodelista"/>
        <w:numPr>
          <w:ilvl w:val="0"/>
          <w:numId w:val="6"/>
        </w:numPr>
        <w:shd w:val="clear" w:color="auto" w:fill="FFFFFF"/>
        <w:spacing w:after="0" w:line="465" w:lineRule="atLeast"/>
        <w:jc w:val="both"/>
        <w:textAlignment w:val="baseline"/>
        <w:rPr>
          <w:rFonts w:ascii="Arial" w:eastAsia="Times New Roman" w:hAnsi="Arial" w:cs="Arial"/>
          <w:b/>
          <w:bCs/>
          <w:caps/>
          <w:color w:val="333333"/>
          <w:lang w:eastAsia="es-CL"/>
        </w:rPr>
      </w:pPr>
      <w:r w:rsidRPr="004231B2">
        <w:rPr>
          <w:rFonts w:ascii="Arial" w:eastAsia="Times New Roman" w:hAnsi="Arial" w:cs="Arial"/>
          <w:b/>
          <w:bCs/>
          <w:caps/>
          <w:color w:val="333333"/>
          <w:lang w:eastAsia="es-CL"/>
        </w:rPr>
        <w:lastRenderedPageBreak/>
        <w:t>CASOS NACIONALES DE LA Corte IDH”</w:t>
      </w:r>
    </w:p>
    <w:p w:rsidR="00B40716" w:rsidRPr="00B40716" w:rsidRDefault="00B40716" w:rsidP="00B40716">
      <w:pPr>
        <w:spacing w:beforeAutospacing="1" w:after="0" w:afterAutospacing="1" w:line="240" w:lineRule="auto"/>
        <w:contextualSpacing/>
        <w:jc w:val="both"/>
        <w:textAlignment w:val="baseline"/>
        <w:rPr>
          <w:rFonts w:ascii="Arial" w:eastAsia="Times New Roman" w:hAnsi="Arial" w:cs="Arial"/>
          <w:b/>
          <w:bCs/>
          <w:color w:val="3A343A"/>
          <w:lang w:eastAsia="es-CL"/>
        </w:rPr>
      </w:pPr>
      <w:r w:rsidRPr="00B40716">
        <w:rPr>
          <w:rFonts w:ascii="Arial" w:eastAsia="Times New Roman" w:hAnsi="Arial" w:cs="Arial"/>
          <w:b/>
          <w:bCs/>
          <w:color w:val="3A343A"/>
          <w:lang w:eastAsia="es-CL"/>
        </w:rPr>
        <w:t xml:space="preserve">Caso Profesores de </w:t>
      </w:r>
      <w:proofErr w:type="spellStart"/>
      <w:r w:rsidRPr="00B40716">
        <w:rPr>
          <w:rFonts w:ascii="Arial" w:eastAsia="Times New Roman" w:hAnsi="Arial" w:cs="Arial"/>
          <w:b/>
          <w:bCs/>
          <w:color w:val="3A343A"/>
          <w:lang w:eastAsia="es-CL"/>
        </w:rPr>
        <w:t>Chañaral</w:t>
      </w:r>
      <w:proofErr w:type="spellEnd"/>
      <w:r w:rsidRPr="00B40716">
        <w:rPr>
          <w:rFonts w:ascii="Arial" w:eastAsia="Times New Roman" w:hAnsi="Arial" w:cs="Arial"/>
          <w:b/>
          <w:bCs/>
          <w:color w:val="3A343A"/>
          <w:lang w:eastAsia="es-CL"/>
        </w:rPr>
        <w:t xml:space="preserve"> y otras Municipalidades Vs. Chile</w:t>
      </w:r>
    </w:p>
    <w:p w:rsidR="004231B2" w:rsidRDefault="00B40716" w:rsidP="00B40716">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B40716">
        <w:rPr>
          <w:rFonts w:ascii="Arial" w:eastAsia="Times New Roman" w:hAnsi="Arial" w:cs="Arial"/>
          <w:bCs/>
          <w:color w:val="3A343A"/>
          <w:lang w:eastAsia="es-CL"/>
        </w:rPr>
        <w:t>El 10 de noviembre de 2021, la Corte Interamerican</w:t>
      </w:r>
      <w:r>
        <w:rPr>
          <w:rFonts w:ascii="Arial" w:eastAsia="Times New Roman" w:hAnsi="Arial" w:cs="Arial"/>
          <w:bCs/>
          <w:color w:val="3A343A"/>
          <w:lang w:eastAsia="es-CL"/>
        </w:rPr>
        <w:t xml:space="preserve">a de Derechos Humanos </w:t>
      </w:r>
      <w:r w:rsidRPr="00B40716">
        <w:rPr>
          <w:rFonts w:ascii="Arial" w:eastAsia="Times New Roman" w:hAnsi="Arial" w:cs="Arial"/>
          <w:bCs/>
          <w:color w:val="3A343A"/>
          <w:lang w:eastAsia="es-CL"/>
        </w:rPr>
        <w:t>dictó sentencia mediante la cual declaró la responsabilidad internacional del Estado de Chile por las violaciones a diversos derechos en perjuicio 846 profesores y profesoras de las Municipalidades de Chañaral, Chanco, Pelluhue, Parral, Vallenar y Cauquenes.</w:t>
      </w:r>
    </w:p>
    <w:p w:rsidR="00B40716" w:rsidRDefault="00B40716" w:rsidP="00B40716">
      <w:pPr>
        <w:spacing w:beforeAutospacing="1" w:after="0" w:afterAutospacing="1" w:line="240" w:lineRule="auto"/>
        <w:contextualSpacing/>
        <w:jc w:val="both"/>
        <w:textAlignment w:val="baseline"/>
        <w:rPr>
          <w:rFonts w:ascii="Arial" w:eastAsia="Times New Roman" w:hAnsi="Arial" w:cs="Arial"/>
          <w:bCs/>
          <w:color w:val="3A343A"/>
          <w:lang w:eastAsia="es-CL"/>
        </w:rPr>
      </w:pPr>
    </w:p>
    <w:p w:rsidR="00B40716" w:rsidRPr="00B40716" w:rsidRDefault="00B40716" w:rsidP="00B40716">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Caso Vera Rojas y otros vs. C</w:t>
      </w:r>
      <w:r w:rsidRPr="00B40716">
        <w:rPr>
          <w:rFonts w:ascii="Arial" w:eastAsia="Times New Roman" w:hAnsi="Arial" w:cs="Arial"/>
          <w:b/>
          <w:bCs/>
          <w:color w:val="3A343A"/>
          <w:lang w:eastAsia="es-CL"/>
        </w:rPr>
        <w:t>hile</w:t>
      </w:r>
    </w:p>
    <w:p w:rsidR="00B40716" w:rsidRDefault="00B40716" w:rsidP="00B40716">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B40716">
        <w:rPr>
          <w:rFonts w:ascii="Arial" w:eastAsia="Times New Roman" w:hAnsi="Arial" w:cs="Arial"/>
          <w:bCs/>
          <w:color w:val="3A343A"/>
          <w:lang w:eastAsia="es-CL"/>
        </w:rPr>
        <w:t xml:space="preserve">El 1 de octubre de 2021, la Corte Interamericana de Derechos Humanos (en adelante, “la Corte” o “el Tribunal”) dictó sentencia mediante la cual declaró la responsabilidad internacional del Estado de Chile por las violaciones a diversos derechos en perjuicio de Martina Vera Rojas, y del derecho a la integridad personal de sus padres, Carolina Andrea del Pilar Rojas Farías y Ramiro Álvaro Vera Rojas. En particular, la Corte encontró que los derechos a la vida, la vida digna, la integridad personal, la niñez, la salud y la seguridad social, en relación con la obligación de garantizar los derechos sin discriminación, y el deber de adoptar disposiciones de derecho interno, se vieron afectados como consecuencia de la decisión de la aseguradora privada </w:t>
      </w:r>
      <w:proofErr w:type="spellStart"/>
      <w:r w:rsidRPr="00B40716">
        <w:rPr>
          <w:rFonts w:ascii="Arial" w:eastAsia="Times New Roman" w:hAnsi="Arial" w:cs="Arial"/>
          <w:bCs/>
          <w:color w:val="3A343A"/>
          <w:lang w:eastAsia="es-CL"/>
        </w:rPr>
        <w:t>Isapre</w:t>
      </w:r>
      <w:proofErr w:type="spellEnd"/>
      <w:r w:rsidRPr="00B40716">
        <w:rPr>
          <w:rFonts w:ascii="Arial" w:eastAsia="Times New Roman" w:hAnsi="Arial" w:cs="Arial"/>
          <w:bCs/>
          <w:color w:val="3A343A"/>
          <w:lang w:eastAsia="es-CL"/>
        </w:rPr>
        <w:t xml:space="preserve"> </w:t>
      </w:r>
      <w:proofErr w:type="spellStart"/>
      <w:r w:rsidRPr="00B40716">
        <w:rPr>
          <w:rFonts w:ascii="Arial" w:eastAsia="Times New Roman" w:hAnsi="Arial" w:cs="Arial"/>
          <w:bCs/>
          <w:color w:val="3A343A"/>
          <w:lang w:eastAsia="es-CL"/>
        </w:rPr>
        <w:t>MasVida</w:t>
      </w:r>
      <w:proofErr w:type="spellEnd"/>
      <w:r w:rsidRPr="00B40716">
        <w:rPr>
          <w:rFonts w:ascii="Arial" w:eastAsia="Times New Roman" w:hAnsi="Arial" w:cs="Arial"/>
          <w:bCs/>
          <w:color w:val="3A343A"/>
          <w:lang w:eastAsia="es-CL"/>
        </w:rPr>
        <w:t>, en virtud de la cual se determinó el retiro de la hospitalización domiciliaria de Martina Vera, la cual era necesaria para su adecuado tratamiento médico.</w:t>
      </w:r>
    </w:p>
    <w:p w:rsidR="00B40716" w:rsidRDefault="00B40716" w:rsidP="00B40716">
      <w:pPr>
        <w:spacing w:beforeAutospacing="1" w:after="0" w:afterAutospacing="1" w:line="240" w:lineRule="auto"/>
        <w:contextualSpacing/>
        <w:jc w:val="both"/>
        <w:textAlignment w:val="baseline"/>
        <w:rPr>
          <w:rFonts w:ascii="Arial" w:eastAsia="Times New Roman" w:hAnsi="Arial" w:cs="Arial"/>
          <w:bCs/>
          <w:color w:val="3A343A"/>
          <w:lang w:eastAsia="es-CL"/>
        </w:rPr>
      </w:pPr>
    </w:p>
    <w:p w:rsidR="00B40716" w:rsidRPr="00B40716" w:rsidRDefault="00B40716" w:rsidP="00B40716">
      <w:pPr>
        <w:spacing w:beforeAutospacing="1" w:after="0" w:afterAutospacing="1" w:line="240" w:lineRule="auto"/>
        <w:contextualSpacing/>
        <w:jc w:val="both"/>
        <w:textAlignment w:val="baseline"/>
        <w:rPr>
          <w:rFonts w:ascii="Arial" w:eastAsia="Times New Roman" w:hAnsi="Arial" w:cs="Arial"/>
          <w:b/>
          <w:bCs/>
          <w:color w:val="3A343A"/>
          <w:lang w:eastAsia="es-CL"/>
        </w:rPr>
      </w:pPr>
      <w:r>
        <w:rPr>
          <w:rFonts w:ascii="Arial" w:eastAsia="Times New Roman" w:hAnsi="Arial" w:cs="Arial"/>
          <w:b/>
          <w:bCs/>
          <w:color w:val="3A343A"/>
          <w:lang w:eastAsia="es-CL"/>
        </w:rPr>
        <w:t>Caso Poblete Vilches y otros vs. C</w:t>
      </w:r>
      <w:r w:rsidRPr="00B40716">
        <w:rPr>
          <w:rFonts w:ascii="Arial" w:eastAsia="Times New Roman" w:hAnsi="Arial" w:cs="Arial"/>
          <w:b/>
          <w:bCs/>
          <w:color w:val="3A343A"/>
          <w:lang w:eastAsia="es-CL"/>
        </w:rPr>
        <w:t>hile</w:t>
      </w:r>
    </w:p>
    <w:p w:rsidR="00B40716" w:rsidRDefault="00B40716" w:rsidP="00B40716">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B40716">
        <w:rPr>
          <w:rFonts w:ascii="Arial" w:eastAsia="Times New Roman" w:hAnsi="Arial" w:cs="Arial"/>
          <w:bCs/>
          <w:color w:val="3A343A"/>
          <w:lang w:eastAsia="es-CL"/>
        </w:rPr>
        <w:t>El 8 de marzo de 2018 la Corte Interamericana de Derechos Humanos dictó Sentencia en la que declaró por unanimidad la responsabilidad internacional del Estado chileno por no garantizar al señor Vinicio Antonio Poblete Vilches su derecho a la salud sin discriminación, mediante servicios necesarios básicos y urgentes en atención a su situación especial de vulnerabilidad como persona adulta mayor, lo cual derivó en su muerte</w:t>
      </w:r>
      <w:r>
        <w:rPr>
          <w:rFonts w:ascii="Arial" w:eastAsia="Times New Roman" w:hAnsi="Arial" w:cs="Arial"/>
          <w:bCs/>
          <w:color w:val="3A343A"/>
          <w:lang w:eastAsia="es-CL"/>
        </w:rPr>
        <w:t>.</w:t>
      </w:r>
    </w:p>
    <w:p w:rsidR="00B40716" w:rsidRDefault="00B40716" w:rsidP="00B40716">
      <w:pPr>
        <w:spacing w:beforeAutospacing="1" w:after="0" w:afterAutospacing="1" w:line="240" w:lineRule="auto"/>
        <w:contextualSpacing/>
        <w:jc w:val="both"/>
        <w:textAlignment w:val="baseline"/>
        <w:rPr>
          <w:rFonts w:ascii="Arial" w:eastAsia="Times New Roman" w:hAnsi="Arial" w:cs="Arial"/>
          <w:bCs/>
          <w:color w:val="3A343A"/>
          <w:lang w:eastAsia="es-CL"/>
        </w:rPr>
      </w:pPr>
    </w:p>
    <w:p w:rsidR="00627F00" w:rsidRPr="00627F00" w:rsidRDefault="00627F00" w:rsidP="00627F00">
      <w:pPr>
        <w:spacing w:beforeAutospacing="1" w:after="0" w:afterAutospacing="1" w:line="240" w:lineRule="auto"/>
        <w:contextualSpacing/>
        <w:jc w:val="both"/>
        <w:textAlignment w:val="baseline"/>
        <w:rPr>
          <w:rFonts w:ascii="Arial" w:eastAsia="Times New Roman" w:hAnsi="Arial" w:cs="Arial"/>
          <w:b/>
          <w:bCs/>
          <w:color w:val="3A343A"/>
          <w:lang w:eastAsia="es-CL"/>
        </w:rPr>
      </w:pPr>
      <w:r w:rsidRPr="00627F00">
        <w:rPr>
          <w:rFonts w:ascii="Arial" w:eastAsia="Times New Roman" w:hAnsi="Arial" w:cs="Arial"/>
          <w:b/>
          <w:bCs/>
          <w:color w:val="3A343A"/>
          <w:lang w:eastAsia="es-CL"/>
        </w:rPr>
        <w:t xml:space="preserve">Caso </w:t>
      </w:r>
      <w:proofErr w:type="spellStart"/>
      <w:r w:rsidRPr="00627F00">
        <w:rPr>
          <w:rFonts w:ascii="Arial" w:eastAsia="Times New Roman" w:hAnsi="Arial" w:cs="Arial"/>
          <w:b/>
          <w:bCs/>
          <w:color w:val="3A343A"/>
          <w:lang w:eastAsia="es-CL"/>
        </w:rPr>
        <w:t>Palamara</w:t>
      </w:r>
      <w:proofErr w:type="spellEnd"/>
      <w:r w:rsidRPr="00627F00">
        <w:rPr>
          <w:rFonts w:ascii="Arial" w:eastAsia="Times New Roman" w:hAnsi="Arial" w:cs="Arial"/>
          <w:b/>
          <w:bCs/>
          <w:color w:val="3A343A"/>
          <w:lang w:eastAsia="es-CL"/>
        </w:rPr>
        <w:t xml:space="preserve"> Iribarne Vs. Chile</w:t>
      </w:r>
    </w:p>
    <w:p w:rsidR="00B40716" w:rsidRDefault="00627F00" w:rsidP="00627F00">
      <w:pPr>
        <w:spacing w:beforeAutospacing="1" w:after="0" w:afterAutospacing="1" w:line="240" w:lineRule="auto"/>
        <w:contextualSpacing/>
        <w:jc w:val="both"/>
        <w:textAlignment w:val="baseline"/>
        <w:rPr>
          <w:rFonts w:ascii="Arial" w:eastAsia="Times New Roman" w:hAnsi="Arial" w:cs="Arial"/>
          <w:bCs/>
          <w:color w:val="3A343A"/>
          <w:lang w:eastAsia="es-CL"/>
        </w:rPr>
      </w:pPr>
      <w:r w:rsidRPr="00627F00">
        <w:rPr>
          <w:rFonts w:ascii="Arial" w:eastAsia="Times New Roman" w:hAnsi="Arial" w:cs="Arial"/>
          <w:bCs/>
          <w:color w:val="3A343A"/>
          <w:lang w:eastAsia="es-CL"/>
        </w:rPr>
        <w:t xml:space="preserve">Los hechos expuestos en la demanda se refieren a la supuesta prohibición, en marzo de 1993, de la publicación del libro del señor Humberto Antonio </w:t>
      </w:r>
      <w:proofErr w:type="spellStart"/>
      <w:r w:rsidRPr="00627F00">
        <w:rPr>
          <w:rFonts w:ascii="Arial" w:eastAsia="Times New Roman" w:hAnsi="Arial" w:cs="Arial"/>
          <w:bCs/>
          <w:color w:val="3A343A"/>
          <w:lang w:eastAsia="es-CL"/>
        </w:rPr>
        <w:t>Palamara</w:t>
      </w:r>
      <w:proofErr w:type="spellEnd"/>
      <w:r w:rsidRPr="00627F00">
        <w:rPr>
          <w:rFonts w:ascii="Arial" w:eastAsia="Times New Roman" w:hAnsi="Arial" w:cs="Arial"/>
          <w:bCs/>
          <w:color w:val="3A343A"/>
          <w:lang w:eastAsia="es-CL"/>
        </w:rPr>
        <w:t xml:space="preserve"> Iribarne, titulado “Ética y Servicios de Inteligencia”, “en el cual abordaba aspectos relacionados con la inteligencia militar y la necesidad de adecuarla a ciertos parámetros éticos”;</w:t>
      </w:r>
    </w:p>
    <w:p w:rsidR="00627F00" w:rsidRDefault="00627F00" w:rsidP="00627F00">
      <w:pPr>
        <w:spacing w:beforeAutospacing="1" w:after="0" w:afterAutospacing="1" w:line="240" w:lineRule="auto"/>
        <w:contextualSpacing/>
        <w:jc w:val="both"/>
        <w:textAlignment w:val="baseline"/>
        <w:rPr>
          <w:rFonts w:ascii="Arial" w:eastAsia="Times New Roman" w:hAnsi="Arial" w:cs="Arial"/>
          <w:bCs/>
          <w:color w:val="3A343A"/>
          <w:lang w:eastAsia="es-CL"/>
        </w:rPr>
      </w:pPr>
    </w:p>
    <w:p w:rsidR="00627F00" w:rsidRDefault="00627F00" w:rsidP="00627F00">
      <w:pPr>
        <w:spacing w:beforeAutospacing="1" w:after="0" w:afterAutospacing="1" w:line="240" w:lineRule="auto"/>
        <w:contextualSpacing/>
        <w:jc w:val="both"/>
        <w:textAlignment w:val="baseline"/>
        <w:rPr>
          <w:rFonts w:ascii="Arial" w:eastAsia="Times New Roman" w:hAnsi="Arial" w:cs="Arial"/>
          <w:bCs/>
          <w:color w:val="3A343A"/>
          <w:lang w:eastAsia="es-CL"/>
        </w:rPr>
      </w:pPr>
    </w:p>
    <w:p w:rsidR="00627F00" w:rsidRDefault="00627F00" w:rsidP="00627F00">
      <w:pPr>
        <w:spacing w:beforeAutospacing="1" w:after="0" w:afterAutospacing="1" w:line="240" w:lineRule="auto"/>
        <w:contextualSpacing/>
        <w:jc w:val="both"/>
        <w:textAlignment w:val="baseline"/>
        <w:rPr>
          <w:rFonts w:ascii="Arial" w:eastAsia="Times New Roman" w:hAnsi="Arial" w:cs="Arial"/>
          <w:bCs/>
          <w:color w:val="3A343A"/>
          <w:lang w:eastAsia="es-CL"/>
        </w:rPr>
      </w:pPr>
      <w:r>
        <w:rPr>
          <w:rFonts w:ascii="Arial" w:eastAsia="Times New Roman" w:hAnsi="Arial" w:cs="Arial"/>
          <w:bCs/>
          <w:color w:val="3A343A"/>
          <w:lang w:eastAsia="es-CL"/>
        </w:rPr>
        <w:t>FUENTES</w:t>
      </w:r>
    </w:p>
    <w:p w:rsidR="00627F00" w:rsidRPr="00B40716" w:rsidRDefault="00627F00" w:rsidP="00627F00">
      <w:pPr>
        <w:spacing w:beforeAutospacing="1" w:after="0" w:afterAutospacing="1" w:line="240" w:lineRule="auto"/>
        <w:contextualSpacing/>
        <w:jc w:val="both"/>
        <w:textAlignment w:val="baseline"/>
        <w:rPr>
          <w:rFonts w:ascii="Arial" w:eastAsia="Times New Roman" w:hAnsi="Arial" w:cs="Arial"/>
          <w:bCs/>
          <w:color w:val="4F81BD" w:themeColor="accent1"/>
          <w:lang w:eastAsia="es-CL"/>
        </w:rPr>
      </w:pPr>
      <w:r w:rsidRPr="00627F00">
        <w:rPr>
          <w:rFonts w:ascii="Arial" w:eastAsia="Times New Roman" w:hAnsi="Arial" w:cs="Arial"/>
          <w:bCs/>
          <w:color w:val="4F81BD" w:themeColor="accent1"/>
          <w:lang w:eastAsia="es-CL"/>
        </w:rPr>
        <w:t>https://www.corteidh.or.cr/casos_sentencias.cfm</w:t>
      </w:r>
      <w:bookmarkStart w:id="0" w:name="_GoBack"/>
      <w:bookmarkEnd w:id="0"/>
    </w:p>
    <w:sectPr w:rsidR="00627F00" w:rsidRPr="00B40716" w:rsidSect="00E3711A">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018" w:rsidRDefault="00D60018" w:rsidP="00EF3598">
      <w:pPr>
        <w:spacing w:after="0" w:line="240" w:lineRule="auto"/>
      </w:pPr>
      <w:r>
        <w:separator/>
      </w:r>
    </w:p>
  </w:endnote>
  <w:endnote w:type="continuationSeparator" w:id="0">
    <w:p w:rsidR="00D60018" w:rsidRDefault="00D60018" w:rsidP="00EF3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018" w:rsidRDefault="00D60018" w:rsidP="00EF3598">
      <w:pPr>
        <w:spacing w:after="0" w:line="240" w:lineRule="auto"/>
      </w:pPr>
      <w:r>
        <w:separator/>
      </w:r>
    </w:p>
  </w:footnote>
  <w:footnote w:type="continuationSeparator" w:id="0">
    <w:p w:rsidR="00D60018" w:rsidRDefault="00D60018" w:rsidP="00EF35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598" w:rsidRPr="00EF3598" w:rsidRDefault="00D60018" w:rsidP="00EF3598">
    <w:pPr>
      <w:pStyle w:val="Encabezado"/>
      <w:tabs>
        <w:tab w:val="clear" w:pos="4252"/>
        <w:tab w:val="clear" w:pos="8504"/>
        <w:tab w:val="center" w:pos="4419"/>
      </w:tabs>
      <w:rPr>
        <w:rFonts w:ascii="Arial" w:hAnsi="Arial" w:cs="Arial"/>
        <w:b/>
      </w:rPr>
    </w:pPr>
    <w:r>
      <w:rPr>
        <w:rFonts w:ascii="Arial" w:hAnsi="Arial" w:cs="Arial"/>
        <w:b/>
        <w:noProof/>
        <w:lang w:val="es-ES" w:eastAsia="es-E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01.85pt;margin-top:-14.1pt;width:67.65pt;height:62.3pt;z-index:251658240;visibility:visible;mso-wrap-edited:f" fillcolor="#0c9">
          <v:fill opacity=".5"/>
          <v:imagedata r:id="rId1" o:title="" chromakey="white"/>
        </v:shape>
        <o:OLEObject Type="Embed" ProgID="Word.Picture.8" ShapeID="_x0000_s2049" DrawAspect="Content" ObjectID="_1723307763" r:id="rId2"/>
      </w:object>
    </w:r>
    <w:r w:rsidR="00EF3598" w:rsidRPr="00EF3598">
      <w:rPr>
        <w:rFonts w:ascii="Arial" w:hAnsi="Arial" w:cs="Arial"/>
        <w:b/>
      </w:rPr>
      <w:t>ESCUELA NAVAL ARTURO PRAT</w:t>
    </w:r>
    <w:r w:rsidR="00EF3598" w:rsidRPr="00EF3598">
      <w:rPr>
        <w:rFonts w:ascii="Arial" w:hAnsi="Arial" w:cs="Arial"/>
        <w:b/>
      </w:rPr>
      <w:tab/>
    </w:r>
  </w:p>
  <w:p w:rsidR="00EF3598" w:rsidRPr="00EF3598" w:rsidRDefault="00EF3598">
    <w:pPr>
      <w:pStyle w:val="Encabezado"/>
      <w:rPr>
        <w:rFonts w:ascii="Arial" w:hAnsi="Arial" w:cs="Arial"/>
        <w:b/>
      </w:rPr>
    </w:pPr>
    <w:r w:rsidRPr="00EF3598">
      <w:rPr>
        <w:rFonts w:ascii="Arial" w:hAnsi="Arial" w:cs="Arial"/>
        <w:b/>
      </w:rPr>
      <w:t>CÁTEDRA DE DERECHO</w:t>
    </w:r>
  </w:p>
  <w:p w:rsidR="00EF3598" w:rsidRPr="00EF3598" w:rsidRDefault="00EF3598">
    <w:pPr>
      <w:pStyle w:val="Encabezado"/>
      <w:rPr>
        <w:rFonts w:ascii="Arial" w:hAnsi="Arial" w:cs="Arial"/>
        <w:b/>
      </w:rPr>
    </w:pPr>
    <w:r w:rsidRPr="00EF3598">
      <w:rPr>
        <w:rFonts w:ascii="Arial" w:hAnsi="Arial" w:cs="Arial"/>
        <w:b/>
      </w:rPr>
      <w:t>EDUCACIÓN CÍVICA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F5423"/>
    <w:multiLevelType w:val="multilevel"/>
    <w:tmpl w:val="D432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94A2B"/>
    <w:multiLevelType w:val="multilevel"/>
    <w:tmpl w:val="2D6C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30187"/>
    <w:multiLevelType w:val="multilevel"/>
    <w:tmpl w:val="96BE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921D92"/>
    <w:multiLevelType w:val="hybridMultilevel"/>
    <w:tmpl w:val="78DC05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546E3C66"/>
    <w:multiLevelType w:val="multilevel"/>
    <w:tmpl w:val="BC20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FD4008"/>
    <w:multiLevelType w:val="multilevel"/>
    <w:tmpl w:val="63A4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1D49ED"/>
    <w:multiLevelType w:val="hybridMultilevel"/>
    <w:tmpl w:val="78DC05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EFB"/>
    <w:rsid w:val="00124AE5"/>
    <w:rsid w:val="002A38E4"/>
    <w:rsid w:val="004231B2"/>
    <w:rsid w:val="004D5EFB"/>
    <w:rsid w:val="004E545F"/>
    <w:rsid w:val="00602497"/>
    <w:rsid w:val="00627F00"/>
    <w:rsid w:val="00910EBF"/>
    <w:rsid w:val="00934A2C"/>
    <w:rsid w:val="009B2EAC"/>
    <w:rsid w:val="00B40339"/>
    <w:rsid w:val="00B40716"/>
    <w:rsid w:val="00D60018"/>
    <w:rsid w:val="00E3711A"/>
    <w:rsid w:val="00EF35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76532"/>
  <w15:docId w15:val="{ECB4C4D4-D5CD-4F21-9FE4-2129AC318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11A"/>
  </w:style>
  <w:style w:type="paragraph" w:styleId="Ttulo2">
    <w:name w:val="heading 2"/>
    <w:basedOn w:val="Normal"/>
    <w:link w:val="Ttulo2Car"/>
    <w:uiPriority w:val="9"/>
    <w:qFormat/>
    <w:rsid w:val="004D5EFB"/>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description">
    <w:name w:val="list-description"/>
    <w:basedOn w:val="Normal"/>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customStyle="1" w:styleId="paragraph">
    <w:name w:val="paragraph"/>
    <w:basedOn w:val="Normal"/>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customStyle="1" w:styleId="Ttulo2Car">
    <w:name w:val="Título 2 Car"/>
    <w:basedOn w:val="Fuentedeprrafopredeter"/>
    <w:link w:val="Ttulo2"/>
    <w:uiPriority w:val="9"/>
    <w:rsid w:val="004D5EFB"/>
    <w:rPr>
      <w:rFonts w:ascii="Times New Roman" w:eastAsia="Times New Roman" w:hAnsi="Times New Roman" w:cs="Times New Roman"/>
      <w:b/>
      <w:bCs/>
      <w:sz w:val="36"/>
      <w:szCs w:val="36"/>
      <w:lang w:eastAsia="es-CL"/>
    </w:rPr>
  </w:style>
  <w:style w:type="character" w:styleId="Textoennegrita">
    <w:name w:val="Strong"/>
    <w:basedOn w:val="Fuentedeprrafopredeter"/>
    <w:uiPriority w:val="22"/>
    <w:qFormat/>
    <w:rsid w:val="004D5EFB"/>
    <w:rPr>
      <w:b/>
      <w:bCs/>
    </w:rPr>
  </w:style>
  <w:style w:type="paragraph" w:styleId="NormalWeb">
    <w:name w:val="Normal (Web)"/>
    <w:basedOn w:val="Normal"/>
    <w:uiPriority w:val="99"/>
    <w:semiHidden/>
    <w:unhideWhenUsed/>
    <w:rsid w:val="004D5EF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unhideWhenUsed/>
    <w:rsid w:val="004D5EFB"/>
    <w:rPr>
      <w:color w:val="0000FF"/>
      <w:u w:val="single"/>
    </w:rPr>
  </w:style>
  <w:style w:type="paragraph" w:styleId="Prrafodelista">
    <w:name w:val="List Paragraph"/>
    <w:basedOn w:val="Normal"/>
    <w:uiPriority w:val="34"/>
    <w:qFormat/>
    <w:rsid w:val="009B2EAC"/>
    <w:pPr>
      <w:ind w:left="720"/>
      <w:contextualSpacing/>
    </w:pPr>
  </w:style>
  <w:style w:type="paragraph" w:styleId="Encabezado">
    <w:name w:val="header"/>
    <w:basedOn w:val="Normal"/>
    <w:link w:val="EncabezadoCar"/>
    <w:uiPriority w:val="99"/>
    <w:semiHidden/>
    <w:unhideWhenUsed/>
    <w:rsid w:val="00EF35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EF3598"/>
  </w:style>
  <w:style w:type="paragraph" w:styleId="Piedepgina">
    <w:name w:val="footer"/>
    <w:basedOn w:val="Normal"/>
    <w:link w:val="PiedepginaCar"/>
    <w:uiPriority w:val="99"/>
    <w:semiHidden/>
    <w:unhideWhenUsed/>
    <w:rsid w:val="00EF35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EF3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09741">
      <w:bodyDiv w:val="1"/>
      <w:marLeft w:val="0"/>
      <w:marRight w:val="0"/>
      <w:marTop w:val="0"/>
      <w:marBottom w:val="0"/>
      <w:divBdr>
        <w:top w:val="none" w:sz="0" w:space="0" w:color="auto"/>
        <w:left w:val="none" w:sz="0" w:space="0" w:color="auto"/>
        <w:bottom w:val="none" w:sz="0" w:space="0" w:color="auto"/>
        <w:right w:val="none" w:sz="0" w:space="0" w:color="auto"/>
      </w:divBdr>
      <w:divsChild>
        <w:div w:id="564295649">
          <w:marLeft w:val="0"/>
          <w:marRight w:val="0"/>
          <w:marTop w:val="0"/>
          <w:marBottom w:val="0"/>
          <w:divBdr>
            <w:top w:val="none" w:sz="0" w:space="0" w:color="auto"/>
            <w:left w:val="none" w:sz="0" w:space="0" w:color="auto"/>
            <w:bottom w:val="none" w:sz="0" w:space="0" w:color="auto"/>
            <w:right w:val="none" w:sz="0" w:space="0" w:color="auto"/>
          </w:divBdr>
          <w:divsChild>
            <w:div w:id="1150369390">
              <w:marLeft w:val="0"/>
              <w:marRight w:val="0"/>
              <w:marTop w:val="0"/>
              <w:marBottom w:val="0"/>
              <w:divBdr>
                <w:top w:val="none" w:sz="0" w:space="0" w:color="auto"/>
                <w:left w:val="none" w:sz="0" w:space="0" w:color="auto"/>
                <w:bottom w:val="none" w:sz="0" w:space="0" w:color="auto"/>
                <w:right w:val="none" w:sz="0" w:space="0" w:color="auto"/>
              </w:divBdr>
              <w:divsChild>
                <w:div w:id="175323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451088">
      <w:bodyDiv w:val="1"/>
      <w:marLeft w:val="0"/>
      <w:marRight w:val="0"/>
      <w:marTop w:val="0"/>
      <w:marBottom w:val="0"/>
      <w:divBdr>
        <w:top w:val="none" w:sz="0" w:space="0" w:color="auto"/>
        <w:left w:val="none" w:sz="0" w:space="0" w:color="auto"/>
        <w:bottom w:val="none" w:sz="0" w:space="0" w:color="auto"/>
        <w:right w:val="none" w:sz="0" w:space="0" w:color="auto"/>
      </w:divBdr>
      <w:divsChild>
        <w:div w:id="839197416">
          <w:marLeft w:val="0"/>
          <w:marRight w:val="0"/>
          <w:marTop w:val="0"/>
          <w:marBottom w:val="450"/>
          <w:divBdr>
            <w:top w:val="single" w:sz="6" w:space="8" w:color="999999"/>
            <w:left w:val="none" w:sz="0" w:space="0" w:color="auto"/>
            <w:bottom w:val="none" w:sz="0" w:space="0" w:color="auto"/>
            <w:right w:val="none" w:sz="0" w:space="0" w:color="auto"/>
          </w:divBdr>
          <w:divsChild>
            <w:div w:id="95177791">
              <w:marLeft w:val="0"/>
              <w:marRight w:val="0"/>
              <w:marTop w:val="0"/>
              <w:marBottom w:val="0"/>
              <w:divBdr>
                <w:top w:val="none" w:sz="0" w:space="0" w:color="auto"/>
                <w:left w:val="none" w:sz="0" w:space="0" w:color="auto"/>
                <w:bottom w:val="none" w:sz="0" w:space="0" w:color="auto"/>
                <w:right w:val="none" w:sz="0" w:space="0" w:color="auto"/>
              </w:divBdr>
            </w:div>
          </w:divsChild>
        </w:div>
        <w:div w:id="1032070126">
          <w:marLeft w:val="0"/>
          <w:marRight w:val="0"/>
          <w:marTop w:val="0"/>
          <w:marBottom w:val="450"/>
          <w:divBdr>
            <w:top w:val="single" w:sz="6" w:space="8" w:color="999999"/>
            <w:left w:val="none" w:sz="0" w:space="0" w:color="auto"/>
            <w:bottom w:val="none" w:sz="0" w:space="0" w:color="auto"/>
            <w:right w:val="none" w:sz="0" w:space="0" w:color="auto"/>
          </w:divBdr>
          <w:divsChild>
            <w:div w:id="780033005">
              <w:marLeft w:val="0"/>
              <w:marRight w:val="0"/>
              <w:marTop w:val="0"/>
              <w:marBottom w:val="0"/>
              <w:divBdr>
                <w:top w:val="none" w:sz="0" w:space="0" w:color="auto"/>
                <w:left w:val="none" w:sz="0" w:space="0" w:color="auto"/>
                <w:bottom w:val="none" w:sz="0" w:space="0" w:color="auto"/>
                <w:right w:val="none" w:sz="0" w:space="0" w:color="auto"/>
              </w:divBdr>
            </w:div>
          </w:divsChild>
        </w:div>
        <w:div w:id="765424393">
          <w:marLeft w:val="0"/>
          <w:marRight w:val="0"/>
          <w:marTop w:val="0"/>
          <w:marBottom w:val="450"/>
          <w:divBdr>
            <w:top w:val="single" w:sz="6" w:space="8" w:color="999999"/>
            <w:left w:val="none" w:sz="0" w:space="0" w:color="auto"/>
            <w:bottom w:val="none" w:sz="0" w:space="0" w:color="auto"/>
            <w:right w:val="none" w:sz="0" w:space="0" w:color="auto"/>
          </w:divBdr>
          <w:divsChild>
            <w:div w:id="83578420">
              <w:marLeft w:val="0"/>
              <w:marRight w:val="0"/>
              <w:marTop w:val="0"/>
              <w:marBottom w:val="0"/>
              <w:divBdr>
                <w:top w:val="none" w:sz="0" w:space="0" w:color="auto"/>
                <w:left w:val="none" w:sz="0" w:space="0" w:color="auto"/>
                <w:bottom w:val="none" w:sz="0" w:space="0" w:color="auto"/>
                <w:right w:val="none" w:sz="0" w:space="0" w:color="auto"/>
              </w:divBdr>
            </w:div>
          </w:divsChild>
        </w:div>
        <w:div w:id="1706055346">
          <w:marLeft w:val="0"/>
          <w:marRight w:val="0"/>
          <w:marTop w:val="0"/>
          <w:marBottom w:val="450"/>
          <w:divBdr>
            <w:top w:val="single" w:sz="6" w:space="8" w:color="999999"/>
            <w:left w:val="none" w:sz="0" w:space="0" w:color="auto"/>
            <w:bottom w:val="none" w:sz="0" w:space="0" w:color="auto"/>
            <w:right w:val="none" w:sz="0" w:space="0" w:color="auto"/>
          </w:divBdr>
          <w:divsChild>
            <w:div w:id="1263605157">
              <w:marLeft w:val="0"/>
              <w:marRight w:val="0"/>
              <w:marTop w:val="0"/>
              <w:marBottom w:val="0"/>
              <w:divBdr>
                <w:top w:val="none" w:sz="0" w:space="0" w:color="auto"/>
                <w:left w:val="none" w:sz="0" w:space="0" w:color="auto"/>
                <w:bottom w:val="none" w:sz="0" w:space="0" w:color="auto"/>
                <w:right w:val="none" w:sz="0" w:space="0" w:color="auto"/>
              </w:divBdr>
            </w:div>
          </w:divsChild>
        </w:div>
        <w:div w:id="1140926177">
          <w:marLeft w:val="0"/>
          <w:marRight w:val="0"/>
          <w:marTop w:val="0"/>
          <w:marBottom w:val="450"/>
          <w:divBdr>
            <w:top w:val="single" w:sz="6" w:space="8" w:color="999999"/>
            <w:left w:val="none" w:sz="0" w:space="0" w:color="auto"/>
            <w:bottom w:val="none" w:sz="0" w:space="0" w:color="auto"/>
            <w:right w:val="none" w:sz="0" w:space="0" w:color="auto"/>
          </w:divBdr>
          <w:divsChild>
            <w:div w:id="1736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90010">
      <w:bodyDiv w:val="1"/>
      <w:marLeft w:val="0"/>
      <w:marRight w:val="0"/>
      <w:marTop w:val="0"/>
      <w:marBottom w:val="0"/>
      <w:divBdr>
        <w:top w:val="none" w:sz="0" w:space="0" w:color="auto"/>
        <w:left w:val="none" w:sz="0" w:space="0" w:color="auto"/>
        <w:bottom w:val="none" w:sz="0" w:space="0" w:color="auto"/>
        <w:right w:val="none" w:sz="0" w:space="0" w:color="auto"/>
      </w:divBdr>
      <w:divsChild>
        <w:div w:id="1225291856">
          <w:marLeft w:val="0"/>
          <w:marRight w:val="0"/>
          <w:marTop w:val="0"/>
          <w:marBottom w:val="0"/>
          <w:divBdr>
            <w:top w:val="none" w:sz="0" w:space="0" w:color="auto"/>
            <w:left w:val="none" w:sz="0" w:space="0" w:color="auto"/>
            <w:bottom w:val="none" w:sz="0" w:space="0" w:color="auto"/>
            <w:right w:val="none" w:sz="0" w:space="0" w:color="auto"/>
          </w:divBdr>
          <w:divsChild>
            <w:div w:id="1951205849">
              <w:marLeft w:val="0"/>
              <w:marRight w:val="0"/>
              <w:marTop w:val="0"/>
              <w:marBottom w:val="0"/>
              <w:divBdr>
                <w:top w:val="none" w:sz="0" w:space="0" w:color="auto"/>
                <w:left w:val="none" w:sz="0" w:space="0" w:color="auto"/>
                <w:bottom w:val="none" w:sz="0" w:space="0" w:color="auto"/>
                <w:right w:val="none" w:sz="0" w:space="0" w:color="auto"/>
              </w:divBdr>
              <w:divsChild>
                <w:div w:id="9451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08520">
      <w:bodyDiv w:val="1"/>
      <w:marLeft w:val="0"/>
      <w:marRight w:val="0"/>
      <w:marTop w:val="0"/>
      <w:marBottom w:val="0"/>
      <w:divBdr>
        <w:top w:val="none" w:sz="0" w:space="0" w:color="auto"/>
        <w:left w:val="none" w:sz="0" w:space="0" w:color="auto"/>
        <w:bottom w:val="none" w:sz="0" w:space="0" w:color="auto"/>
        <w:right w:val="none" w:sz="0" w:space="0" w:color="auto"/>
      </w:divBdr>
      <w:divsChild>
        <w:div w:id="858087877">
          <w:marLeft w:val="0"/>
          <w:marRight w:val="0"/>
          <w:marTop w:val="0"/>
          <w:marBottom w:val="0"/>
          <w:divBdr>
            <w:top w:val="none" w:sz="0" w:space="0" w:color="auto"/>
            <w:left w:val="none" w:sz="0" w:space="0" w:color="auto"/>
            <w:bottom w:val="none" w:sz="0" w:space="0" w:color="auto"/>
            <w:right w:val="none" w:sz="0" w:space="0" w:color="auto"/>
          </w:divBdr>
          <w:divsChild>
            <w:div w:id="348604819">
              <w:marLeft w:val="0"/>
              <w:marRight w:val="0"/>
              <w:marTop w:val="0"/>
              <w:marBottom w:val="0"/>
              <w:divBdr>
                <w:top w:val="none" w:sz="0" w:space="0" w:color="auto"/>
                <w:left w:val="none" w:sz="0" w:space="0" w:color="auto"/>
                <w:bottom w:val="none" w:sz="0" w:space="0" w:color="auto"/>
                <w:right w:val="none" w:sz="0" w:space="0" w:color="auto"/>
              </w:divBdr>
              <w:divsChild>
                <w:div w:id="543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ainformacion.com/mundo/los-genocidios-mas-crueles-de-la-historia-desde-la-matanza-de-ruanda-hasta-la-masacre-armenia_3fpNG37nkn2zGysy9GZgB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acnur.org/es/actualidad/noticias/emergencias/crimenes-de-lesa-humanidad-las-mayores-atrocidades-de-la-histor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acnur.org/es/actualidad/noticias/emergencias/crimenes-de-guerra-de-la-historia-reciente" TargetMode="External"/><Relationship Id="rId4" Type="http://schemas.openxmlformats.org/officeDocument/2006/relationships/webSettings" Target="webSettings.xml"/><Relationship Id="rId9" Type="http://schemas.openxmlformats.org/officeDocument/2006/relationships/hyperlink" Target="https://eacnur.org/es/actualidad/noticias/emergencias/crimenes-de-lesa-humanidad-las-mayores-atrocidades-de-la-historia"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1519</Words>
  <Characters>8664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9416032-4</dc:creator>
  <cp:lastModifiedBy>eduardosims@gmail.com</cp:lastModifiedBy>
  <cp:revision>3</cp:revision>
  <dcterms:created xsi:type="dcterms:W3CDTF">2022-08-29T23:25:00Z</dcterms:created>
  <dcterms:modified xsi:type="dcterms:W3CDTF">2022-08-29T23:50:00Z</dcterms:modified>
</cp:coreProperties>
</file>