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pPr>
      <w:r w:rsidDel="00000000" w:rsidR="00000000" w:rsidRPr="00000000">
        <w:rPr>
          <w:rtl w:val="0"/>
        </w:rPr>
        <w:t xml:space="preserve">Este artículo presenta que, pese a los discursos contemporáneos sobre igualdad y diversidad, los menores siguen reproduciendo patrones tradicionales de género en sus preferencias digitales. </w:t>
      </w:r>
    </w:p>
    <w:p w:rsidR="00000000" w:rsidDel="00000000" w:rsidP="00000000" w:rsidRDefault="00000000" w:rsidRPr="00000000" w14:paraId="00000002">
      <w:pPr>
        <w:spacing w:after="240" w:before="240" w:lineRule="auto"/>
        <w:rPr/>
      </w:pPr>
      <w:r w:rsidDel="00000000" w:rsidR="00000000" w:rsidRPr="00000000">
        <w:rPr>
          <w:rtl w:val="0"/>
        </w:rPr>
        <w:t xml:space="preserve">Los jóvenes  se inclinan hacia videojuegos, deportes y humor, mientras que las chicas hacia moda, belleza y estilo de vida. Esta división no solo refleja los estereotipos clásicos, sino que además se intensifica con la edad, lo que sugiere que la socialización digital refuerza roles ya presentes en la cultura offline.</w:t>
      </w:r>
    </w:p>
    <w:p w:rsidR="00000000" w:rsidDel="00000000" w:rsidP="00000000" w:rsidRDefault="00000000" w:rsidRPr="00000000" w14:paraId="00000003">
      <w:pPr>
        <w:spacing w:after="240" w:before="240" w:lineRule="auto"/>
        <w:rPr/>
      </w:pPr>
      <w:r w:rsidDel="00000000" w:rsidR="00000000" w:rsidRPr="00000000">
        <w:rPr>
          <w:rtl w:val="0"/>
        </w:rPr>
        <w:t xml:space="preserve">Un aspecto preocupante es que los influencers actúan como </w:t>
      </w:r>
      <w:r w:rsidDel="00000000" w:rsidR="00000000" w:rsidRPr="00000000">
        <w:rPr>
          <w:rtl w:val="0"/>
        </w:rPr>
        <w:t xml:space="preserve">modelos de referencia</w:t>
      </w:r>
      <w:r w:rsidDel="00000000" w:rsidR="00000000" w:rsidRPr="00000000">
        <w:rPr>
          <w:rtl w:val="0"/>
        </w:rPr>
        <w:t xml:space="preserve"> en la construcción de identidad, pero lo hacen desde marcos muy estereotipados. El hecho de que la mayoría de los menores aspire a ser influencer,indica que no solo consumen estos contenidos, sino que también internalizan la idea de que el éxito social pasa por replicar esos mismos patrones.</w:t>
      </w:r>
    </w:p>
    <w:p w:rsidR="00000000" w:rsidDel="00000000" w:rsidP="00000000" w:rsidRDefault="00000000" w:rsidRPr="00000000" w14:paraId="00000004">
      <w:pPr>
        <w:spacing w:after="240" w:before="240" w:lineRule="auto"/>
        <w:rPr/>
      </w:pPr>
      <w:r w:rsidDel="00000000" w:rsidR="00000000" w:rsidRPr="00000000">
        <w:rPr>
          <w:rtl w:val="0"/>
        </w:rPr>
        <w:t xml:space="preserve">Por otro lado, el predominio de plataformas como YouTube y TikTok muestra que el acceso a referentes está mediado por algoritmos que tienden a reforzar las preferencias iniciales, creando una especie de “cámara de eco” de género. Esto plantea un reto educativo: ¿cómo introducir narrativas alternativas que rompan con la segmentación por sexo y ofrezcan modelos más diversos?</w:t>
      </w:r>
    </w:p>
    <w:p w:rsidR="00000000" w:rsidDel="00000000" w:rsidP="00000000" w:rsidRDefault="00000000" w:rsidRPr="00000000" w14:paraId="00000005">
      <w:pPr>
        <w:spacing w:after="240" w:before="240" w:lineRule="auto"/>
        <w:rPr/>
      </w:pPr>
      <w:r w:rsidDel="00000000" w:rsidR="00000000" w:rsidRPr="00000000">
        <w:rPr>
          <w:rtl w:val="0"/>
        </w:rPr>
        <w:t xml:space="preserve">En conclusión el artículo evidencia que las redes sociales no son neutrales, sino que funcionan como </w:t>
      </w:r>
      <w:r w:rsidDel="00000000" w:rsidR="00000000" w:rsidRPr="00000000">
        <w:rPr>
          <w:rtl w:val="0"/>
        </w:rPr>
        <w:t xml:space="preserve">espacios de reproducción cultural</w:t>
      </w:r>
      <w:r w:rsidDel="00000000" w:rsidR="00000000" w:rsidRPr="00000000">
        <w:rPr>
          <w:rtl w:val="0"/>
        </w:rPr>
        <w:t xml:space="preserve"> donde los estereotipos de género se consolidan y se proyectan hacia el futuro.</w:t>
      </w:r>
    </w:p>
    <w:p w:rsidR="00000000" w:rsidDel="00000000" w:rsidP="00000000" w:rsidRDefault="00000000" w:rsidRPr="00000000" w14:paraId="00000006">
      <w:pPr>
        <w:rPr>
          <w:b w:val="1"/>
          <w:bCs w:val="1"/>
        </w:rPr>
      </w:pP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s-MX"/>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