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9F38D" w14:textId="77777777" w:rsidR="00292319" w:rsidRPr="00292319" w:rsidRDefault="00292319" w:rsidP="00292319">
      <w:pPr>
        <w:jc w:val="center"/>
        <w:rPr>
          <w:sz w:val="44"/>
          <w:szCs w:val="44"/>
        </w:rPr>
      </w:pPr>
      <w:r w:rsidRPr="00292319">
        <w:rPr>
          <w:sz w:val="44"/>
          <w:szCs w:val="44"/>
        </w:rPr>
        <w:t>Tarea Líneas de carga</w:t>
      </w:r>
    </w:p>
    <w:p w14:paraId="6FFE7A8F" w14:textId="77777777" w:rsidR="000B37F5" w:rsidRPr="000B37F5" w:rsidRDefault="000B37F5" w:rsidP="000B37F5">
      <w:r w:rsidRPr="000B37F5">
        <w:rPr>
          <w:b/>
          <w:bCs/>
        </w:rPr>
        <w:t xml:space="preserve">Explique qué es el permiso de agua dulce (Fresh Water </w:t>
      </w:r>
      <w:proofErr w:type="spellStart"/>
      <w:r w:rsidRPr="000B37F5">
        <w:rPr>
          <w:b/>
          <w:bCs/>
        </w:rPr>
        <w:t>Allowance</w:t>
      </w:r>
      <w:proofErr w:type="spellEnd"/>
      <w:r w:rsidRPr="000B37F5">
        <w:rPr>
          <w:b/>
          <w:bCs/>
        </w:rPr>
        <w:t xml:space="preserve">) en un buque con marca de </w:t>
      </w:r>
      <w:proofErr w:type="spellStart"/>
      <w:r w:rsidRPr="000B37F5">
        <w:rPr>
          <w:b/>
          <w:bCs/>
        </w:rPr>
        <w:t>Plimsoll</w:t>
      </w:r>
      <w:proofErr w:type="spellEnd"/>
      <w:r w:rsidRPr="000B37F5">
        <w:rPr>
          <w:b/>
          <w:bCs/>
        </w:rPr>
        <w:t xml:space="preserve"> en sus costados y qué significa Permiso de agua de puerto (Dock Water </w:t>
      </w:r>
      <w:proofErr w:type="spellStart"/>
      <w:r w:rsidRPr="000B37F5">
        <w:rPr>
          <w:b/>
          <w:bCs/>
        </w:rPr>
        <w:t>Allowance</w:t>
      </w:r>
      <w:proofErr w:type="spellEnd"/>
      <w:r w:rsidRPr="000B37F5">
        <w:rPr>
          <w:b/>
          <w:bCs/>
        </w:rPr>
        <w:t>).</w:t>
      </w:r>
    </w:p>
    <w:p w14:paraId="10B0B810" w14:textId="19C23FB6" w:rsidR="000B37F5" w:rsidRPr="000B37F5" w:rsidRDefault="000B37F5" w:rsidP="000B37F5">
      <w:r w:rsidRPr="000B37F5">
        <w:rPr>
          <w:b/>
          <w:bCs/>
        </w:rPr>
        <w:t xml:space="preserve">En su respuesta </w:t>
      </w:r>
      <w:r w:rsidRPr="000B37F5">
        <w:rPr>
          <w:b/>
          <w:bCs/>
        </w:rPr>
        <w:t>indique</w:t>
      </w:r>
      <w:r w:rsidRPr="000B37F5">
        <w:rPr>
          <w:b/>
          <w:bCs/>
        </w:rPr>
        <w:t xml:space="preserve"> cómo se relacionan las líneas de carga y la marca de </w:t>
      </w:r>
      <w:proofErr w:type="spellStart"/>
      <w:r w:rsidRPr="000B37F5">
        <w:rPr>
          <w:b/>
          <w:bCs/>
        </w:rPr>
        <w:t>Plimsoll</w:t>
      </w:r>
      <w:proofErr w:type="spellEnd"/>
      <w:r w:rsidRPr="000B37F5">
        <w:rPr>
          <w:b/>
          <w:bCs/>
        </w:rPr>
        <w:t xml:space="preserve"> con los permisos mencionados para la fiscalización de un zarpe, y qué riesgos operacionales y legales implica que un buque no respete estas marcas y autorizaciones.</w:t>
      </w:r>
    </w:p>
    <w:p w14:paraId="49717B4E" w14:textId="77777777" w:rsidR="000B37F5" w:rsidRDefault="000B37F5"/>
    <w:p w14:paraId="4E7F03BA" w14:textId="77777777" w:rsidR="000B37F5" w:rsidRDefault="000B37F5"/>
    <w:p w14:paraId="362C4E8B" w14:textId="4284C447" w:rsidR="00EE6B80" w:rsidRDefault="00292319">
      <w:r>
        <w:t>El permiso de agua dulce (FWA) es la distancia vertical entre la línea de carga de ver</w:t>
      </w:r>
      <w:r w:rsidR="000B37F5">
        <w:t>ano en agua salada y agua dulce</w:t>
      </w:r>
      <w:r w:rsidR="00633B90">
        <w:t xml:space="preserve">, y el permiso de agua de puerto (DWA) es el ajuste de carga aplicado cuando el buque esta en puerto con densidad del agua distinta a la </w:t>
      </w:r>
      <w:r w:rsidR="00D911A3">
        <w:t>estándar.</w:t>
      </w:r>
    </w:p>
    <w:p w14:paraId="68DFF486" w14:textId="2B929E32" w:rsidR="00D911A3" w:rsidRDefault="00D911A3">
      <w:r>
        <w:t xml:space="preserve">La relación que tienen </w:t>
      </w:r>
      <w:r w:rsidR="005C0344">
        <w:t xml:space="preserve">e el control visual ya que la maraca se encuentra en la mitad de la eslora, facilitando a la Autoridad Marítima a una lectura rápida del estado de carga desde el muelle o puerto, además que el </w:t>
      </w:r>
      <w:proofErr w:type="spellStart"/>
      <w:r w:rsidR="005C0344">
        <w:t>capuerto</w:t>
      </w:r>
      <w:proofErr w:type="spellEnd"/>
      <w:r w:rsidR="005C0344">
        <w:t xml:space="preserve"> tiene la obligación de negar o autorizar el zarpe como una de las observaciones de que cumplan con las líneas de carga correspondientes.</w:t>
      </w:r>
    </w:p>
    <w:p w14:paraId="49038F0D" w14:textId="2FAE0B8F" w:rsidR="005C0344" w:rsidRDefault="005C0344">
      <w:r>
        <w:t xml:space="preserve">Como riesgo operacional esta la pérdida de reserva de </w:t>
      </w:r>
      <w:proofErr w:type="spellStart"/>
      <w:r>
        <w:t>boyantez</w:t>
      </w:r>
      <w:proofErr w:type="spellEnd"/>
      <w:r>
        <w:t xml:space="preserve"> quedando vulnerable a</w:t>
      </w:r>
      <w:r w:rsidR="00006623">
        <w:t xml:space="preserve">l hundimiento y como riesgo legal las sanciones del </w:t>
      </w:r>
      <w:proofErr w:type="spellStart"/>
      <w:r w:rsidR="00006623">
        <w:t>capuerto</w:t>
      </w:r>
      <w:proofErr w:type="spellEnd"/>
      <w:r w:rsidR="00006623">
        <w:t xml:space="preserve"> por el incumplimiento de estas dando una cancelación definitiva de su titulo profesional.</w:t>
      </w:r>
    </w:p>
    <w:sectPr w:rsidR="005C034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49986" w14:textId="77777777" w:rsidR="004366A5" w:rsidRDefault="004366A5" w:rsidP="00292319">
      <w:pPr>
        <w:spacing w:after="0" w:line="240" w:lineRule="auto"/>
      </w:pPr>
      <w:r>
        <w:separator/>
      </w:r>
    </w:p>
  </w:endnote>
  <w:endnote w:type="continuationSeparator" w:id="0">
    <w:p w14:paraId="1FCDD86E" w14:textId="77777777" w:rsidR="004366A5" w:rsidRDefault="004366A5" w:rsidP="00292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2DE72" w14:textId="77777777" w:rsidR="004366A5" w:rsidRDefault="004366A5" w:rsidP="00292319">
      <w:pPr>
        <w:spacing w:after="0" w:line="240" w:lineRule="auto"/>
      </w:pPr>
      <w:r>
        <w:separator/>
      </w:r>
    </w:p>
  </w:footnote>
  <w:footnote w:type="continuationSeparator" w:id="0">
    <w:p w14:paraId="77AE8EF3" w14:textId="77777777" w:rsidR="004366A5" w:rsidRDefault="004366A5" w:rsidP="00292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4CF0" w14:textId="5208EA7C" w:rsidR="00864BF2" w:rsidRDefault="00864BF2">
    <w:pPr>
      <w:pStyle w:val="Encabezado"/>
    </w:pPr>
    <w:r>
      <w:t>Cadete LT Bruno Gómez Mena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2319"/>
    <w:rsid w:val="00006623"/>
    <w:rsid w:val="000B37F5"/>
    <w:rsid w:val="000C3967"/>
    <w:rsid w:val="00292319"/>
    <w:rsid w:val="004366A5"/>
    <w:rsid w:val="005C0344"/>
    <w:rsid w:val="00633B90"/>
    <w:rsid w:val="00864BF2"/>
    <w:rsid w:val="00BE225D"/>
    <w:rsid w:val="00D911A3"/>
    <w:rsid w:val="00EE6B80"/>
    <w:rsid w:val="00F1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6003"/>
  <w15:chartTrackingRefBased/>
  <w15:docId w15:val="{515E626F-A28A-4752-B635-3DAF39D4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92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92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2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2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2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2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2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2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2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2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92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2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23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23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23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23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23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23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2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2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2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2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2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23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23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23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2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23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231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923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2319"/>
  </w:style>
  <w:style w:type="paragraph" w:styleId="Piedepgina">
    <w:name w:val="footer"/>
    <w:basedOn w:val="Normal"/>
    <w:link w:val="PiedepginaCar"/>
    <w:uiPriority w:val="99"/>
    <w:unhideWhenUsed/>
    <w:rsid w:val="002923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2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Gomez</dc:creator>
  <cp:keywords/>
  <dc:description/>
  <cp:lastModifiedBy>Bruno Gomez</cp:lastModifiedBy>
  <cp:revision>2</cp:revision>
  <dcterms:created xsi:type="dcterms:W3CDTF">2026-03-30T19:00:00Z</dcterms:created>
  <dcterms:modified xsi:type="dcterms:W3CDTF">2026-03-30T19:00:00Z</dcterms:modified>
</cp:coreProperties>
</file>