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0DE92" w14:textId="77777777" w:rsidR="00A51681" w:rsidRDefault="00A51681" w:rsidP="00A51681">
      <w:pPr>
        <w:spacing w:before="100" w:beforeAutospacing="1" w:after="100" w:afterAutospacing="1" w:line="240" w:lineRule="auto"/>
        <w:contextualSpacing/>
        <w:jc w:val="center"/>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 xml:space="preserve">ESTATUTO DE GARANTÍAS </w:t>
      </w:r>
      <w:r>
        <w:rPr>
          <w:rFonts w:ascii="Arial" w:eastAsia="Times New Roman" w:hAnsi="Arial" w:cs="Arial"/>
          <w:b/>
          <w:bCs/>
          <w:kern w:val="0"/>
          <w:sz w:val="22"/>
          <w:szCs w:val="22"/>
          <w:lang w:eastAsia="es-CL"/>
          <w14:ligatures w14:val="none"/>
        </w:rPr>
        <w:t xml:space="preserve">DE GARANTÍAS </w:t>
      </w:r>
    </w:p>
    <w:p w14:paraId="721F8A88" w14:textId="1470D53A" w:rsidR="00A51681" w:rsidRDefault="00A51681" w:rsidP="00A51681">
      <w:pPr>
        <w:spacing w:before="100" w:beforeAutospacing="1" w:after="100" w:afterAutospacing="1" w:line="240" w:lineRule="auto"/>
        <w:contextualSpacing/>
        <w:jc w:val="center"/>
        <w:rPr>
          <w:rFonts w:ascii="Arial" w:eastAsia="Times New Roman" w:hAnsi="Arial" w:cs="Arial"/>
          <w:b/>
          <w:bCs/>
          <w:kern w:val="0"/>
          <w:sz w:val="22"/>
          <w:szCs w:val="22"/>
          <w:lang w:eastAsia="es-CL"/>
          <w14:ligatures w14:val="none"/>
        </w:rPr>
      </w:pPr>
      <w:r>
        <w:rPr>
          <w:rFonts w:ascii="Arial" w:eastAsia="Times New Roman" w:hAnsi="Arial" w:cs="Arial"/>
          <w:b/>
          <w:bCs/>
          <w:kern w:val="0"/>
          <w:sz w:val="22"/>
          <w:szCs w:val="22"/>
          <w:lang w:eastAsia="es-CL"/>
          <w14:ligatures w14:val="none"/>
        </w:rPr>
        <w:t xml:space="preserve">CONSTITUCIONALES O </w:t>
      </w:r>
      <w:r w:rsidRPr="00A51681">
        <w:rPr>
          <w:rFonts w:ascii="Arial" w:eastAsia="Times New Roman" w:hAnsi="Arial" w:cs="Arial"/>
          <w:b/>
          <w:bCs/>
          <w:kern w:val="0"/>
          <w:sz w:val="22"/>
          <w:szCs w:val="22"/>
          <w:lang w:eastAsia="es-CL"/>
          <w14:ligatures w14:val="none"/>
        </w:rPr>
        <w:t>DEMOCRÁTICAS</w:t>
      </w:r>
    </w:p>
    <w:p w14:paraId="1E1BCCC8" w14:textId="77777777" w:rsidR="00A51681" w:rsidRDefault="00A51681" w:rsidP="00A51681">
      <w:pPr>
        <w:spacing w:before="100" w:beforeAutospacing="1" w:after="100" w:afterAutospacing="1" w:line="240" w:lineRule="auto"/>
        <w:contextualSpacing/>
        <w:jc w:val="center"/>
        <w:rPr>
          <w:rFonts w:ascii="Arial" w:eastAsia="Times New Roman" w:hAnsi="Arial" w:cs="Arial"/>
          <w:b/>
          <w:bCs/>
          <w:kern w:val="0"/>
          <w:sz w:val="22"/>
          <w:szCs w:val="22"/>
          <w:lang w:eastAsia="es-CL"/>
          <w14:ligatures w14:val="none"/>
        </w:rPr>
      </w:pPr>
    </w:p>
    <w:p w14:paraId="28CAF5A9" w14:textId="41DADD10" w:rsid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kern w:val="0"/>
          <w:sz w:val="22"/>
          <w:szCs w:val="22"/>
          <w:lang w:eastAsia="es-CL"/>
          <w14:ligatures w14:val="none"/>
        </w:rPr>
        <w:t>Es una reforma constitucional aprobada a finales de 1970 en Chile. Este fue un pacto político crucial que permitió la llegada de Salvador Allende a la presidencia, pero cuya interpretación sobre su "incumplimiento" se convirtió en el eje del conflicto que llevó al quiebre de la democracia en 1973.</w:t>
      </w:r>
    </w:p>
    <w:p w14:paraId="2FA00E76" w14:textId="77777777" w:rsidR="00A51681" w:rsidRP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p>
    <w:p w14:paraId="69405115" w14:textId="77777777" w:rsidR="00A51681" w:rsidRPr="00A51681" w:rsidRDefault="00A51681" w:rsidP="00A51681">
      <w:pPr>
        <w:spacing w:before="100" w:beforeAutospacing="1" w:after="100" w:afterAutospacing="1" w:line="240" w:lineRule="auto"/>
        <w:contextualSpacing/>
        <w:jc w:val="both"/>
        <w:outlineLvl w:val="1"/>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1. El Origen: ¿Por qué nació el Estatuto?</w:t>
      </w:r>
    </w:p>
    <w:p w14:paraId="63738BA3" w14:textId="77777777" w:rsidR="00A51681" w:rsidRP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kern w:val="0"/>
          <w:sz w:val="22"/>
          <w:szCs w:val="22"/>
          <w:lang w:eastAsia="es-CL"/>
          <w14:ligatures w14:val="none"/>
        </w:rPr>
        <w:t>En las elecciones de septiembre de 1970, Salvador Allende obtuvo la mayoría relativa (36,6%), pero no la absoluta. Según la Constitución de 1925, el Congreso Pleno debía elegir entre las dos mayorías más altas (Allende y Jorge Alessandri).</w:t>
      </w:r>
    </w:p>
    <w:p w14:paraId="7B42DC06" w14:textId="77777777" w:rsid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p>
    <w:p w14:paraId="62C0D377" w14:textId="2F5839EC" w:rsidR="00A51681" w:rsidRP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kern w:val="0"/>
          <w:sz w:val="22"/>
          <w:szCs w:val="22"/>
          <w:lang w:eastAsia="es-CL"/>
          <w14:ligatures w14:val="none"/>
        </w:rPr>
        <w:t xml:space="preserve">La </w:t>
      </w:r>
      <w:r w:rsidRPr="00A51681">
        <w:rPr>
          <w:rFonts w:ascii="Arial" w:eastAsia="Times New Roman" w:hAnsi="Arial" w:cs="Arial"/>
          <w:b/>
          <w:bCs/>
          <w:kern w:val="0"/>
          <w:sz w:val="22"/>
          <w:szCs w:val="22"/>
          <w:lang w:eastAsia="es-CL"/>
          <w14:ligatures w14:val="none"/>
        </w:rPr>
        <w:t>Democracia Cristiana (DC)</w:t>
      </w:r>
      <w:r w:rsidRPr="00A51681">
        <w:rPr>
          <w:rFonts w:ascii="Arial" w:eastAsia="Times New Roman" w:hAnsi="Arial" w:cs="Arial"/>
          <w:kern w:val="0"/>
          <w:sz w:val="22"/>
          <w:szCs w:val="22"/>
          <w:lang w:eastAsia="es-CL"/>
          <w14:ligatures w14:val="none"/>
        </w:rPr>
        <w:t xml:space="preserve">, que tenía la llave de los votos en el Congreso, temía que un gobierno marxista eliminara las libertades civiles. Para dar sus votos a Allende, exigieron una reforma constitucional: el </w:t>
      </w:r>
      <w:r w:rsidRPr="00A51681">
        <w:rPr>
          <w:rFonts w:ascii="Arial" w:eastAsia="Times New Roman" w:hAnsi="Arial" w:cs="Arial"/>
          <w:b/>
          <w:bCs/>
          <w:kern w:val="0"/>
          <w:sz w:val="22"/>
          <w:szCs w:val="22"/>
          <w:lang w:eastAsia="es-CL"/>
          <w14:ligatures w14:val="none"/>
        </w:rPr>
        <w:t>Estatuto de Garantías Democráticas</w:t>
      </w:r>
      <w:r w:rsidRPr="00A51681">
        <w:rPr>
          <w:rFonts w:ascii="Arial" w:eastAsia="Times New Roman" w:hAnsi="Arial" w:cs="Arial"/>
          <w:kern w:val="0"/>
          <w:sz w:val="22"/>
          <w:szCs w:val="22"/>
          <w:lang w:eastAsia="es-CL"/>
          <w14:ligatures w14:val="none"/>
        </w:rPr>
        <w:t xml:space="preserve">. Allende lo firmó, afirmando que no tenía problemas en ratificar lo que ya creía, y fue promulgado como la </w:t>
      </w:r>
      <w:r w:rsidRPr="00A51681">
        <w:rPr>
          <w:rFonts w:ascii="Arial" w:eastAsia="Times New Roman" w:hAnsi="Arial" w:cs="Arial"/>
          <w:b/>
          <w:bCs/>
          <w:kern w:val="0"/>
          <w:sz w:val="22"/>
          <w:szCs w:val="22"/>
          <w:lang w:eastAsia="es-CL"/>
          <w14:ligatures w14:val="none"/>
        </w:rPr>
        <w:t xml:space="preserve">Ley </w:t>
      </w:r>
      <w:proofErr w:type="spellStart"/>
      <w:r w:rsidRPr="00A51681">
        <w:rPr>
          <w:rFonts w:ascii="Arial" w:eastAsia="Times New Roman" w:hAnsi="Arial" w:cs="Arial"/>
          <w:b/>
          <w:bCs/>
          <w:kern w:val="0"/>
          <w:sz w:val="22"/>
          <w:szCs w:val="22"/>
          <w:lang w:eastAsia="es-CL"/>
          <w14:ligatures w14:val="none"/>
        </w:rPr>
        <w:t>N°</w:t>
      </w:r>
      <w:proofErr w:type="spellEnd"/>
      <w:r w:rsidRPr="00A51681">
        <w:rPr>
          <w:rFonts w:ascii="Arial" w:eastAsia="Times New Roman" w:hAnsi="Arial" w:cs="Arial"/>
          <w:b/>
          <w:bCs/>
          <w:kern w:val="0"/>
          <w:sz w:val="22"/>
          <w:szCs w:val="22"/>
          <w:lang w:eastAsia="es-CL"/>
          <w14:ligatures w14:val="none"/>
        </w:rPr>
        <w:t xml:space="preserve"> 17.398</w:t>
      </w:r>
      <w:r w:rsidRPr="00A51681">
        <w:rPr>
          <w:rFonts w:ascii="Arial" w:eastAsia="Times New Roman" w:hAnsi="Arial" w:cs="Arial"/>
          <w:kern w:val="0"/>
          <w:sz w:val="22"/>
          <w:szCs w:val="22"/>
          <w:lang w:eastAsia="es-CL"/>
          <w14:ligatures w14:val="none"/>
        </w:rPr>
        <w:t xml:space="preserve"> el 9 de enero de 1971.</w:t>
      </w:r>
    </w:p>
    <w:p w14:paraId="43B313E7" w14:textId="77777777" w:rsid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p>
    <w:p w14:paraId="1A7D619C" w14:textId="4EFFBAEE" w:rsidR="00A51681" w:rsidRP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Puntos clave que garantizaba:</w:t>
      </w:r>
    </w:p>
    <w:p w14:paraId="57166E4B" w14:textId="77777777" w:rsidR="00A51681" w:rsidRPr="00A51681" w:rsidRDefault="00A51681" w:rsidP="00A51681">
      <w:pPr>
        <w:numPr>
          <w:ilvl w:val="0"/>
          <w:numId w:val="1"/>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Pluralismo político:</w:t>
      </w:r>
      <w:r w:rsidRPr="00A51681">
        <w:rPr>
          <w:rFonts w:ascii="Arial" w:eastAsia="Times New Roman" w:hAnsi="Arial" w:cs="Arial"/>
          <w:kern w:val="0"/>
          <w:sz w:val="22"/>
          <w:szCs w:val="22"/>
          <w:lang w:eastAsia="es-CL"/>
          <w14:ligatures w14:val="none"/>
        </w:rPr>
        <w:t xml:space="preserve"> Libertad de existencia y acción para todos los partidos.</w:t>
      </w:r>
    </w:p>
    <w:p w14:paraId="12921E2C" w14:textId="77777777" w:rsidR="00A51681" w:rsidRPr="00A51681" w:rsidRDefault="00A51681" w:rsidP="00A51681">
      <w:pPr>
        <w:numPr>
          <w:ilvl w:val="0"/>
          <w:numId w:val="1"/>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Libertad de expresión:</w:t>
      </w:r>
      <w:r w:rsidRPr="00A51681">
        <w:rPr>
          <w:rFonts w:ascii="Arial" w:eastAsia="Times New Roman" w:hAnsi="Arial" w:cs="Arial"/>
          <w:kern w:val="0"/>
          <w:sz w:val="22"/>
          <w:szCs w:val="22"/>
          <w:lang w:eastAsia="es-CL"/>
          <w14:ligatures w14:val="none"/>
        </w:rPr>
        <w:t xml:space="preserve"> Garantía de prensa independiente y acceso a medios estatales.</w:t>
      </w:r>
    </w:p>
    <w:p w14:paraId="0A9C392E" w14:textId="77777777" w:rsidR="00A51681" w:rsidRPr="00A51681" w:rsidRDefault="00A51681" w:rsidP="00A51681">
      <w:pPr>
        <w:numPr>
          <w:ilvl w:val="0"/>
          <w:numId w:val="1"/>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Autonomía de las Fuerzas Armadas:</w:t>
      </w:r>
      <w:r w:rsidRPr="00A51681">
        <w:rPr>
          <w:rFonts w:ascii="Arial" w:eastAsia="Times New Roman" w:hAnsi="Arial" w:cs="Arial"/>
          <w:kern w:val="0"/>
          <w:sz w:val="22"/>
          <w:szCs w:val="22"/>
          <w:lang w:eastAsia="es-CL"/>
          <w14:ligatures w14:val="none"/>
        </w:rPr>
        <w:t xml:space="preserve"> Estas debían ser profesionales, jerarquizadas y no deliberantes.</w:t>
      </w:r>
    </w:p>
    <w:p w14:paraId="264A6038" w14:textId="77777777" w:rsidR="00A51681" w:rsidRPr="00A51681" w:rsidRDefault="00A51681" w:rsidP="00A51681">
      <w:pPr>
        <w:numPr>
          <w:ilvl w:val="0"/>
          <w:numId w:val="1"/>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Libertad de enseñanza:</w:t>
      </w:r>
      <w:r w:rsidRPr="00A51681">
        <w:rPr>
          <w:rFonts w:ascii="Arial" w:eastAsia="Times New Roman" w:hAnsi="Arial" w:cs="Arial"/>
          <w:kern w:val="0"/>
          <w:sz w:val="22"/>
          <w:szCs w:val="22"/>
          <w:lang w:eastAsia="es-CL"/>
          <w14:ligatures w14:val="none"/>
        </w:rPr>
        <w:t xml:space="preserve"> Protección a la educación privada y no ideologización estatal.</w:t>
      </w:r>
    </w:p>
    <w:p w14:paraId="108DABD5" w14:textId="77777777" w:rsidR="00A51681" w:rsidRDefault="00A51681" w:rsidP="00A51681">
      <w:pPr>
        <w:spacing w:before="100" w:beforeAutospacing="1" w:after="100" w:afterAutospacing="1" w:line="240" w:lineRule="auto"/>
        <w:contextualSpacing/>
        <w:jc w:val="both"/>
        <w:outlineLvl w:val="1"/>
        <w:rPr>
          <w:rFonts w:ascii="Arial" w:eastAsia="Times New Roman" w:hAnsi="Arial" w:cs="Arial"/>
          <w:b/>
          <w:bCs/>
          <w:kern w:val="0"/>
          <w:sz w:val="22"/>
          <w:szCs w:val="22"/>
          <w:lang w:eastAsia="es-CL"/>
          <w14:ligatures w14:val="none"/>
        </w:rPr>
      </w:pPr>
    </w:p>
    <w:p w14:paraId="31D4A7CA" w14:textId="480F5DC8" w:rsidR="00A51681" w:rsidRPr="00A51681" w:rsidRDefault="00A51681" w:rsidP="00A51681">
      <w:pPr>
        <w:spacing w:before="100" w:beforeAutospacing="1" w:after="100" w:afterAutospacing="1" w:line="240" w:lineRule="auto"/>
        <w:contextualSpacing/>
        <w:jc w:val="both"/>
        <w:outlineLvl w:val="1"/>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2. Los Argumentos del "No Cumplimiento"</w:t>
      </w:r>
    </w:p>
    <w:p w14:paraId="4635D10A" w14:textId="6D68D228" w:rsidR="00A51681" w:rsidRP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kern w:val="0"/>
          <w:sz w:val="22"/>
          <w:szCs w:val="22"/>
          <w:lang w:eastAsia="es-CL"/>
          <w14:ligatures w14:val="none"/>
        </w:rPr>
        <w:t>Hacia 1973, la oposición (DC y el Partido Nacional</w:t>
      </w:r>
      <w:r>
        <w:rPr>
          <w:rFonts w:ascii="Arial" w:eastAsia="Times New Roman" w:hAnsi="Arial" w:cs="Arial"/>
          <w:kern w:val="0"/>
          <w:sz w:val="22"/>
          <w:szCs w:val="22"/>
          <w:lang w:eastAsia="es-CL"/>
          <w14:ligatures w14:val="none"/>
        </w:rPr>
        <w:t xml:space="preserve"> PN</w:t>
      </w:r>
      <w:r w:rsidRPr="00A51681">
        <w:rPr>
          <w:rFonts w:ascii="Arial" w:eastAsia="Times New Roman" w:hAnsi="Arial" w:cs="Arial"/>
          <w:kern w:val="0"/>
          <w:sz w:val="22"/>
          <w:szCs w:val="22"/>
          <w:lang w:eastAsia="es-CL"/>
          <w14:ligatures w14:val="none"/>
        </w:rPr>
        <w:t>) acusó formalmente al gobierno de Allende de haber violado sistemáticamente este estatuto. Los puntos principales de la denuncia fueron:</w:t>
      </w:r>
    </w:p>
    <w:p w14:paraId="478792C1" w14:textId="77777777" w:rsid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p>
    <w:p w14:paraId="19A1529D" w14:textId="2605CC9E" w:rsidR="00A51681" w:rsidRPr="00A51681" w:rsidRDefault="00A51681" w:rsidP="00A51681">
      <w:pPr>
        <w:spacing w:before="100" w:beforeAutospacing="1" w:after="100" w:afterAutospacing="1" w:line="240" w:lineRule="auto"/>
        <w:ind w:firstLine="708"/>
        <w:contextualSpacing/>
        <w:jc w:val="both"/>
        <w:outlineLvl w:val="2"/>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A. La creación de "Poderes Paralelos"</w:t>
      </w:r>
    </w:p>
    <w:p w14:paraId="5CEB0CAD" w14:textId="77777777" w:rsidR="00A51681" w:rsidRPr="00A51681" w:rsidRDefault="00A51681" w:rsidP="00A51681">
      <w:pPr>
        <w:spacing w:before="100" w:beforeAutospacing="1" w:after="100" w:afterAutospacing="1" w:line="240" w:lineRule="auto"/>
        <w:ind w:left="708"/>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kern w:val="0"/>
          <w:sz w:val="22"/>
          <w:szCs w:val="22"/>
          <w:lang w:eastAsia="es-CL"/>
          <w14:ligatures w14:val="none"/>
        </w:rPr>
        <w:t>Se acusó al gobierno de amparar la formación de grupos armados (como el GAP o milicias de partidos) y de fomentar los "Cordones Industriales" y "Comandos Comunales". Según la oposición, esto violaba la garantía de que solo las Fuerzas Armadas y Carabineros podían ejercer la fuerza pública.</w:t>
      </w:r>
    </w:p>
    <w:p w14:paraId="59D7C0D2" w14:textId="77777777" w:rsid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p>
    <w:p w14:paraId="4052392A" w14:textId="3715C949" w:rsidR="00A51681" w:rsidRPr="00A51681" w:rsidRDefault="00A51681" w:rsidP="00A51681">
      <w:pPr>
        <w:spacing w:before="100" w:beforeAutospacing="1" w:after="100" w:afterAutospacing="1" w:line="240" w:lineRule="auto"/>
        <w:ind w:firstLine="708"/>
        <w:contextualSpacing/>
        <w:jc w:val="both"/>
        <w:outlineLvl w:val="2"/>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B. El uso de "Resquicios Legales"</w:t>
      </w:r>
    </w:p>
    <w:p w14:paraId="2D67E4D0" w14:textId="77777777" w:rsidR="00A51681" w:rsidRPr="00A51681" w:rsidRDefault="00A51681" w:rsidP="00A51681">
      <w:pPr>
        <w:spacing w:before="100" w:beforeAutospacing="1" w:after="100" w:afterAutospacing="1" w:line="240" w:lineRule="auto"/>
        <w:ind w:left="708"/>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kern w:val="0"/>
          <w:sz w:val="22"/>
          <w:szCs w:val="22"/>
          <w:lang w:eastAsia="es-CL"/>
          <w14:ligatures w14:val="none"/>
        </w:rPr>
        <w:t xml:space="preserve">El gobierno utilizó decretos de leyes antiguas (especialmente de la "República Socialista" de 1932) para intervenir empresas sin pasar por el Congreso. La oposición argumentó que esto violaba el </w:t>
      </w:r>
      <w:r w:rsidRPr="00A51681">
        <w:rPr>
          <w:rFonts w:ascii="Arial" w:eastAsia="Times New Roman" w:hAnsi="Arial" w:cs="Arial"/>
          <w:b/>
          <w:bCs/>
          <w:kern w:val="0"/>
          <w:sz w:val="22"/>
          <w:szCs w:val="22"/>
          <w:lang w:eastAsia="es-CL"/>
          <w14:ligatures w14:val="none"/>
        </w:rPr>
        <w:t>derecho a la propiedad</w:t>
      </w:r>
      <w:r w:rsidRPr="00A51681">
        <w:rPr>
          <w:rFonts w:ascii="Arial" w:eastAsia="Times New Roman" w:hAnsi="Arial" w:cs="Arial"/>
          <w:kern w:val="0"/>
          <w:sz w:val="22"/>
          <w:szCs w:val="22"/>
          <w:lang w:eastAsia="es-CL"/>
          <w14:ligatures w14:val="none"/>
        </w:rPr>
        <w:t xml:space="preserve"> y el espíritu de las garantías constitucionales al ignorar la voluntad legislativa.</w:t>
      </w:r>
    </w:p>
    <w:p w14:paraId="24A50952" w14:textId="77777777" w:rsid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p>
    <w:p w14:paraId="05C1D044" w14:textId="450D272F" w:rsidR="00A51681" w:rsidRPr="00A51681" w:rsidRDefault="00A51681" w:rsidP="002C3E91">
      <w:pPr>
        <w:spacing w:before="100" w:beforeAutospacing="1" w:after="100" w:afterAutospacing="1" w:line="240" w:lineRule="auto"/>
        <w:ind w:firstLine="708"/>
        <w:contextualSpacing/>
        <w:jc w:val="both"/>
        <w:outlineLvl w:val="2"/>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C. Ataques a la Libertad de Expresión</w:t>
      </w:r>
    </w:p>
    <w:p w14:paraId="775F65DD" w14:textId="77777777" w:rsidR="00A51681" w:rsidRPr="00A51681" w:rsidRDefault="00A51681" w:rsidP="002C3E91">
      <w:pPr>
        <w:spacing w:before="100" w:beforeAutospacing="1" w:after="100" w:afterAutospacing="1" w:line="240" w:lineRule="auto"/>
        <w:ind w:left="708"/>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kern w:val="0"/>
          <w:sz w:val="22"/>
          <w:szCs w:val="22"/>
          <w:lang w:eastAsia="es-CL"/>
          <w14:ligatures w14:val="none"/>
        </w:rPr>
        <w:t>Aunque no hubo censura formal directa como en una dictadura, la oposición denunció:</w:t>
      </w:r>
    </w:p>
    <w:p w14:paraId="21D3D316" w14:textId="77777777" w:rsidR="00A51681" w:rsidRPr="00A51681" w:rsidRDefault="00A51681" w:rsidP="00A51681">
      <w:pPr>
        <w:numPr>
          <w:ilvl w:val="0"/>
          <w:numId w:val="2"/>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kern w:val="0"/>
          <w:sz w:val="22"/>
          <w:szCs w:val="22"/>
          <w:lang w:eastAsia="es-CL"/>
          <w14:ligatures w14:val="none"/>
        </w:rPr>
        <w:t>Presiones económicas a través del suministro de papel (monopolio estatal).</w:t>
      </w:r>
    </w:p>
    <w:p w14:paraId="5655B9F3" w14:textId="77777777" w:rsidR="00A51681" w:rsidRPr="00A51681" w:rsidRDefault="00A51681" w:rsidP="00A51681">
      <w:pPr>
        <w:numPr>
          <w:ilvl w:val="0"/>
          <w:numId w:val="2"/>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kern w:val="0"/>
          <w:sz w:val="22"/>
          <w:szCs w:val="22"/>
          <w:lang w:eastAsia="es-CL"/>
          <w14:ligatures w14:val="none"/>
        </w:rPr>
        <w:t>Clausura temporal de radios y diarios opositores bajo estados de emergencia.</w:t>
      </w:r>
    </w:p>
    <w:p w14:paraId="31CB79A4" w14:textId="77777777" w:rsidR="00A51681" w:rsidRPr="00A51681" w:rsidRDefault="00A51681" w:rsidP="00A51681">
      <w:pPr>
        <w:numPr>
          <w:ilvl w:val="0"/>
          <w:numId w:val="2"/>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kern w:val="0"/>
          <w:sz w:val="22"/>
          <w:szCs w:val="22"/>
          <w:lang w:eastAsia="es-CL"/>
          <w14:ligatures w14:val="none"/>
        </w:rPr>
        <w:t>Uso de la cadena nacional de radio y TV para fines partidistas.</w:t>
      </w:r>
    </w:p>
    <w:p w14:paraId="018F673A" w14:textId="77777777" w:rsid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p>
    <w:p w14:paraId="660664AA" w14:textId="6A63610F" w:rsidR="00A51681" w:rsidRPr="00A51681" w:rsidRDefault="00A51681" w:rsidP="002C3E91">
      <w:pPr>
        <w:spacing w:before="100" w:beforeAutospacing="1" w:after="100" w:afterAutospacing="1" w:line="240" w:lineRule="auto"/>
        <w:ind w:firstLine="708"/>
        <w:contextualSpacing/>
        <w:jc w:val="both"/>
        <w:outlineLvl w:val="2"/>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D. Incumplimiento de fallos judiciales</w:t>
      </w:r>
    </w:p>
    <w:p w14:paraId="1E50B0AA" w14:textId="77777777" w:rsidR="00A51681" w:rsidRPr="00A51681" w:rsidRDefault="00A51681" w:rsidP="002C3E91">
      <w:pPr>
        <w:spacing w:before="100" w:beforeAutospacing="1" w:after="100" w:afterAutospacing="1" w:line="240" w:lineRule="auto"/>
        <w:ind w:left="708"/>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kern w:val="0"/>
          <w:sz w:val="22"/>
          <w:szCs w:val="22"/>
          <w:lang w:eastAsia="es-CL"/>
          <w14:ligatures w14:val="none"/>
        </w:rPr>
        <w:t xml:space="preserve">Quizás el punto más crítico fue cuando el Ejecutivo se negó a cumplir órdenes judiciales o de la Contraloría General de la República, bajo el argumento de que los tribunales estaban "al servicio de la burguesía". Esto fue visto como el quiebre del </w:t>
      </w:r>
      <w:r w:rsidRPr="00A51681">
        <w:rPr>
          <w:rFonts w:ascii="Arial" w:eastAsia="Times New Roman" w:hAnsi="Arial" w:cs="Arial"/>
          <w:b/>
          <w:bCs/>
          <w:kern w:val="0"/>
          <w:sz w:val="22"/>
          <w:szCs w:val="22"/>
          <w:lang w:eastAsia="es-CL"/>
          <w14:ligatures w14:val="none"/>
        </w:rPr>
        <w:t>Estado de Derecho</w:t>
      </w:r>
      <w:r w:rsidRPr="00A51681">
        <w:rPr>
          <w:rFonts w:ascii="Arial" w:eastAsia="Times New Roman" w:hAnsi="Arial" w:cs="Arial"/>
          <w:kern w:val="0"/>
          <w:sz w:val="22"/>
          <w:szCs w:val="22"/>
          <w:lang w:eastAsia="es-CL"/>
          <w14:ligatures w14:val="none"/>
        </w:rPr>
        <w:t>.</w:t>
      </w:r>
    </w:p>
    <w:p w14:paraId="0F736A45" w14:textId="77777777" w:rsidR="00A51681" w:rsidRDefault="00A51681" w:rsidP="00A51681">
      <w:pPr>
        <w:spacing w:before="100" w:beforeAutospacing="1" w:after="100" w:afterAutospacing="1" w:line="240" w:lineRule="auto"/>
        <w:contextualSpacing/>
        <w:jc w:val="both"/>
        <w:outlineLvl w:val="1"/>
        <w:rPr>
          <w:rFonts w:ascii="Arial" w:eastAsia="Times New Roman" w:hAnsi="Arial" w:cs="Arial"/>
          <w:b/>
          <w:bCs/>
          <w:kern w:val="0"/>
          <w:sz w:val="22"/>
          <w:szCs w:val="22"/>
          <w:lang w:eastAsia="es-CL"/>
          <w14:ligatures w14:val="none"/>
        </w:rPr>
      </w:pPr>
    </w:p>
    <w:p w14:paraId="4C0D3475" w14:textId="77777777" w:rsidR="00A51681" w:rsidRDefault="00A51681" w:rsidP="00A51681">
      <w:pPr>
        <w:spacing w:before="100" w:beforeAutospacing="1" w:after="100" w:afterAutospacing="1" w:line="240" w:lineRule="auto"/>
        <w:contextualSpacing/>
        <w:jc w:val="both"/>
        <w:outlineLvl w:val="1"/>
        <w:rPr>
          <w:rFonts w:ascii="Arial" w:eastAsia="Times New Roman" w:hAnsi="Arial" w:cs="Arial"/>
          <w:b/>
          <w:bCs/>
          <w:kern w:val="0"/>
          <w:sz w:val="22"/>
          <w:szCs w:val="22"/>
          <w:lang w:eastAsia="es-CL"/>
          <w14:ligatures w14:val="none"/>
        </w:rPr>
      </w:pPr>
    </w:p>
    <w:p w14:paraId="565325C6" w14:textId="59C0947C" w:rsidR="00A51681" w:rsidRPr="00A51681" w:rsidRDefault="00A51681" w:rsidP="00A51681">
      <w:pPr>
        <w:spacing w:before="100" w:beforeAutospacing="1" w:after="100" w:afterAutospacing="1" w:line="240" w:lineRule="auto"/>
        <w:contextualSpacing/>
        <w:jc w:val="both"/>
        <w:outlineLvl w:val="1"/>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lastRenderedPageBreak/>
        <w:t>3. El Hito Definitivo: El Acuerdo de la Cámara de 1973</w:t>
      </w:r>
    </w:p>
    <w:p w14:paraId="4EDCF21F" w14:textId="77777777" w:rsidR="00A51681" w:rsidRP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kern w:val="0"/>
          <w:sz w:val="22"/>
          <w:szCs w:val="22"/>
          <w:lang w:eastAsia="es-CL"/>
          <w14:ligatures w14:val="none"/>
        </w:rPr>
        <w:t xml:space="preserve">El 22 de agosto de 1973, la Cámara de Diputados aprobó el famoso </w:t>
      </w:r>
      <w:r w:rsidRPr="00A51681">
        <w:rPr>
          <w:rFonts w:ascii="Arial" w:eastAsia="Times New Roman" w:hAnsi="Arial" w:cs="Arial"/>
          <w:b/>
          <w:bCs/>
          <w:kern w:val="0"/>
          <w:sz w:val="22"/>
          <w:szCs w:val="22"/>
          <w:lang w:eastAsia="es-CL"/>
          <w14:ligatures w14:val="none"/>
        </w:rPr>
        <w:t>"Acuerdo sobre el grave quebrantamiento del orden constitucional"</w:t>
      </w:r>
      <w:r w:rsidRPr="00A51681">
        <w:rPr>
          <w:rFonts w:ascii="Arial" w:eastAsia="Times New Roman" w:hAnsi="Arial" w:cs="Arial"/>
          <w:kern w:val="0"/>
          <w:sz w:val="22"/>
          <w:szCs w:val="22"/>
          <w:lang w:eastAsia="es-CL"/>
          <w14:ligatures w14:val="none"/>
        </w:rPr>
        <w:t>. En este documento se citaba explícitamente que Allende había sido elegido bajo la condición del Estatuto de Garantías y que, al incumplirlo, su gobierno se había vuelto ilegítimo.</w:t>
      </w:r>
    </w:p>
    <w:p w14:paraId="0D417D43" w14:textId="77777777" w:rsidR="00A51681" w:rsidRP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Cita del acuerdo:</w:t>
      </w:r>
      <w:r w:rsidRPr="00A51681">
        <w:rPr>
          <w:rFonts w:ascii="Arial" w:eastAsia="Times New Roman" w:hAnsi="Arial" w:cs="Arial"/>
          <w:kern w:val="0"/>
          <w:sz w:val="22"/>
          <w:szCs w:val="22"/>
          <w:lang w:eastAsia="es-CL"/>
          <w14:ligatures w14:val="none"/>
        </w:rPr>
        <w:t xml:space="preserve"> </w:t>
      </w:r>
      <w:r w:rsidRPr="00A51681">
        <w:rPr>
          <w:rFonts w:ascii="Arial" w:eastAsia="Times New Roman" w:hAnsi="Arial" w:cs="Arial"/>
          <w:i/>
          <w:iCs/>
          <w:kern w:val="0"/>
          <w:sz w:val="22"/>
          <w:szCs w:val="22"/>
          <w:lang w:eastAsia="es-CL"/>
          <w14:ligatures w14:val="none"/>
        </w:rPr>
        <w:t>"Es un hecho que el actual Gobierno, desde sus comienzos, se ha ido empeñando en conquistar el poder total, con el evidente propósito de someter a todas las personas al más estricto control económico y político por parte del Estado..."</w:t>
      </w:r>
    </w:p>
    <w:p w14:paraId="3CE6C7CF" w14:textId="77777777" w:rsidR="00A51681" w:rsidRDefault="00A51681" w:rsidP="00A51681">
      <w:pPr>
        <w:spacing w:before="100" w:beforeAutospacing="1" w:after="100" w:afterAutospacing="1" w:line="240" w:lineRule="auto"/>
        <w:contextualSpacing/>
        <w:jc w:val="both"/>
        <w:outlineLvl w:val="1"/>
        <w:rPr>
          <w:rFonts w:ascii="Arial" w:eastAsia="Times New Roman" w:hAnsi="Arial" w:cs="Arial"/>
          <w:b/>
          <w:bCs/>
          <w:kern w:val="0"/>
          <w:sz w:val="22"/>
          <w:szCs w:val="22"/>
          <w:lang w:eastAsia="es-CL"/>
          <w14:ligatures w14:val="none"/>
        </w:rPr>
      </w:pPr>
    </w:p>
    <w:p w14:paraId="552B88E0" w14:textId="31A25D6C" w:rsidR="00A51681" w:rsidRPr="00A51681" w:rsidRDefault="00A51681" w:rsidP="00A51681">
      <w:pPr>
        <w:spacing w:before="100" w:beforeAutospacing="1" w:after="100" w:afterAutospacing="1" w:line="240" w:lineRule="auto"/>
        <w:contextualSpacing/>
        <w:jc w:val="both"/>
        <w:outlineLvl w:val="1"/>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4. Perspectiva Histórica y Debate</w:t>
      </w:r>
    </w:p>
    <w:p w14:paraId="022EDFA8" w14:textId="26C44FCD" w:rsidR="00A51681" w:rsidRPr="00A51681" w:rsidRDefault="00A51681" w:rsidP="00A51681">
      <w:pPr>
        <w:numPr>
          <w:ilvl w:val="0"/>
          <w:numId w:val="3"/>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Visión Crítica:</w:t>
      </w:r>
      <w:r w:rsidRPr="00A51681">
        <w:rPr>
          <w:rFonts w:ascii="Arial" w:eastAsia="Times New Roman" w:hAnsi="Arial" w:cs="Arial"/>
          <w:kern w:val="0"/>
          <w:sz w:val="22"/>
          <w:szCs w:val="22"/>
          <w:lang w:eastAsia="es-CL"/>
          <w14:ligatures w14:val="none"/>
        </w:rPr>
        <w:t xml:space="preserve"> Los detractores de Allende sostienen que el Estatuto fue una "máscara" y que el proyecto de la Unidad Popular </w:t>
      </w:r>
      <w:r w:rsidR="002C3E91">
        <w:rPr>
          <w:rFonts w:ascii="Arial" w:eastAsia="Times New Roman" w:hAnsi="Arial" w:cs="Arial"/>
          <w:kern w:val="0"/>
          <w:sz w:val="22"/>
          <w:szCs w:val="22"/>
          <w:lang w:eastAsia="es-CL"/>
          <w14:ligatures w14:val="none"/>
        </w:rPr>
        <w:t xml:space="preserve">(UP) </w:t>
      </w:r>
      <w:r w:rsidRPr="00A51681">
        <w:rPr>
          <w:rFonts w:ascii="Arial" w:eastAsia="Times New Roman" w:hAnsi="Arial" w:cs="Arial"/>
          <w:kern w:val="0"/>
          <w:sz w:val="22"/>
          <w:szCs w:val="22"/>
          <w:lang w:eastAsia="es-CL"/>
          <w14:ligatures w14:val="none"/>
        </w:rPr>
        <w:t>era inherentemente incompatible con la democracia liberal, lo que hizo inevitable el incumplimiento.</w:t>
      </w:r>
    </w:p>
    <w:p w14:paraId="5B46E12F" w14:textId="77777777" w:rsidR="00A51681" w:rsidRPr="00A51681" w:rsidRDefault="00A51681" w:rsidP="00A51681">
      <w:pPr>
        <w:numPr>
          <w:ilvl w:val="0"/>
          <w:numId w:val="3"/>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Visión Defensora:</w:t>
      </w:r>
      <w:r w:rsidRPr="00A51681">
        <w:rPr>
          <w:rFonts w:ascii="Arial" w:eastAsia="Times New Roman" w:hAnsi="Arial" w:cs="Arial"/>
          <w:kern w:val="0"/>
          <w:sz w:val="22"/>
          <w:szCs w:val="22"/>
          <w:lang w:eastAsia="es-CL"/>
          <w14:ligatures w14:val="none"/>
        </w:rPr>
        <w:t xml:space="preserve"> Los partidarios de Allende argumentan que el gobierno siempre actuó dentro de la legalidad (los "resquicios" eran legales) y que la oposición y sectores de las FF.AA. boicotearon el sistema para forzar una crisis, haciendo que el cumplimiento de las garantías fuera imposible en un contexto de "guerra civil no declarada" y sabotaje externo (CIA).</w:t>
      </w:r>
    </w:p>
    <w:p w14:paraId="069CFA57" w14:textId="77777777" w:rsidR="00EA7E2C" w:rsidRPr="00A51681" w:rsidRDefault="00EA7E2C" w:rsidP="00A51681">
      <w:pPr>
        <w:spacing w:line="240" w:lineRule="auto"/>
        <w:contextualSpacing/>
        <w:jc w:val="both"/>
        <w:rPr>
          <w:rFonts w:ascii="Arial" w:hAnsi="Arial" w:cs="Arial"/>
          <w:sz w:val="22"/>
          <w:szCs w:val="22"/>
        </w:rPr>
      </w:pPr>
    </w:p>
    <w:p w14:paraId="72B19FD3" w14:textId="77777777" w:rsidR="00A51681" w:rsidRPr="00A51681" w:rsidRDefault="00A51681" w:rsidP="00A51681">
      <w:pPr>
        <w:spacing w:line="240" w:lineRule="auto"/>
        <w:contextualSpacing/>
        <w:jc w:val="both"/>
        <w:rPr>
          <w:rFonts w:ascii="Arial" w:hAnsi="Arial" w:cs="Arial"/>
          <w:sz w:val="22"/>
          <w:szCs w:val="22"/>
        </w:rPr>
      </w:pPr>
    </w:p>
    <w:p w14:paraId="4BA75CBE" w14:textId="77777777" w:rsidR="00A51681" w:rsidRP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kern w:val="0"/>
          <w:sz w:val="22"/>
          <w:szCs w:val="22"/>
          <w:lang w:eastAsia="es-CL"/>
          <w14:ligatures w14:val="none"/>
        </w:rPr>
        <w:t xml:space="preserve">Para profundizar en el análisis, es necesario detallar cómo cada una de las libertades protegidas por la </w:t>
      </w:r>
      <w:r w:rsidRPr="00A51681">
        <w:rPr>
          <w:rFonts w:ascii="Arial" w:eastAsia="Times New Roman" w:hAnsi="Arial" w:cs="Arial"/>
          <w:b/>
          <w:bCs/>
          <w:kern w:val="0"/>
          <w:sz w:val="22"/>
          <w:szCs w:val="22"/>
          <w:lang w:eastAsia="es-CL"/>
          <w14:ligatures w14:val="none"/>
        </w:rPr>
        <w:t xml:space="preserve">Ley </w:t>
      </w:r>
      <w:proofErr w:type="spellStart"/>
      <w:r w:rsidRPr="00A51681">
        <w:rPr>
          <w:rFonts w:ascii="Arial" w:eastAsia="Times New Roman" w:hAnsi="Arial" w:cs="Arial"/>
          <w:b/>
          <w:bCs/>
          <w:kern w:val="0"/>
          <w:sz w:val="22"/>
          <w:szCs w:val="22"/>
          <w:lang w:eastAsia="es-CL"/>
          <w14:ligatures w14:val="none"/>
        </w:rPr>
        <w:t>N°</w:t>
      </w:r>
      <w:proofErr w:type="spellEnd"/>
      <w:r w:rsidRPr="00A51681">
        <w:rPr>
          <w:rFonts w:ascii="Arial" w:eastAsia="Times New Roman" w:hAnsi="Arial" w:cs="Arial"/>
          <w:b/>
          <w:bCs/>
          <w:kern w:val="0"/>
          <w:sz w:val="22"/>
          <w:szCs w:val="22"/>
          <w:lang w:eastAsia="es-CL"/>
          <w14:ligatures w14:val="none"/>
        </w:rPr>
        <w:t xml:space="preserve"> 17.398 (Estatuto de Garantías)</w:t>
      </w:r>
      <w:r w:rsidRPr="00A51681">
        <w:rPr>
          <w:rFonts w:ascii="Arial" w:eastAsia="Times New Roman" w:hAnsi="Arial" w:cs="Arial"/>
          <w:kern w:val="0"/>
          <w:sz w:val="22"/>
          <w:szCs w:val="22"/>
          <w:lang w:eastAsia="es-CL"/>
          <w14:ligatures w14:val="none"/>
        </w:rPr>
        <w:t xml:space="preserve"> fue, según la oposición y los tribunales de la época, vulnerada por acciones u omisiones del Ejecutivo.</w:t>
      </w:r>
    </w:p>
    <w:p w14:paraId="27A5D9C6" w14:textId="77777777" w:rsid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p>
    <w:p w14:paraId="6E9DC1C8" w14:textId="26B5B7A6" w:rsidR="00A51681" w:rsidRP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Pr>
          <w:rFonts w:ascii="Arial" w:eastAsia="Times New Roman" w:hAnsi="Arial" w:cs="Arial"/>
          <w:kern w:val="0"/>
          <w:sz w:val="22"/>
          <w:szCs w:val="22"/>
          <w:lang w:eastAsia="es-CL"/>
          <w14:ligatures w14:val="none"/>
        </w:rPr>
        <w:t>L</w:t>
      </w:r>
      <w:r w:rsidRPr="00A51681">
        <w:rPr>
          <w:rFonts w:ascii="Arial" w:eastAsia="Times New Roman" w:hAnsi="Arial" w:cs="Arial"/>
          <w:kern w:val="0"/>
          <w:sz w:val="22"/>
          <w:szCs w:val="22"/>
          <w:lang w:eastAsia="es-CL"/>
          <w14:ligatures w14:val="none"/>
        </w:rPr>
        <w:t>os puntos clave y los ejemplos históricos concretos de su incumplimiento:</w:t>
      </w:r>
    </w:p>
    <w:p w14:paraId="265BA76D" w14:textId="77777777" w:rsid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p>
    <w:p w14:paraId="2A35B335" w14:textId="24532FC0" w:rsidR="00A51681" w:rsidRP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1. El Pluralismo Político y la Libertad de Reunión</w:t>
      </w:r>
    </w:p>
    <w:p w14:paraId="6928B5B1" w14:textId="77777777" w:rsidR="00A51681" w:rsidRP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Lo que garantizaba:</w:t>
      </w:r>
      <w:r w:rsidRPr="00A51681">
        <w:rPr>
          <w:rFonts w:ascii="Arial" w:eastAsia="Times New Roman" w:hAnsi="Arial" w:cs="Arial"/>
          <w:kern w:val="0"/>
          <w:sz w:val="22"/>
          <w:szCs w:val="22"/>
          <w:lang w:eastAsia="es-CL"/>
          <w14:ligatures w14:val="none"/>
        </w:rPr>
        <w:t xml:space="preserve"> La existencia libre de partidos políticos y el derecho a manifestarse sin represalias ni discriminación por parte del Estado.</w:t>
      </w:r>
    </w:p>
    <w:p w14:paraId="59CF4567" w14:textId="634722F9" w:rsidR="00A51681" w:rsidRPr="00A51681" w:rsidRDefault="00A51681" w:rsidP="00A51681">
      <w:pPr>
        <w:numPr>
          <w:ilvl w:val="0"/>
          <w:numId w:val="4"/>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Ejemplo de incumplimiento:</w:t>
      </w:r>
      <w:r w:rsidRPr="00A51681">
        <w:rPr>
          <w:rFonts w:ascii="Arial" w:eastAsia="Times New Roman" w:hAnsi="Arial" w:cs="Arial"/>
          <w:kern w:val="0"/>
          <w:sz w:val="22"/>
          <w:szCs w:val="22"/>
          <w:lang w:eastAsia="es-CL"/>
          <w14:ligatures w14:val="none"/>
        </w:rPr>
        <w:t xml:space="preserve"> Se acusó al gobierno de permitir que grupos paramilitares (como el MIR o el </w:t>
      </w:r>
      <w:r w:rsidR="002C3E91">
        <w:rPr>
          <w:rFonts w:ascii="Arial" w:eastAsia="Times New Roman" w:hAnsi="Arial" w:cs="Arial"/>
          <w:kern w:val="0"/>
          <w:sz w:val="22"/>
          <w:szCs w:val="22"/>
          <w:lang w:eastAsia="es-CL"/>
          <w14:ligatures w14:val="none"/>
        </w:rPr>
        <w:t>GAP</w:t>
      </w:r>
      <w:r w:rsidRPr="00A51681">
        <w:rPr>
          <w:rFonts w:ascii="Arial" w:eastAsia="Times New Roman" w:hAnsi="Arial" w:cs="Arial"/>
          <w:kern w:val="0"/>
          <w:sz w:val="22"/>
          <w:szCs w:val="22"/>
          <w:lang w:eastAsia="es-CL"/>
          <w14:ligatures w14:val="none"/>
        </w:rPr>
        <w:t xml:space="preserve">) actuaran con impunidad, mientras se reprimía con dureza las marchas de la oposición (como la "Marcha de las Cacerolas Vacías" en 1971). Asimismo, la creación de los </w:t>
      </w:r>
      <w:r w:rsidRPr="00A51681">
        <w:rPr>
          <w:rFonts w:ascii="Arial" w:eastAsia="Times New Roman" w:hAnsi="Arial" w:cs="Arial"/>
          <w:b/>
          <w:bCs/>
          <w:kern w:val="0"/>
          <w:sz w:val="22"/>
          <w:szCs w:val="22"/>
          <w:lang w:eastAsia="es-CL"/>
          <w14:ligatures w14:val="none"/>
        </w:rPr>
        <w:t>JAP (Juntas de Abastecimiento y Control de Precios)</w:t>
      </w:r>
      <w:r w:rsidRPr="00A51681">
        <w:rPr>
          <w:rFonts w:ascii="Arial" w:eastAsia="Times New Roman" w:hAnsi="Arial" w:cs="Arial"/>
          <w:kern w:val="0"/>
          <w:sz w:val="22"/>
          <w:szCs w:val="22"/>
          <w:lang w:eastAsia="es-CL"/>
          <w14:ligatures w14:val="none"/>
        </w:rPr>
        <w:t xml:space="preserve"> fue vista como un mecanismo de discriminación política, donde se entregaban alimentos principalmente a quienes apoyaban al gobierno.</w:t>
      </w:r>
    </w:p>
    <w:p w14:paraId="295A9EBA" w14:textId="77777777" w:rsid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p>
    <w:p w14:paraId="7FA67527" w14:textId="2532CFCC" w:rsidR="00A51681" w:rsidRP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2. Libertad de Expresión y de Prensa</w:t>
      </w:r>
    </w:p>
    <w:p w14:paraId="2FE95939" w14:textId="77777777" w:rsidR="00A51681" w:rsidRP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Lo que garantizaba:</w:t>
      </w:r>
      <w:r w:rsidRPr="00A51681">
        <w:rPr>
          <w:rFonts w:ascii="Arial" w:eastAsia="Times New Roman" w:hAnsi="Arial" w:cs="Arial"/>
          <w:kern w:val="0"/>
          <w:sz w:val="22"/>
          <w:szCs w:val="22"/>
          <w:lang w:eastAsia="es-CL"/>
          <w14:ligatures w14:val="none"/>
        </w:rPr>
        <w:t xml:space="preserve"> El derecho a fundar y mantener diarios, radios y canales de TV sin censura previa y con igual acceso a los insumos (papel, frecuencias).</w:t>
      </w:r>
    </w:p>
    <w:p w14:paraId="2610A385" w14:textId="77777777" w:rsidR="00A51681" w:rsidRPr="00A51681" w:rsidRDefault="00A51681" w:rsidP="00A51681">
      <w:pPr>
        <w:numPr>
          <w:ilvl w:val="0"/>
          <w:numId w:val="5"/>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Ejemplo de incumplimiento:</w:t>
      </w:r>
      <w:r w:rsidRPr="00A51681">
        <w:rPr>
          <w:rFonts w:ascii="Arial" w:eastAsia="Times New Roman" w:hAnsi="Arial" w:cs="Arial"/>
          <w:kern w:val="0"/>
          <w:sz w:val="22"/>
          <w:szCs w:val="22"/>
          <w:lang w:eastAsia="es-CL"/>
          <w14:ligatures w14:val="none"/>
        </w:rPr>
        <w:t xml:space="preserve"> El caso de la </w:t>
      </w:r>
      <w:r w:rsidRPr="00A51681">
        <w:rPr>
          <w:rFonts w:ascii="Arial" w:eastAsia="Times New Roman" w:hAnsi="Arial" w:cs="Arial"/>
          <w:b/>
          <w:bCs/>
          <w:kern w:val="0"/>
          <w:sz w:val="22"/>
          <w:szCs w:val="22"/>
          <w:lang w:eastAsia="es-CL"/>
          <w14:ligatures w14:val="none"/>
        </w:rPr>
        <w:t>Papelera (CMPC)</w:t>
      </w:r>
      <w:r w:rsidRPr="00A51681">
        <w:rPr>
          <w:rFonts w:ascii="Arial" w:eastAsia="Times New Roman" w:hAnsi="Arial" w:cs="Arial"/>
          <w:kern w:val="0"/>
          <w:sz w:val="22"/>
          <w:szCs w:val="22"/>
          <w:lang w:eastAsia="es-CL"/>
          <w14:ligatures w14:val="none"/>
        </w:rPr>
        <w:t xml:space="preserve">. El gobierno intentó estatizar la única fábrica de papel de diario del país para controlar indirectamente lo que la </w:t>
      </w:r>
      <w:proofErr w:type="gramStart"/>
      <w:r w:rsidRPr="00A51681">
        <w:rPr>
          <w:rFonts w:ascii="Arial" w:eastAsia="Times New Roman" w:hAnsi="Arial" w:cs="Arial"/>
          <w:kern w:val="0"/>
          <w:sz w:val="22"/>
          <w:szCs w:val="22"/>
          <w:lang w:eastAsia="es-CL"/>
          <w14:ligatures w14:val="none"/>
        </w:rPr>
        <w:t>prensa escrita</w:t>
      </w:r>
      <w:proofErr w:type="gramEnd"/>
      <w:r w:rsidRPr="00A51681">
        <w:rPr>
          <w:rFonts w:ascii="Arial" w:eastAsia="Times New Roman" w:hAnsi="Arial" w:cs="Arial"/>
          <w:kern w:val="0"/>
          <w:sz w:val="22"/>
          <w:szCs w:val="22"/>
          <w:lang w:eastAsia="es-CL"/>
          <w14:ligatures w14:val="none"/>
        </w:rPr>
        <w:t xml:space="preserve"> podía publicar.</w:t>
      </w:r>
    </w:p>
    <w:p w14:paraId="675DE78D" w14:textId="77777777" w:rsidR="00A51681" w:rsidRPr="00A51681" w:rsidRDefault="00A51681" w:rsidP="00A51681">
      <w:pPr>
        <w:numPr>
          <w:ilvl w:val="0"/>
          <w:numId w:val="5"/>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Otro ejemplo:</w:t>
      </w:r>
      <w:r w:rsidRPr="00A51681">
        <w:rPr>
          <w:rFonts w:ascii="Arial" w:eastAsia="Times New Roman" w:hAnsi="Arial" w:cs="Arial"/>
          <w:kern w:val="0"/>
          <w:sz w:val="22"/>
          <w:szCs w:val="22"/>
          <w:lang w:eastAsia="es-CL"/>
          <w14:ligatures w14:val="none"/>
        </w:rPr>
        <w:t xml:space="preserve"> La clausura de Radio Balmaceda y las presiones legales contra el diario </w:t>
      </w:r>
      <w:r w:rsidRPr="00A51681">
        <w:rPr>
          <w:rFonts w:ascii="Arial" w:eastAsia="Times New Roman" w:hAnsi="Arial" w:cs="Arial"/>
          <w:i/>
          <w:iCs/>
          <w:kern w:val="0"/>
          <w:sz w:val="22"/>
          <w:szCs w:val="22"/>
          <w:lang w:eastAsia="es-CL"/>
          <w14:ligatures w14:val="none"/>
        </w:rPr>
        <w:t>El Mercurio</w:t>
      </w:r>
      <w:r w:rsidRPr="00A51681">
        <w:rPr>
          <w:rFonts w:ascii="Arial" w:eastAsia="Times New Roman" w:hAnsi="Arial" w:cs="Arial"/>
          <w:kern w:val="0"/>
          <w:sz w:val="22"/>
          <w:szCs w:val="22"/>
          <w:lang w:eastAsia="es-CL"/>
          <w14:ligatures w14:val="none"/>
        </w:rPr>
        <w:t>. Además, el uso abusivo de la "Cadena Nacional" para propaganda política, impidiendo que la oposición tuviera tiempos equivalentes.</w:t>
      </w:r>
    </w:p>
    <w:p w14:paraId="1888FBF2" w14:textId="77777777" w:rsidR="00A51681" w:rsidRP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3. Autonomía y Profesionalismo de las Fuerzas Armadas</w:t>
      </w:r>
    </w:p>
    <w:p w14:paraId="5A361FB8" w14:textId="77777777" w:rsidR="00A51681" w:rsidRP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Lo que garantizaba:</w:t>
      </w:r>
      <w:r w:rsidRPr="00A51681">
        <w:rPr>
          <w:rFonts w:ascii="Arial" w:eastAsia="Times New Roman" w:hAnsi="Arial" w:cs="Arial"/>
          <w:kern w:val="0"/>
          <w:sz w:val="22"/>
          <w:szCs w:val="22"/>
          <w:lang w:eastAsia="es-CL"/>
          <w14:ligatures w14:val="none"/>
        </w:rPr>
        <w:t xml:space="preserve"> Que las FF.AA. y Carabineros fueran las únicas instituciones con armas y que se mantuvieran fuera de la política partidista.</w:t>
      </w:r>
    </w:p>
    <w:p w14:paraId="696BC782" w14:textId="77777777" w:rsidR="00A51681" w:rsidRPr="00A51681" w:rsidRDefault="00A51681" w:rsidP="00A51681">
      <w:pPr>
        <w:numPr>
          <w:ilvl w:val="0"/>
          <w:numId w:val="6"/>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Ejemplo de incumplimiento:</w:t>
      </w:r>
      <w:r w:rsidRPr="00A51681">
        <w:rPr>
          <w:rFonts w:ascii="Arial" w:eastAsia="Times New Roman" w:hAnsi="Arial" w:cs="Arial"/>
          <w:kern w:val="0"/>
          <w:sz w:val="22"/>
          <w:szCs w:val="22"/>
          <w:lang w:eastAsia="es-CL"/>
          <w14:ligatures w14:val="none"/>
        </w:rPr>
        <w:t xml:space="preserve"> El fomento o la tolerancia hacia la formación de los </w:t>
      </w:r>
      <w:r w:rsidRPr="00A51681">
        <w:rPr>
          <w:rFonts w:ascii="Arial" w:eastAsia="Times New Roman" w:hAnsi="Arial" w:cs="Arial"/>
          <w:b/>
          <w:bCs/>
          <w:kern w:val="0"/>
          <w:sz w:val="22"/>
          <w:szCs w:val="22"/>
          <w:lang w:eastAsia="es-CL"/>
          <w14:ligatures w14:val="none"/>
        </w:rPr>
        <w:t>Cordones Industriales</w:t>
      </w:r>
      <w:r w:rsidRPr="00A51681">
        <w:rPr>
          <w:rFonts w:ascii="Arial" w:eastAsia="Times New Roman" w:hAnsi="Arial" w:cs="Arial"/>
          <w:kern w:val="0"/>
          <w:sz w:val="22"/>
          <w:szCs w:val="22"/>
          <w:lang w:eastAsia="es-CL"/>
          <w14:ligatures w14:val="none"/>
        </w:rPr>
        <w:t xml:space="preserve"> y grupos armados civiles (milicias populares). El ingreso de armamento de forma irregular (el famoso "Bulto de Cuba" o cargamento que llegó por vía diplomática sin pasar por aduana ni control militar) fue interpretado como la creación de un ejército paralelo para enfrentar a las fuerzas institucionales.</w:t>
      </w:r>
    </w:p>
    <w:p w14:paraId="40CE82FF" w14:textId="77777777" w:rsid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p>
    <w:p w14:paraId="66D1B51E" w14:textId="14880257" w:rsidR="00A51681" w:rsidRP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4. Libertad de Enseñanza</w:t>
      </w:r>
    </w:p>
    <w:p w14:paraId="161E3983" w14:textId="77777777" w:rsidR="00A51681" w:rsidRP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Lo que garantizaba:</w:t>
      </w:r>
      <w:r w:rsidRPr="00A51681">
        <w:rPr>
          <w:rFonts w:ascii="Arial" w:eastAsia="Times New Roman" w:hAnsi="Arial" w:cs="Arial"/>
          <w:kern w:val="0"/>
          <w:sz w:val="22"/>
          <w:szCs w:val="22"/>
          <w:lang w:eastAsia="es-CL"/>
          <w14:ligatures w14:val="none"/>
        </w:rPr>
        <w:t xml:space="preserve"> El derecho de los padres a elegir la educación de sus hijos y la prohibición de una educación con contenido ideológico partidista único.</w:t>
      </w:r>
    </w:p>
    <w:p w14:paraId="20910280" w14:textId="5AE1A8F7" w:rsidR="00A51681" w:rsidRPr="00A51681" w:rsidRDefault="00A51681" w:rsidP="00A51681">
      <w:pPr>
        <w:numPr>
          <w:ilvl w:val="0"/>
          <w:numId w:val="7"/>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Ejemplo de incumplimiento:</w:t>
      </w:r>
      <w:r w:rsidRPr="00A51681">
        <w:rPr>
          <w:rFonts w:ascii="Arial" w:eastAsia="Times New Roman" w:hAnsi="Arial" w:cs="Arial"/>
          <w:kern w:val="0"/>
          <w:sz w:val="22"/>
          <w:szCs w:val="22"/>
          <w:lang w:eastAsia="es-CL"/>
          <w14:ligatures w14:val="none"/>
        </w:rPr>
        <w:t xml:space="preserve"> El proyecto de la </w:t>
      </w:r>
      <w:r w:rsidRPr="00A51681">
        <w:rPr>
          <w:rFonts w:ascii="Arial" w:eastAsia="Times New Roman" w:hAnsi="Arial" w:cs="Arial"/>
          <w:b/>
          <w:bCs/>
          <w:kern w:val="0"/>
          <w:sz w:val="22"/>
          <w:szCs w:val="22"/>
          <w:lang w:eastAsia="es-CL"/>
          <w14:ligatures w14:val="none"/>
        </w:rPr>
        <w:t>Escuela Nacional Unificada</w:t>
      </w:r>
      <w:r w:rsidR="002C3E91">
        <w:rPr>
          <w:rFonts w:ascii="Arial" w:eastAsia="Times New Roman" w:hAnsi="Arial" w:cs="Arial"/>
          <w:b/>
          <w:bCs/>
          <w:kern w:val="0"/>
          <w:sz w:val="22"/>
          <w:szCs w:val="22"/>
          <w:lang w:eastAsia="es-CL"/>
          <w14:ligatures w14:val="none"/>
        </w:rPr>
        <w:t xml:space="preserve"> (ENU</w:t>
      </w:r>
      <w:r w:rsidRPr="00A51681">
        <w:rPr>
          <w:rFonts w:ascii="Arial" w:eastAsia="Times New Roman" w:hAnsi="Arial" w:cs="Arial"/>
          <w:b/>
          <w:bCs/>
          <w:kern w:val="0"/>
          <w:sz w:val="22"/>
          <w:szCs w:val="22"/>
          <w:lang w:eastAsia="es-CL"/>
          <w14:ligatures w14:val="none"/>
        </w:rPr>
        <w:t>)</w:t>
      </w:r>
      <w:r w:rsidRPr="00A51681">
        <w:rPr>
          <w:rFonts w:ascii="Arial" w:eastAsia="Times New Roman" w:hAnsi="Arial" w:cs="Arial"/>
          <w:kern w:val="0"/>
          <w:sz w:val="22"/>
          <w:szCs w:val="22"/>
          <w:lang w:eastAsia="es-CL"/>
          <w14:ligatures w14:val="none"/>
        </w:rPr>
        <w:t xml:space="preserve"> en 1973. Este plan buscaba unificar el sistema educativo bajo una orientación socialista y "humanista", lo que fue visto por la Iglesia Católica y la clase media como un intento de adoctrinamiento estatal masivo, violando directamente el Estatuto.</w:t>
      </w:r>
    </w:p>
    <w:p w14:paraId="654151FA" w14:textId="77777777" w:rsid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p>
    <w:p w14:paraId="7619ACE8" w14:textId="4D843DBD" w:rsidR="00A51681" w:rsidRP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5. El Derecho a la Propiedad (y los "Resquicios Legales")</w:t>
      </w:r>
    </w:p>
    <w:p w14:paraId="520B3A44" w14:textId="77777777" w:rsidR="00A51681" w:rsidRP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Lo que garantizaba:</w:t>
      </w:r>
      <w:r w:rsidRPr="00A51681">
        <w:rPr>
          <w:rFonts w:ascii="Arial" w:eastAsia="Times New Roman" w:hAnsi="Arial" w:cs="Arial"/>
          <w:kern w:val="0"/>
          <w:sz w:val="22"/>
          <w:szCs w:val="22"/>
          <w:lang w:eastAsia="es-CL"/>
          <w14:ligatures w14:val="none"/>
        </w:rPr>
        <w:t xml:space="preserve"> La propiedad privada no podía ser expropiada sino mediante ley y con pago previo de indemnización.</w:t>
      </w:r>
    </w:p>
    <w:p w14:paraId="13C71175" w14:textId="77777777" w:rsidR="00A51681" w:rsidRPr="00A51681" w:rsidRDefault="00A51681" w:rsidP="00A51681">
      <w:pPr>
        <w:numPr>
          <w:ilvl w:val="0"/>
          <w:numId w:val="8"/>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Ejemplo de incumplimiento:</w:t>
      </w:r>
      <w:r w:rsidRPr="00A51681">
        <w:rPr>
          <w:rFonts w:ascii="Arial" w:eastAsia="Times New Roman" w:hAnsi="Arial" w:cs="Arial"/>
          <w:kern w:val="0"/>
          <w:sz w:val="22"/>
          <w:szCs w:val="22"/>
          <w:lang w:eastAsia="es-CL"/>
          <w14:ligatures w14:val="none"/>
        </w:rPr>
        <w:t xml:space="preserve"> El uso del </w:t>
      </w:r>
      <w:r w:rsidRPr="00A51681">
        <w:rPr>
          <w:rFonts w:ascii="Arial" w:eastAsia="Times New Roman" w:hAnsi="Arial" w:cs="Arial"/>
          <w:b/>
          <w:bCs/>
          <w:kern w:val="0"/>
          <w:sz w:val="22"/>
          <w:szCs w:val="22"/>
          <w:lang w:eastAsia="es-CL"/>
          <w14:ligatures w14:val="none"/>
        </w:rPr>
        <w:t xml:space="preserve">Decreto Ley </w:t>
      </w:r>
      <w:proofErr w:type="spellStart"/>
      <w:r w:rsidRPr="00A51681">
        <w:rPr>
          <w:rFonts w:ascii="Arial" w:eastAsia="Times New Roman" w:hAnsi="Arial" w:cs="Arial"/>
          <w:b/>
          <w:bCs/>
          <w:kern w:val="0"/>
          <w:sz w:val="22"/>
          <w:szCs w:val="22"/>
          <w:lang w:eastAsia="es-CL"/>
          <w14:ligatures w14:val="none"/>
        </w:rPr>
        <w:t>N°</w:t>
      </w:r>
      <w:proofErr w:type="spellEnd"/>
      <w:r w:rsidRPr="00A51681">
        <w:rPr>
          <w:rFonts w:ascii="Arial" w:eastAsia="Times New Roman" w:hAnsi="Arial" w:cs="Arial"/>
          <w:b/>
          <w:bCs/>
          <w:kern w:val="0"/>
          <w:sz w:val="22"/>
          <w:szCs w:val="22"/>
          <w:lang w:eastAsia="es-CL"/>
          <w14:ligatures w14:val="none"/>
        </w:rPr>
        <w:t xml:space="preserve"> 520 de 1932</w:t>
      </w:r>
      <w:r w:rsidRPr="00A51681">
        <w:rPr>
          <w:rFonts w:ascii="Arial" w:eastAsia="Times New Roman" w:hAnsi="Arial" w:cs="Arial"/>
          <w:kern w:val="0"/>
          <w:sz w:val="22"/>
          <w:szCs w:val="22"/>
          <w:lang w:eastAsia="es-CL"/>
          <w14:ligatures w14:val="none"/>
        </w:rPr>
        <w:t>. El gobierno de la Unidad Popular utilizó este decreto olvidado para "intervenir" o "</w:t>
      </w:r>
      <w:proofErr w:type="spellStart"/>
      <w:r w:rsidRPr="00A51681">
        <w:rPr>
          <w:rFonts w:ascii="Arial" w:eastAsia="Times New Roman" w:hAnsi="Arial" w:cs="Arial"/>
          <w:kern w:val="0"/>
          <w:sz w:val="22"/>
          <w:szCs w:val="22"/>
          <w:lang w:eastAsia="es-CL"/>
          <w14:ligatures w14:val="none"/>
        </w:rPr>
        <w:t>requisitar</w:t>
      </w:r>
      <w:proofErr w:type="spellEnd"/>
      <w:r w:rsidRPr="00A51681">
        <w:rPr>
          <w:rFonts w:ascii="Arial" w:eastAsia="Times New Roman" w:hAnsi="Arial" w:cs="Arial"/>
          <w:kern w:val="0"/>
          <w:sz w:val="22"/>
          <w:szCs w:val="22"/>
          <w:lang w:eastAsia="es-CL"/>
          <w14:ligatures w14:val="none"/>
        </w:rPr>
        <w:t>" industrias alegando problemas de abastecimiento o conflictos laborales provocados artificialmente. Esto permitía al Estado tomar el control de fábricas sin necesidad de una ley de expropiación aprobada por el Congreso, burlando el espíritu de la garantía constitucional.</w:t>
      </w:r>
    </w:p>
    <w:p w14:paraId="1DD2BD84" w14:textId="77777777" w:rsid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p>
    <w:p w14:paraId="56F5654F" w14:textId="15F2C741" w:rsidR="00A51681" w:rsidRP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6. Independencia de los Poderes del Estado (Poder Judicial)</w:t>
      </w:r>
    </w:p>
    <w:p w14:paraId="1F3C5D32" w14:textId="77777777" w:rsidR="00A51681" w:rsidRP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Lo que garantizaba:</w:t>
      </w:r>
      <w:r w:rsidRPr="00A51681">
        <w:rPr>
          <w:rFonts w:ascii="Arial" w:eastAsia="Times New Roman" w:hAnsi="Arial" w:cs="Arial"/>
          <w:kern w:val="0"/>
          <w:sz w:val="22"/>
          <w:szCs w:val="22"/>
          <w:lang w:eastAsia="es-CL"/>
          <w14:ligatures w14:val="none"/>
        </w:rPr>
        <w:t xml:space="preserve"> El respeto absoluto a las sentencias de los tribunales de justicia y a la labor de la Contraloría.</w:t>
      </w:r>
    </w:p>
    <w:p w14:paraId="69D0044E" w14:textId="77777777" w:rsidR="00A51681" w:rsidRPr="00A51681" w:rsidRDefault="00A51681" w:rsidP="00A51681">
      <w:pPr>
        <w:numPr>
          <w:ilvl w:val="0"/>
          <w:numId w:val="9"/>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Ejemplo de incumplimiento:</w:t>
      </w:r>
      <w:r w:rsidRPr="00A51681">
        <w:rPr>
          <w:rFonts w:ascii="Arial" w:eastAsia="Times New Roman" w:hAnsi="Arial" w:cs="Arial"/>
          <w:kern w:val="0"/>
          <w:sz w:val="22"/>
          <w:szCs w:val="22"/>
          <w:lang w:eastAsia="es-CL"/>
          <w14:ligatures w14:val="none"/>
        </w:rPr>
        <w:t xml:space="preserve"> El Ejecutivo comenzó a aplicar una "insurgencia administrativa". Cuando los tribunales ordenaban desalojar una fábrica o un campo tomado ilegalmente, el Ministerio del Interior instruía a la fuerza pública (Carabineros) </w:t>
      </w:r>
      <w:r w:rsidRPr="00A51681">
        <w:rPr>
          <w:rFonts w:ascii="Arial" w:eastAsia="Times New Roman" w:hAnsi="Arial" w:cs="Arial"/>
          <w:b/>
          <w:bCs/>
          <w:kern w:val="0"/>
          <w:sz w:val="22"/>
          <w:szCs w:val="22"/>
          <w:lang w:eastAsia="es-CL"/>
          <w14:ligatures w14:val="none"/>
        </w:rPr>
        <w:t>no cumplir con el desalojo</w:t>
      </w:r>
      <w:r w:rsidRPr="00A51681">
        <w:rPr>
          <w:rFonts w:ascii="Arial" w:eastAsia="Times New Roman" w:hAnsi="Arial" w:cs="Arial"/>
          <w:kern w:val="0"/>
          <w:sz w:val="22"/>
          <w:szCs w:val="22"/>
          <w:lang w:eastAsia="es-CL"/>
          <w14:ligatures w14:val="none"/>
        </w:rPr>
        <w:t>. Esto llevó a la Corte Suprema a enviar una durísima carta a Allende en mayo de 1973, denunciando una "perentoria crisis del Estado de Derecho".</w:t>
      </w:r>
    </w:p>
    <w:p w14:paraId="4C8A11DB" w14:textId="77777777" w:rsid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p>
    <w:p w14:paraId="3C02C789" w14:textId="38BD2D92" w:rsidR="00A51681" w:rsidRPr="00A51681" w:rsidRDefault="00A51681" w:rsidP="00A51681">
      <w:pPr>
        <w:spacing w:before="100" w:beforeAutospacing="1" w:after="100" w:afterAutospacing="1" w:line="240" w:lineRule="auto"/>
        <w:contextualSpacing/>
        <w:jc w:val="both"/>
        <w:outlineLvl w:val="2"/>
        <w:rPr>
          <w:rFonts w:ascii="Arial" w:eastAsia="Times New Roman" w:hAnsi="Arial" w:cs="Arial"/>
          <w:b/>
          <w:bCs/>
          <w:kern w:val="0"/>
          <w:sz w:val="22"/>
          <w:szCs w:val="22"/>
          <w:lang w:eastAsia="es-CL"/>
          <w14:ligatures w14:val="none"/>
        </w:rPr>
      </w:pPr>
      <w:r w:rsidRPr="00A51681">
        <w:rPr>
          <w:rFonts w:ascii="Arial" w:eastAsia="Times New Roman" w:hAnsi="Arial" w:cs="Arial"/>
          <w:b/>
          <w:bCs/>
          <w:kern w:val="0"/>
          <w:sz w:val="22"/>
          <w:szCs w:val="22"/>
          <w:lang w:eastAsia="es-CL"/>
          <w14:ligatures w14:val="none"/>
        </w:rPr>
        <w:t>Resumen del conflicto</w:t>
      </w:r>
    </w:p>
    <w:p w14:paraId="51ADAB1C" w14:textId="77777777" w:rsidR="00A51681" w:rsidRPr="00A51681" w:rsidRDefault="00A51681" w:rsidP="00A51681">
      <w:p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kern w:val="0"/>
          <w:sz w:val="22"/>
          <w:szCs w:val="22"/>
          <w:lang w:eastAsia="es-CL"/>
          <w14:ligatures w14:val="none"/>
        </w:rPr>
        <w:t xml:space="preserve">El incumplimiento del Estatuto no fue solo una serie de hechos aislados, sino que representó una </w:t>
      </w:r>
      <w:r w:rsidRPr="00A51681">
        <w:rPr>
          <w:rFonts w:ascii="Arial" w:eastAsia="Times New Roman" w:hAnsi="Arial" w:cs="Arial"/>
          <w:b/>
          <w:bCs/>
          <w:kern w:val="0"/>
          <w:sz w:val="22"/>
          <w:szCs w:val="22"/>
          <w:lang w:eastAsia="es-CL"/>
          <w14:ligatures w14:val="none"/>
        </w:rPr>
        <w:t>colisión de dos visiones</w:t>
      </w:r>
      <w:r w:rsidRPr="00A51681">
        <w:rPr>
          <w:rFonts w:ascii="Arial" w:eastAsia="Times New Roman" w:hAnsi="Arial" w:cs="Arial"/>
          <w:kern w:val="0"/>
          <w:sz w:val="22"/>
          <w:szCs w:val="22"/>
          <w:lang w:eastAsia="es-CL"/>
          <w14:ligatures w14:val="none"/>
        </w:rPr>
        <w:t>:</w:t>
      </w:r>
    </w:p>
    <w:p w14:paraId="0E8A30EF" w14:textId="77777777" w:rsidR="00A51681" w:rsidRPr="00A51681" w:rsidRDefault="00A51681" w:rsidP="00A51681">
      <w:pPr>
        <w:numPr>
          <w:ilvl w:val="0"/>
          <w:numId w:val="10"/>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Para el Gobierno:</w:t>
      </w:r>
      <w:r w:rsidRPr="00A51681">
        <w:rPr>
          <w:rFonts w:ascii="Arial" w:eastAsia="Times New Roman" w:hAnsi="Arial" w:cs="Arial"/>
          <w:kern w:val="0"/>
          <w:sz w:val="22"/>
          <w:szCs w:val="22"/>
          <w:lang w:eastAsia="es-CL"/>
          <w14:ligatures w14:val="none"/>
        </w:rPr>
        <w:t xml:space="preserve"> Estas garantías eran interpretadas de forma estrecha para permitir la "vía chilena al socialismo" dentro de lo que ellos consideraban legalidad.</w:t>
      </w:r>
    </w:p>
    <w:p w14:paraId="6683F98B" w14:textId="77777777" w:rsidR="00A51681" w:rsidRPr="00A51681" w:rsidRDefault="00A51681" w:rsidP="00A51681">
      <w:pPr>
        <w:numPr>
          <w:ilvl w:val="0"/>
          <w:numId w:val="10"/>
        </w:numPr>
        <w:spacing w:before="100" w:beforeAutospacing="1" w:after="100" w:afterAutospacing="1" w:line="240" w:lineRule="auto"/>
        <w:contextualSpacing/>
        <w:jc w:val="both"/>
        <w:rPr>
          <w:rFonts w:ascii="Arial" w:eastAsia="Times New Roman" w:hAnsi="Arial" w:cs="Arial"/>
          <w:kern w:val="0"/>
          <w:sz w:val="22"/>
          <w:szCs w:val="22"/>
          <w:lang w:eastAsia="es-CL"/>
          <w14:ligatures w14:val="none"/>
        </w:rPr>
      </w:pPr>
      <w:r w:rsidRPr="00A51681">
        <w:rPr>
          <w:rFonts w:ascii="Arial" w:eastAsia="Times New Roman" w:hAnsi="Arial" w:cs="Arial"/>
          <w:b/>
          <w:bCs/>
          <w:kern w:val="0"/>
          <w:sz w:val="22"/>
          <w:szCs w:val="22"/>
          <w:lang w:eastAsia="es-CL"/>
          <w14:ligatures w14:val="none"/>
        </w:rPr>
        <w:t>Para la Oposición:</w:t>
      </w:r>
      <w:r w:rsidRPr="00A51681">
        <w:rPr>
          <w:rFonts w:ascii="Arial" w:eastAsia="Times New Roman" w:hAnsi="Arial" w:cs="Arial"/>
          <w:kern w:val="0"/>
          <w:sz w:val="22"/>
          <w:szCs w:val="22"/>
          <w:lang w:eastAsia="es-CL"/>
          <w14:ligatures w14:val="none"/>
        </w:rPr>
        <w:t xml:space="preserve"> El Estatuto era la barrera ética y legal que Allende había prometido no cruzar. Al ignorar los fallos judiciales y fomentar el poder popular armado, la oposición concluyó que el presidente había roto el pacto de caballeros y la Constitución que lo sostenía en el cargo.</w:t>
      </w:r>
    </w:p>
    <w:p w14:paraId="381DD90F" w14:textId="3BF98936" w:rsidR="00A51681" w:rsidRPr="00A51681" w:rsidRDefault="00A51681" w:rsidP="00A51681">
      <w:pPr>
        <w:pStyle w:val="NormalWeb"/>
        <w:contextualSpacing/>
        <w:jc w:val="both"/>
        <w:rPr>
          <w:rFonts w:ascii="Arial" w:hAnsi="Arial" w:cs="Arial"/>
          <w:sz w:val="22"/>
          <w:szCs w:val="22"/>
        </w:rPr>
      </w:pPr>
      <w:r w:rsidRPr="00A51681">
        <w:rPr>
          <w:rFonts w:ascii="Arial" w:hAnsi="Arial" w:cs="Arial"/>
          <w:b/>
          <w:bCs/>
          <w:sz w:val="22"/>
          <w:szCs w:val="22"/>
        </w:rPr>
        <w:t xml:space="preserve">FUENTES: </w:t>
      </w:r>
    </w:p>
    <w:p w14:paraId="6C1CF0AF" w14:textId="77777777" w:rsidR="00A51681" w:rsidRPr="00A51681" w:rsidRDefault="00A51681" w:rsidP="00A51681">
      <w:pPr>
        <w:pStyle w:val="NormalWeb"/>
        <w:numPr>
          <w:ilvl w:val="0"/>
          <w:numId w:val="11"/>
        </w:numPr>
        <w:contextualSpacing/>
        <w:jc w:val="both"/>
        <w:rPr>
          <w:rFonts w:ascii="Arial" w:hAnsi="Arial" w:cs="Arial"/>
          <w:sz w:val="22"/>
          <w:szCs w:val="22"/>
        </w:rPr>
      </w:pPr>
      <w:r w:rsidRPr="00A51681">
        <w:rPr>
          <w:rFonts w:ascii="Arial" w:hAnsi="Arial" w:cs="Arial"/>
          <w:b/>
          <w:bCs/>
          <w:sz w:val="22"/>
          <w:szCs w:val="22"/>
        </w:rPr>
        <w:t xml:space="preserve">La Ley </w:t>
      </w:r>
      <w:proofErr w:type="spellStart"/>
      <w:r w:rsidRPr="00A51681">
        <w:rPr>
          <w:rFonts w:ascii="Arial" w:hAnsi="Arial" w:cs="Arial"/>
          <w:b/>
          <w:bCs/>
          <w:sz w:val="22"/>
          <w:szCs w:val="22"/>
        </w:rPr>
        <w:t>N°</w:t>
      </w:r>
      <w:proofErr w:type="spellEnd"/>
      <w:r w:rsidRPr="00A51681">
        <w:rPr>
          <w:rFonts w:ascii="Arial" w:hAnsi="Arial" w:cs="Arial"/>
          <w:b/>
          <w:bCs/>
          <w:sz w:val="22"/>
          <w:szCs w:val="22"/>
        </w:rPr>
        <w:t xml:space="preserve"> 17.398</w:t>
      </w:r>
      <w:r w:rsidRPr="00A51681">
        <w:rPr>
          <w:rFonts w:ascii="Arial" w:hAnsi="Arial" w:cs="Arial"/>
          <w:sz w:val="22"/>
          <w:szCs w:val="22"/>
        </w:rPr>
        <w:t xml:space="preserve"> (publicada en el Diario Oficial el 9 de enero de 1971).</w:t>
      </w:r>
    </w:p>
    <w:p w14:paraId="2D4A5A6B" w14:textId="77777777" w:rsidR="00A51681" w:rsidRPr="00A51681" w:rsidRDefault="00A51681" w:rsidP="00A51681">
      <w:pPr>
        <w:pStyle w:val="NormalWeb"/>
        <w:numPr>
          <w:ilvl w:val="0"/>
          <w:numId w:val="11"/>
        </w:numPr>
        <w:contextualSpacing/>
        <w:jc w:val="both"/>
        <w:rPr>
          <w:rFonts w:ascii="Arial" w:hAnsi="Arial" w:cs="Arial"/>
          <w:sz w:val="22"/>
          <w:szCs w:val="22"/>
        </w:rPr>
      </w:pPr>
      <w:r w:rsidRPr="00A51681">
        <w:rPr>
          <w:rFonts w:ascii="Arial" w:hAnsi="Arial" w:cs="Arial"/>
          <w:b/>
          <w:bCs/>
          <w:sz w:val="22"/>
          <w:szCs w:val="22"/>
        </w:rPr>
        <w:t>El Acuerdo de la Cámara de Diputados del 22 de agosto de 1973</w:t>
      </w:r>
      <w:r w:rsidRPr="00A51681">
        <w:rPr>
          <w:rFonts w:ascii="Arial" w:hAnsi="Arial" w:cs="Arial"/>
          <w:sz w:val="22"/>
          <w:szCs w:val="22"/>
        </w:rPr>
        <w:t>.</w:t>
      </w:r>
    </w:p>
    <w:p w14:paraId="4C30ADC0" w14:textId="64547C5B" w:rsidR="00A51681" w:rsidRPr="00A51681" w:rsidRDefault="00A51681" w:rsidP="00A51681">
      <w:pPr>
        <w:pStyle w:val="NormalWeb"/>
        <w:numPr>
          <w:ilvl w:val="0"/>
          <w:numId w:val="11"/>
        </w:numPr>
        <w:contextualSpacing/>
        <w:jc w:val="both"/>
        <w:rPr>
          <w:rFonts w:ascii="Arial" w:hAnsi="Arial" w:cs="Arial"/>
          <w:sz w:val="22"/>
          <w:szCs w:val="22"/>
        </w:rPr>
      </w:pPr>
      <w:r w:rsidRPr="00A51681">
        <w:rPr>
          <w:rFonts w:ascii="Arial" w:hAnsi="Arial" w:cs="Arial"/>
          <w:b/>
          <w:bCs/>
          <w:sz w:val="22"/>
          <w:szCs w:val="22"/>
        </w:rPr>
        <w:t>Las actas de la Corte Suprema de mayo de 1973</w:t>
      </w:r>
      <w:r w:rsidRPr="00A51681">
        <w:rPr>
          <w:rFonts w:ascii="Arial" w:hAnsi="Arial" w:cs="Arial"/>
          <w:sz w:val="22"/>
          <w:szCs w:val="22"/>
        </w:rPr>
        <w:t>, donde se denuncia el desacato del Ejecutivo.</w:t>
      </w:r>
    </w:p>
    <w:sectPr w:rsidR="00A51681" w:rsidRPr="00A51681" w:rsidSect="00A51681">
      <w:pgSz w:w="12240" w:h="15840"/>
      <w:pgMar w:top="1417" w:right="1183"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95FAB"/>
    <w:multiLevelType w:val="multilevel"/>
    <w:tmpl w:val="012C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41521"/>
    <w:multiLevelType w:val="multilevel"/>
    <w:tmpl w:val="B2FE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8132E"/>
    <w:multiLevelType w:val="multilevel"/>
    <w:tmpl w:val="ED662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A10C59"/>
    <w:multiLevelType w:val="multilevel"/>
    <w:tmpl w:val="A3709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571E20"/>
    <w:multiLevelType w:val="multilevel"/>
    <w:tmpl w:val="D5B6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9259A4"/>
    <w:multiLevelType w:val="multilevel"/>
    <w:tmpl w:val="73C248E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15:restartNumberingAfterBreak="0">
    <w:nsid w:val="421F5656"/>
    <w:multiLevelType w:val="multilevel"/>
    <w:tmpl w:val="EB70C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C10EC0"/>
    <w:multiLevelType w:val="multilevel"/>
    <w:tmpl w:val="2E92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C711EF"/>
    <w:multiLevelType w:val="multilevel"/>
    <w:tmpl w:val="6ECC0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540DE5"/>
    <w:multiLevelType w:val="multilevel"/>
    <w:tmpl w:val="6010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4C6155"/>
    <w:multiLevelType w:val="multilevel"/>
    <w:tmpl w:val="869A5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5874285">
    <w:abstractNumId w:val="9"/>
  </w:num>
  <w:num w:numId="2" w16cid:durableId="739058609">
    <w:abstractNumId w:val="5"/>
  </w:num>
  <w:num w:numId="3" w16cid:durableId="300112596">
    <w:abstractNumId w:val="0"/>
  </w:num>
  <w:num w:numId="4" w16cid:durableId="1789933712">
    <w:abstractNumId w:val="1"/>
  </w:num>
  <w:num w:numId="5" w16cid:durableId="1989282284">
    <w:abstractNumId w:val="4"/>
  </w:num>
  <w:num w:numId="6" w16cid:durableId="153373861">
    <w:abstractNumId w:val="6"/>
  </w:num>
  <w:num w:numId="7" w16cid:durableId="2002196145">
    <w:abstractNumId w:val="3"/>
  </w:num>
  <w:num w:numId="8" w16cid:durableId="1860659873">
    <w:abstractNumId w:val="7"/>
  </w:num>
  <w:num w:numId="9" w16cid:durableId="1653481560">
    <w:abstractNumId w:val="10"/>
  </w:num>
  <w:num w:numId="10" w16cid:durableId="1743864772">
    <w:abstractNumId w:val="2"/>
  </w:num>
  <w:num w:numId="11" w16cid:durableId="10837259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681"/>
    <w:rsid w:val="002C3E91"/>
    <w:rsid w:val="00304125"/>
    <w:rsid w:val="005C0281"/>
    <w:rsid w:val="007305CD"/>
    <w:rsid w:val="007557C1"/>
    <w:rsid w:val="00A20141"/>
    <w:rsid w:val="00A51681"/>
    <w:rsid w:val="00CB0A58"/>
    <w:rsid w:val="00DE3D40"/>
    <w:rsid w:val="00DF0FA4"/>
    <w:rsid w:val="00EA7E2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64062"/>
  <w15:chartTrackingRefBased/>
  <w15:docId w15:val="{89ECB61D-CEEA-4D5A-AF16-0D9B70722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516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516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5168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5168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5168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5168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5168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5168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5168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5168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5168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5168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5168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5168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5168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5168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5168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51681"/>
    <w:rPr>
      <w:rFonts w:eastAsiaTheme="majorEastAsia" w:cstheme="majorBidi"/>
      <w:color w:val="272727" w:themeColor="text1" w:themeTint="D8"/>
    </w:rPr>
  </w:style>
  <w:style w:type="paragraph" w:styleId="Ttulo">
    <w:name w:val="Title"/>
    <w:basedOn w:val="Normal"/>
    <w:next w:val="Normal"/>
    <w:link w:val="TtuloCar"/>
    <w:uiPriority w:val="10"/>
    <w:qFormat/>
    <w:rsid w:val="00A5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5168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5168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5168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51681"/>
    <w:pPr>
      <w:spacing w:before="160"/>
      <w:jc w:val="center"/>
    </w:pPr>
    <w:rPr>
      <w:i/>
      <w:iCs/>
      <w:color w:val="404040" w:themeColor="text1" w:themeTint="BF"/>
    </w:rPr>
  </w:style>
  <w:style w:type="character" w:customStyle="1" w:styleId="CitaCar">
    <w:name w:val="Cita Car"/>
    <w:basedOn w:val="Fuentedeprrafopredeter"/>
    <w:link w:val="Cita"/>
    <w:uiPriority w:val="29"/>
    <w:rsid w:val="00A51681"/>
    <w:rPr>
      <w:i/>
      <w:iCs/>
      <w:color w:val="404040" w:themeColor="text1" w:themeTint="BF"/>
    </w:rPr>
  </w:style>
  <w:style w:type="paragraph" w:styleId="Prrafodelista">
    <w:name w:val="List Paragraph"/>
    <w:basedOn w:val="Normal"/>
    <w:uiPriority w:val="34"/>
    <w:qFormat/>
    <w:rsid w:val="00A51681"/>
    <w:pPr>
      <w:ind w:left="720"/>
      <w:contextualSpacing/>
    </w:pPr>
  </w:style>
  <w:style w:type="character" w:styleId="nfasisintenso">
    <w:name w:val="Intense Emphasis"/>
    <w:basedOn w:val="Fuentedeprrafopredeter"/>
    <w:uiPriority w:val="21"/>
    <w:qFormat/>
    <w:rsid w:val="00A51681"/>
    <w:rPr>
      <w:i/>
      <w:iCs/>
      <w:color w:val="0F4761" w:themeColor="accent1" w:themeShade="BF"/>
    </w:rPr>
  </w:style>
  <w:style w:type="paragraph" w:styleId="Citadestacada">
    <w:name w:val="Intense Quote"/>
    <w:basedOn w:val="Normal"/>
    <w:next w:val="Normal"/>
    <w:link w:val="CitadestacadaCar"/>
    <w:uiPriority w:val="30"/>
    <w:qFormat/>
    <w:rsid w:val="00A5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51681"/>
    <w:rPr>
      <w:i/>
      <w:iCs/>
      <w:color w:val="0F4761" w:themeColor="accent1" w:themeShade="BF"/>
    </w:rPr>
  </w:style>
  <w:style w:type="character" w:styleId="Referenciaintensa">
    <w:name w:val="Intense Reference"/>
    <w:basedOn w:val="Fuentedeprrafopredeter"/>
    <w:uiPriority w:val="32"/>
    <w:qFormat/>
    <w:rsid w:val="00A51681"/>
    <w:rPr>
      <w:b/>
      <w:bCs/>
      <w:smallCaps/>
      <w:color w:val="0F4761" w:themeColor="accent1" w:themeShade="BF"/>
      <w:spacing w:val="5"/>
    </w:rPr>
  </w:style>
  <w:style w:type="paragraph" w:styleId="NormalWeb">
    <w:name w:val="Normal (Web)"/>
    <w:basedOn w:val="Normal"/>
    <w:uiPriority w:val="99"/>
    <w:unhideWhenUsed/>
    <w:rsid w:val="00A51681"/>
    <w:pPr>
      <w:spacing w:before="100" w:beforeAutospacing="1" w:after="100" w:afterAutospacing="1" w:line="240" w:lineRule="auto"/>
    </w:pPr>
    <w:rPr>
      <w:rFonts w:ascii="Times New Roman" w:eastAsia="Times New Roman" w:hAnsi="Times New Roman" w:cs="Times New Roman"/>
      <w:kern w:val="0"/>
      <w:lang w:eastAsia="es-C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1421</Words>
  <Characters>7583</Characters>
  <Application>Microsoft Office Word</Application>
  <DocSecurity>0</DocSecurity>
  <Lines>144</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Ramírez Torrejon</dc:creator>
  <cp:keywords/>
  <dc:description/>
  <cp:lastModifiedBy>Blanca Ramírez Torrejon</cp:lastModifiedBy>
  <cp:revision>4</cp:revision>
  <dcterms:created xsi:type="dcterms:W3CDTF">2026-01-10T09:33:00Z</dcterms:created>
  <dcterms:modified xsi:type="dcterms:W3CDTF">2026-01-14T10:47:00Z</dcterms:modified>
</cp:coreProperties>
</file>