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a4h7ebe719cf" w:id="0"/>
      <w:bookmarkEnd w:id="0"/>
      <w:r w:rsidDel="00000000" w:rsidR="00000000" w:rsidRPr="00000000">
        <w:rPr>
          <w:b w:val="1"/>
          <w:bCs w:val="1"/>
          <w:sz w:val="46"/>
          <w:szCs w:val="46"/>
          <w:rtl w:val="0"/>
        </w:rPr>
        <w:t xml:space="preserve">Optimización del uso de combustible en flotas navales: análisis del modelo británico y su aplicabilidad en la Armada de Chile</w:t>
      </w:r>
    </w:p>
    <w:p w:rsidR="00000000" w:rsidDel="00000000" w:rsidP="00000000" w:rsidRDefault="00000000" w:rsidRPr="00000000" w14:paraId="00000002">
      <w:pPr>
        <w:spacing w:after="240" w:before="240" w:lineRule="auto"/>
        <w:rPr/>
      </w:pPr>
      <w:r w:rsidDel="00000000" w:rsidR="00000000" w:rsidRPr="00000000">
        <w:rPr>
          <w:rtl w:val="0"/>
        </w:rPr>
        <w:t xml:space="preserve">El incremento sostenido del precio del combustible y la necesidad de mantener capacidades operativas con presupuestos restringidos han impulsado a diversas marinas a optimizar su eficiencia energética. En este contexto, el artículo Optimising Fleet Fuel Usage – Hull Review de Steve Marshall expone la estrategia adoptada por la Royal Navy para reducir el consumo mediante mejoras hidrodinámicas y una gestión más eficiente del mantenimiento (Marshall, 2013).</w:t>
      </w:r>
    </w:p>
    <w:p w:rsidR="00000000" w:rsidDel="00000000" w:rsidP="00000000" w:rsidRDefault="00000000" w:rsidRPr="00000000" w14:paraId="00000003">
      <w:pPr>
        <w:spacing w:after="240" w:before="240" w:lineRule="auto"/>
        <w:rPr/>
      </w:pPr>
      <w:r w:rsidDel="00000000" w:rsidR="00000000" w:rsidRPr="00000000">
        <w:rPr>
          <w:rtl w:val="0"/>
        </w:rPr>
        <w:t xml:space="preserve">El programa OFFU (Optimise Fleet Fuel Usage), iniciado en 2006, surge como respuesta al aumento del costo del combustible, evidenciado en la evolución del precio del F76 presentada en el documento. El autor sostiene que, a velocidades de crucero, la mayor parte de la resistencia del buque proviene de la fricción asociada a la superficie mojada del casco (Marshall, 2013). En consecuencia, el deterioro del recubrimiento y la acumulación de incrustaciones biológicas (fouling) incrementan la rugosidad, elevando la resistencia y la potencia requerida para mantener velocidad.</w:t>
      </w:r>
    </w:p>
    <w:p w:rsidR="00000000" w:rsidDel="00000000" w:rsidP="00000000" w:rsidRDefault="00000000" w:rsidRPr="00000000" w14:paraId="00000004">
      <w:pPr>
        <w:spacing w:after="240" w:before="240" w:lineRule="auto"/>
        <w:rPr/>
      </w:pPr>
      <w:r w:rsidDel="00000000" w:rsidR="00000000" w:rsidRPr="00000000">
        <w:rPr>
          <w:rtl w:val="0"/>
        </w:rPr>
        <w:t xml:space="preserve">El texto identifica cinco líneas principales de acción: gestión del fouling y limpieza de casco, uso de pinturas antiincrustantes y recubrimientos tipo foul release, pulido de hélices, instalación de transom flaps y optimización del desplazamiento y trimado (Marshall, 2013). Entre ellas, el control del fouling resulta el factor más determinante. El documento describe la implementación de un sistema de monitoreo basado en potencia de eje (shaft power trigger), que permite detectar aumentos significativos en la resistencia y programar limpiezas según condición real y no solo por calendario. Este enfoque evidencia una transición hacia un mantenimiento basado en datos operacionales.</w:t>
      </w:r>
    </w:p>
    <w:p w:rsidR="00000000" w:rsidDel="00000000" w:rsidP="00000000" w:rsidRDefault="00000000" w:rsidRPr="00000000" w14:paraId="00000005">
      <w:pPr>
        <w:spacing w:after="240" w:before="240" w:lineRule="auto"/>
        <w:rPr/>
      </w:pPr>
      <w:r w:rsidDel="00000000" w:rsidR="00000000" w:rsidRPr="00000000">
        <w:rPr>
          <w:rtl w:val="0"/>
        </w:rPr>
        <w:t xml:space="preserve">Desde el punto de vista técnico, el fundamento es consistente con la teoría hidrodinámica. La resistencia por fricción aumenta con la rugosidad superficial, y la potencia requerida para propulsión se relaciona de manera no lineal con la resistencia total. Por ello, pequeñas variaciones en el coeficiente de fricción pueden traducirse en incrementos significativos del consumo. Asimismo, la instalación de transom flaps mostró reducciones de resistencia del orden de 6% a 13%, mientras que el pulido de hélices aportó mejoras complementarias (Marshall, 2013).</w:t>
      </w:r>
    </w:p>
    <w:p w:rsidR="00000000" w:rsidDel="00000000" w:rsidP="00000000" w:rsidRDefault="00000000" w:rsidRPr="00000000" w14:paraId="00000006">
      <w:pPr>
        <w:spacing w:after="240" w:before="240" w:lineRule="auto"/>
        <w:rPr/>
      </w:pPr>
      <w:r w:rsidDel="00000000" w:rsidR="00000000" w:rsidRPr="00000000">
        <w:rPr>
          <w:rtl w:val="0"/>
        </w:rPr>
        <w:t xml:space="preserve">En cuanto a ventajas, el modelo británico destaca por su enfoque pragmático y de alto retorno económico, ya que prioriza intervenciones relativamente simples y de bajo costo comparadas con modernizaciones estructurales mayores. Además, fomenta una cultura de medición y análisis que mejora la toma de decisiones técnicas. No obstante, existen limitaciones. La efectividad de recubrimientos avanzados depende de una correcta aplicación y del perfil de operación del buque. Asimismo, intervenciones como los transom flaps requieren estudios específicos por clase de unidad para garantizar su conveniencia técnica y estructural.</w:t>
      </w:r>
    </w:p>
    <w:p w:rsidR="00000000" w:rsidDel="00000000" w:rsidP="00000000" w:rsidRDefault="00000000" w:rsidRPr="00000000" w14:paraId="00000007">
      <w:pPr>
        <w:spacing w:after="240" w:before="240" w:lineRule="auto"/>
        <w:rPr/>
      </w:pPr>
      <w:r w:rsidDel="00000000" w:rsidR="00000000" w:rsidRPr="00000000">
        <w:rPr>
          <w:rtl w:val="0"/>
        </w:rPr>
        <w:t xml:space="preserve">Respecto de su posible aplicación en la Armada de Chile, el enfoque resulta pertinente. Chile posee una extensa zona marítima y unidades que navegan grandes distancias, por lo que la eficiencia energética impacta directamente en la autonomía y en los costos logísticos. La institución ha mostrado interés en materias energéticas, como lo demuestra la realización del Naval Energy Summit y pruebas de combustibles sintéticos en unidades menores (Armada de Chile, 2023, 2025). Estas iniciativas evidencian una orientación estratégica hacia la optimización energética además del uso de pinturas antifouling y la constante carena de las unidades.</w:t>
      </w:r>
    </w:p>
    <w:p w:rsidR="00000000" w:rsidDel="00000000" w:rsidP="00000000" w:rsidRDefault="00000000" w:rsidRPr="00000000" w14:paraId="00000008">
      <w:pPr>
        <w:spacing w:after="240" w:before="240" w:lineRule="auto"/>
        <w:rPr/>
      </w:pPr>
      <w:r w:rsidDel="00000000" w:rsidR="00000000" w:rsidRPr="00000000">
        <w:rPr>
          <w:rtl w:val="0"/>
        </w:rPr>
        <w:t xml:space="preserve">Además, la existencia de ASMAR como astillero estatal con capacidad de mantenimiento y modernización facilita la implementación de mejoras en carenas programadas. La adopción de sistemas avanzados de recubrimiento, junto con la incorporación de monitoreo de potencia de eje y consumo específico, podría permitir una gestión más eficiente del estado hidrodinámico de la flota. En el caso de fragatas ex Royal Navy clase Type 23 actualmente en servicio en Chile, sería técnicamente viable evaluar estrategias similares a las aplicadas por la marina británica, especialmente en lo relativo a mantenimiento basado en condición.</w:t>
      </w:r>
    </w:p>
    <w:p w:rsidR="00000000" w:rsidDel="00000000" w:rsidP="00000000" w:rsidRDefault="00000000" w:rsidRPr="00000000" w14:paraId="00000009">
      <w:pPr>
        <w:spacing w:after="240" w:before="240" w:lineRule="auto"/>
        <w:rPr/>
      </w:pPr>
      <w:r w:rsidDel="00000000" w:rsidR="00000000" w:rsidRPr="00000000">
        <w:rPr>
          <w:rtl w:val="0"/>
        </w:rPr>
        <w:t xml:space="preserve">En conclusión, el modelo presentado por la Royal Navy demuestra que la reducción del consumo de combustible puede lograrse mediante una combinación de gestión técnica rigurosa, mantenimiento por condición y mejoras hidrodinámicas específicas. Para la Armada de Chile, la implementación sistemática de estas medidas no solo es viable, sino coherente con su proyección estratégica y sus capacidades industriales. El desafío principal radica en institucionalizar una cultura de medición y optimización continua del desempeño energético de la flota.</w:t>
      </w:r>
    </w:p>
    <w:p w:rsidR="00000000" w:rsidDel="00000000" w:rsidP="00000000" w:rsidRDefault="00000000" w:rsidRPr="00000000" w14:paraId="000000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h358rv7h4sxi" w:id="1"/>
      <w:bookmarkEnd w:id="1"/>
      <w:r w:rsidDel="00000000" w:rsidR="00000000" w:rsidRPr="00000000">
        <w:rPr>
          <w:b w:val="1"/>
          <w:bCs w:val="1"/>
          <w:sz w:val="34"/>
          <w:szCs w:val="34"/>
          <w:rtl w:val="0"/>
        </w:rPr>
        <w:t xml:space="preserve">Referencias</w:t>
      </w:r>
    </w:p>
    <w:p w:rsidR="00000000" w:rsidDel="00000000" w:rsidP="00000000" w:rsidRDefault="00000000" w:rsidRPr="00000000" w14:paraId="0000000C">
      <w:pPr>
        <w:spacing w:after="240" w:before="240" w:lineRule="auto"/>
        <w:rPr/>
      </w:pPr>
      <w:r w:rsidDel="00000000" w:rsidR="00000000" w:rsidRPr="00000000">
        <w:rPr>
          <w:rtl w:val="0"/>
        </w:rPr>
        <w:t xml:space="preserve">Armada de Chile. (2023). Armada de Chile y HIF Global presentan inédita carga de e-combustibles. https://www.armada.cl</w:t>
      </w:r>
    </w:p>
    <w:p w:rsidR="00000000" w:rsidDel="00000000" w:rsidP="00000000" w:rsidRDefault="00000000" w:rsidRPr="00000000" w14:paraId="0000000D">
      <w:pPr>
        <w:spacing w:after="240" w:before="240" w:lineRule="auto"/>
        <w:rPr/>
      </w:pPr>
      <w:r w:rsidDel="00000000" w:rsidR="00000000" w:rsidRPr="00000000">
        <w:rPr>
          <w:rtl w:val="0"/>
        </w:rPr>
        <w:t xml:space="preserve">Armada de Chile. (2025). Naval Energy Summit: Primer encuentro de defensa, energía y sostenibilidad. https://www.armada.cl</w:t>
      </w:r>
    </w:p>
    <w:p w:rsidR="00000000" w:rsidDel="00000000" w:rsidP="00000000" w:rsidRDefault="00000000" w:rsidRPr="00000000" w14:paraId="0000000E">
      <w:pPr>
        <w:spacing w:after="240" w:before="240" w:lineRule="auto"/>
        <w:rPr/>
      </w:pPr>
      <w:r w:rsidDel="00000000" w:rsidR="00000000" w:rsidRPr="00000000">
        <w:rPr>
          <w:rtl w:val="0"/>
        </w:rPr>
        <w:t xml:space="preserve">Marshall, S. (2013). Optimising fleet fuel usage – Hull review. Naval Authority Group.  </w:t>
      </w:r>
    </w:p>
    <w:p w:rsidR="00000000" w:rsidDel="00000000" w:rsidP="00000000" w:rsidRDefault="00000000" w:rsidRPr="00000000" w14:paraId="0000000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