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Estudio de Caso: Atala Riffo y Niñas vs. Chile</w:t>
      </w:r>
    </w:p>
    <w:tbl>
      <w:tblPr>
        <w:tblW w:type="auto" w:w="0"/>
        <w:tblLook w:firstColumn="1" w:firstRow="1" w:lastColumn="0" w:lastRow="0" w:noHBand="0" w:noVBand="1" w:val="04A0"/>
      </w:tblPr>
      <w:tblGrid>
        <w:gridCol w:w="4320"/>
        <w:gridCol w:w="4320"/>
      </w:tblGrid>
      <w:tr>
        <w:tc>
          <w:tcPr>
            <w:tcW w:type="dxa" w:w="4320"/>
          </w:tcPr>
          <w:p>
            <w:r>
              <w:t>Aspecto</w:t>
            </w:r>
          </w:p>
        </w:tc>
        <w:tc>
          <w:tcPr>
            <w:tcW w:type="dxa" w:w="4320"/>
          </w:tcPr>
          <w:p>
            <w:r>
              <w:t>Detalle</w:t>
            </w:r>
          </w:p>
        </w:tc>
      </w:tr>
      <w:tr>
        <w:tc>
          <w:tcPr>
            <w:tcW w:type="dxa" w:w="4320"/>
          </w:tcPr>
          <w:p>
            <w:r>
              <w:t>1. Nombre del caso:</w:t>
            </w:r>
          </w:p>
        </w:tc>
        <w:tc>
          <w:tcPr>
            <w:tcW w:type="dxa" w:w="4320"/>
          </w:tcPr>
          <w:p>
            <w:r>
              <w:t>Atala Riffo y Niñas vs. Chile</w:t>
            </w:r>
          </w:p>
        </w:tc>
      </w:tr>
      <w:tr>
        <w:tc>
          <w:tcPr>
            <w:tcW w:type="dxa" w:w="4320"/>
          </w:tcPr>
          <w:p>
            <w:r>
              <w:t>2. Tipo de Caso:</w:t>
            </w:r>
          </w:p>
        </w:tc>
        <w:tc>
          <w:tcPr>
            <w:tcW w:type="dxa" w:w="4320"/>
          </w:tcPr>
          <w:p>
            <w:r>
              <w:t>Igualdad y no discriminación, derechos de las mujeres, derechos del niño.</w:t>
            </w:r>
          </w:p>
        </w:tc>
      </w:tr>
      <w:tr>
        <w:tc>
          <w:tcPr>
            <w:tcW w:type="dxa" w:w="4320"/>
          </w:tcPr>
          <w:p>
            <w:r>
              <w:t>3. Fecha de presentación del caso:</w:t>
            </w:r>
          </w:p>
        </w:tc>
        <w:tc>
          <w:tcPr>
            <w:tcW w:type="dxa" w:w="4320"/>
          </w:tcPr>
          <w:p>
            <w:r>
              <w:t>2004 (Comisión Interamericana de Derechos Humanos).</w:t>
            </w:r>
          </w:p>
        </w:tc>
      </w:tr>
      <w:tr>
        <w:tc>
          <w:tcPr>
            <w:tcW w:type="dxa" w:w="4320"/>
          </w:tcPr>
          <w:p>
            <w:r>
              <w:t>Fecha de resolución del caso:</w:t>
            </w:r>
          </w:p>
        </w:tc>
        <w:tc>
          <w:tcPr>
            <w:tcW w:type="dxa" w:w="4320"/>
          </w:tcPr>
          <w:p>
            <w:r>
              <w:t>24 de febrero de 2012 (sentencia de la Corte Interamericana de Derechos Humanos).</w:t>
            </w:r>
          </w:p>
        </w:tc>
      </w:tr>
      <w:tr>
        <w:tc>
          <w:tcPr>
            <w:tcW w:type="dxa" w:w="4320"/>
          </w:tcPr>
          <w:p>
            <w:r>
              <w:t>4. Identificar de qué trató el caso:</w:t>
            </w:r>
          </w:p>
        </w:tc>
        <w:tc>
          <w:tcPr>
            <w:tcW w:type="dxa" w:w="4320"/>
          </w:tcPr>
          <w:p>
            <w:r>
              <w:t>El caso se originó cuando la Corte Suprema de Chile retiró la custodia de las hijas de la jueza Karen Atala, argumentando que su orientación sexual (homosexualidad) podía afectar el desarrollo de las niñas.</w:t>
            </w:r>
          </w:p>
        </w:tc>
      </w:tr>
      <w:tr>
        <w:tc>
          <w:tcPr>
            <w:tcW w:type="dxa" w:w="4320"/>
          </w:tcPr>
          <w:p>
            <w:r>
              <w:t>5. Descripción de los Hechos:</w:t>
            </w:r>
          </w:p>
        </w:tc>
        <w:tc>
          <w:tcPr>
            <w:tcW w:type="dxa" w:w="4320"/>
          </w:tcPr>
          <w:p>
            <w:r>
              <w:t>- Karen Atala, jueza chilena, mantuvo una relación con otra mujer tras su divorcio.</w:t>
              <w:br/>
              <w:t>- El padre demandó la custodia, que inicialmente fue otorgada a Atala.</w:t>
              <w:br/>
              <w:t>- La Corte Suprema de Chile revocó la decisión en 2004 y entregó la custodia al padre, basándose en prejuicios sobre la orientación sexual de la madre.</w:t>
              <w:br/>
              <w:t>- La Comisión Interamericana remitió el caso a la Corte IDH, alegando violación de derechos fundamentales.</w:t>
            </w:r>
          </w:p>
        </w:tc>
      </w:tr>
      <w:tr>
        <w:tc>
          <w:tcPr>
            <w:tcW w:type="dxa" w:w="4320"/>
          </w:tcPr>
          <w:p>
            <w:r>
              <w:t>6. Identificación completa y descripción de los Derechos Humanos vulnerados según la Declaración Universal de los Derechos Humanos de 1948:</w:t>
            </w:r>
          </w:p>
        </w:tc>
        <w:tc>
          <w:tcPr>
            <w:tcW w:type="dxa" w:w="4320"/>
          </w:tcPr>
          <w:p>
            <w:r>
              <w:t>- Artículo 2: Derecho a la no discriminación.</w:t>
              <w:br/>
              <w:t>- Artículo 7: Igualdad ante la ley.</w:t>
              <w:br/>
              <w:t>- Artículo 12: Protección a la vida privada y familiar.</w:t>
              <w:br/>
              <w:t>- Artículo 16: Derecho a fundar una familia.</w:t>
              <w:br/>
              <w:t>- Artículo 25: Protección a la maternidad y la infancia.</w:t>
            </w:r>
          </w:p>
        </w:tc>
      </w:tr>
      <w:tr>
        <w:tc>
          <w:tcPr>
            <w:tcW w:type="dxa" w:w="4320"/>
          </w:tcPr>
          <w:p>
            <w:r>
              <w:t>7. ¿Qué otros derechos humanos estiman que fueron vulnerados aparte de los establecidos por la Corte?</w:t>
            </w:r>
          </w:p>
        </w:tc>
        <w:tc>
          <w:tcPr>
            <w:tcW w:type="dxa" w:w="4320"/>
          </w:tcPr>
          <w:p>
            <w:r>
              <w:t>- Artículo 1: Derecho a la dignidad humana.</w:t>
              <w:br/>
              <w:t>- Artículo 19: Libertad de expresión, al restringir la libre manifestación de su identidad personal y orientación sexual.</w:t>
            </w:r>
          </w:p>
        </w:tc>
      </w:tr>
      <w:tr>
        <w:tc>
          <w:tcPr>
            <w:tcW w:type="dxa" w:w="4320"/>
          </w:tcPr>
          <w:p>
            <w:r>
              <w:t>8. ¿Cuál fue la sentencia emitida por la Corte Interamericana de los DD.HH. que trató su caso analizado?</w:t>
            </w:r>
          </w:p>
        </w:tc>
        <w:tc>
          <w:tcPr>
            <w:tcW w:type="dxa" w:w="4320"/>
          </w:tcPr>
          <w:p>
            <w:r>
              <w:t>La Corte IDH concluyó que el Estado chileno violó los artículos 11 (vida privada), 17 (protección a la familia), 19 (derechos del niño) y 24 (igualdad y no discriminación) de la Convención Americana. Determinó que la decisión de la Corte Suprema se basó en estereotipos y prejuicios contrarios al derecho internacional de los derechos humanos.</w:t>
            </w:r>
          </w:p>
        </w:tc>
      </w:tr>
      <w:tr>
        <w:tc>
          <w:tcPr>
            <w:tcW w:type="dxa" w:w="4320"/>
          </w:tcPr>
          <w:p>
            <w:r>
              <w:t>9. ¿Cuál fue la reparación en su caso?</w:t>
            </w:r>
          </w:p>
        </w:tc>
        <w:tc>
          <w:tcPr>
            <w:tcW w:type="dxa" w:w="4320"/>
          </w:tcPr>
          <w:p>
            <w:r>
              <w:t>- El Estado chileno debió garantizar que no se repitan actos de discriminación por orientación sexual.</w:t>
              <w:br/>
              <w:t>- Pago de indemnización a Karen Atala y a sus hijas por daños morales y materiales.</w:t>
              <w:br/>
              <w:t>- Implementación de programas de capacitación sobre derechos humanos y no discriminación en el Poder Judicial.</w:t>
            </w:r>
          </w:p>
        </w:tc>
      </w:tr>
      <w:tr>
        <w:tc>
          <w:tcPr>
            <w:tcW w:type="dxa" w:w="4320"/>
          </w:tcPr>
          <w:p>
            <w:r>
              <w:t>10. ¿Qué aprendizaje les dejó su grupo o dupla el caso estudiado?</w:t>
            </w:r>
          </w:p>
        </w:tc>
        <w:tc>
          <w:tcPr>
            <w:tcW w:type="dxa" w:w="4320"/>
          </w:tcPr>
          <w:p>
            <w:r>
              <w:t>- Que la orientación sexual está protegida frente a la discriminación en el derecho internacional.</w:t>
              <w:br/>
              <w:t>- Que los estereotipos de género y prejuicios no pueden justificar decisiones judiciales.</w:t>
              <w:br/>
              <w:t>- Que el interés superior del niño debe analizarse con criterios objetivos y no discriminatorios.</w:t>
              <w:br/>
              <w:t>- El rol de la Corte IDH en ampliar la protección de grupos históricamente vulnerables, como la comunidad LGBT+.</w:t>
            </w:r>
          </w:p>
        </w:tc>
      </w:tr>
    </w:tbl>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