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FAB" w:rsidRPr="00106C9B" w:rsidRDefault="00106C9B" w:rsidP="00106C9B">
      <w:pPr>
        <w:pStyle w:val="Sinespaciado"/>
        <w:jc w:val="both"/>
        <w:rPr>
          <w:rFonts w:cstheme="minorHAnsi"/>
          <w:b/>
          <w:color w:val="1D2125"/>
          <w:shd w:val="clear" w:color="auto" w:fill="FFFFFF"/>
        </w:rPr>
      </w:pPr>
      <w:r>
        <w:br/>
      </w:r>
      <w:r w:rsidRPr="00106C9B">
        <w:rPr>
          <w:rFonts w:cstheme="minorHAnsi"/>
          <w:b/>
          <w:color w:val="1D2125"/>
          <w:shd w:val="clear" w:color="auto" w:fill="FFFFFF"/>
        </w:rPr>
        <w:t xml:space="preserve">¿Es aplicable el concepto de </w:t>
      </w:r>
      <w:proofErr w:type="spellStart"/>
      <w:r w:rsidRPr="00106C9B">
        <w:rPr>
          <w:rFonts w:cstheme="minorHAnsi"/>
          <w:b/>
          <w:color w:val="1D2125"/>
          <w:shd w:val="clear" w:color="auto" w:fill="FFFFFF"/>
        </w:rPr>
        <w:t>Seabasing</w:t>
      </w:r>
      <w:proofErr w:type="spellEnd"/>
      <w:r w:rsidRPr="00106C9B">
        <w:rPr>
          <w:rFonts w:cstheme="minorHAnsi"/>
          <w:b/>
          <w:color w:val="1D2125"/>
          <w:shd w:val="clear" w:color="auto" w:fill="FFFFFF"/>
        </w:rPr>
        <w:t xml:space="preserve"> para la Armada de Chile? Justifique.</w:t>
      </w:r>
    </w:p>
    <w:p w:rsidR="00106C9B" w:rsidRDefault="00106C9B" w:rsidP="00106C9B">
      <w:pPr>
        <w:pStyle w:val="Sinespaciado"/>
        <w:jc w:val="both"/>
        <w:rPr>
          <w:rFonts w:ascii="Montserrat" w:hAnsi="Montserrat"/>
          <w:b/>
          <w:color w:val="1D2125"/>
          <w:sz w:val="23"/>
          <w:szCs w:val="23"/>
          <w:shd w:val="clear" w:color="auto" w:fill="FFFFFF"/>
        </w:rPr>
      </w:pPr>
    </w:p>
    <w:p w:rsidR="00106C9B" w:rsidRDefault="00106C9B" w:rsidP="00106C9B">
      <w:pPr>
        <w:pStyle w:val="Sinespaciado"/>
        <w:jc w:val="both"/>
        <w:rPr>
          <w:rFonts w:cstheme="minorHAnsi"/>
        </w:rPr>
      </w:pPr>
    </w:p>
    <w:p w:rsidR="00106C9B" w:rsidRDefault="00106C9B" w:rsidP="00106C9B">
      <w:pPr>
        <w:pStyle w:val="Sinespaciado"/>
        <w:jc w:val="both"/>
        <w:rPr>
          <w:rFonts w:cstheme="minorHAnsi"/>
        </w:rPr>
      </w:pPr>
      <w:r>
        <w:rPr>
          <w:rFonts w:cstheme="minorHAnsi"/>
        </w:rPr>
        <w:t xml:space="preserve">El concepto </w:t>
      </w:r>
      <w:proofErr w:type="spellStart"/>
      <w:r>
        <w:rPr>
          <w:rFonts w:cstheme="minorHAnsi"/>
        </w:rPr>
        <w:t>Seabasing</w:t>
      </w:r>
      <w:proofErr w:type="spellEnd"/>
      <w:r>
        <w:rPr>
          <w:rFonts w:cstheme="minorHAnsi"/>
        </w:rPr>
        <w:t xml:space="preserve">, desarrollado por la Armada de Estados Unidos, es referido a la capacidad de mejorar el apoyo logístico a las fuerzas operativas conjuntas </w:t>
      </w:r>
      <w:sdt>
        <w:sdtPr>
          <w:rPr>
            <w:rFonts w:cstheme="minorHAnsi"/>
          </w:rPr>
          <w:id w:val="497779507"/>
          <w:citation/>
        </w:sdtPr>
        <w:sdtContent>
          <w:r>
            <w:rPr>
              <w:rFonts w:cstheme="minorHAnsi"/>
            </w:rPr>
            <w:fldChar w:fldCharType="begin"/>
          </w:r>
          <w:r>
            <w:rPr>
              <w:rFonts w:cstheme="minorHAnsi"/>
              <w:lang w:val="es-MX"/>
            </w:rPr>
            <w:instrText xml:space="preserve"> CITATION Aca24 \l 2058 </w:instrText>
          </w:r>
          <w:r>
            <w:rPr>
              <w:rFonts w:cstheme="minorHAnsi"/>
            </w:rPr>
            <w:fldChar w:fldCharType="separate"/>
          </w:r>
          <w:r w:rsidRPr="00106C9B">
            <w:rPr>
              <w:rFonts w:cstheme="minorHAnsi"/>
              <w:noProof/>
              <w:lang w:val="es-MX"/>
            </w:rPr>
            <w:t>(Academia de Guerra Naval, 2024)</w:t>
          </w:r>
          <w:r>
            <w:rPr>
              <w:rFonts w:cstheme="minorHAnsi"/>
            </w:rPr>
            <w:fldChar w:fldCharType="end"/>
          </w:r>
        </w:sdtContent>
      </w:sdt>
      <w:r>
        <w:rPr>
          <w:rFonts w:cstheme="minorHAnsi"/>
        </w:rPr>
        <w:t>. Dentro de la concepción</w:t>
      </w:r>
      <w:r w:rsidR="00D11B1D">
        <w:rPr>
          <w:rFonts w:cstheme="minorHAnsi"/>
        </w:rPr>
        <w:t xml:space="preserve"> estratégica</w:t>
      </w:r>
      <w:r>
        <w:rPr>
          <w:rFonts w:cstheme="minorHAnsi"/>
        </w:rPr>
        <w:t xml:space="preserve"> estadounidense </w:t>
      </w:r>
      <w:r w:rsidRPr="00D11B1D">
        <w:rPr>
          <w:rFonts w:cstheme="minorHAnsi"/>
          <w:i/>
        </w:rPr>
        <w:t xml:space="preserve">Sea </w:t>
      </w:r>
      <w:proofErr w:type="spellStart"/>
      <w:r w:rsidRPr="00D11B1D">
        <w:rPr>
          <w:rFonts w:cstheme="minorHAnsi"/>
          <w:i/>
        </w:rPr>
        <w:t>Power</w:t>
      </w:r>
      <w:proofErr w:type="spellEnd"/>
      <w:r w:rsidRPr="00D11B1D">
        <w:rPr>
          <w:rFonts w:cstheme="minorHAnsi"/>
          <w:i/>
        </w:rPr>
        <w:t xml:space="preserve"> 21</w:t>
      </w:r>
      <w:r w:rsidR="00D11B1D">
        <w:rPr>
          <w:rFonts w:cstheme="minorHAnsi"/>
          <w:i/>
        </w:rPr>
        <w:t xml:space="preserve">, </w:t>
      </w:r>
      <w:r w:rsidR="00FD13BC">
        <w:rPr>
          <w:rFonts w:cstheme="minorHAnsi"/>
        </w:rPr>
        <w:t xml:space="preserve">el </w:t>
      </w:r>
      <w:proofErr w:type="spellStart"/>
      <w:r w:rsidR="00FD13BC">
        <w:rPr>
          <w:rFonts w:cstheme="minorHAnsi"/>
        </w:rPr>
        <w:t>Seabasing</w:t>
      </w:r>
      <w:proofErr w:type="spellEnd"/>
      <w:r w:rsidR="00FD13BC">
        <w:rPr>
          <w:rFonts w:cstheme="minorHAnsi"/>
        </w:rPr>
        <w:t xml:space="preserve"> se define como la implementación de súper bases flotantes, con capacidad de apoyo logístico a todos sus niveles, a flote y en cualquier lugar del mundo, permitiendo a su vez, evitar el uso de bases extranjeras con los respectivos permisos requeridos </w:t>
      </w:r>
      <w:sdt>
        <w:sdtPr>
          <w:rPr>
            <w:rFonts w:cstheme="minorHAnsi"/>
          </w:rPr>
          <w:id w:val="-1503040101"/>
          <w:citation/>
        </w:sdtPr>
        <w:sdtContent>
          <w:r w:rsidR="00FD13BC">
            <w:rPr>
              <w:rFonts w:cstheme="minorHAnsi"/>
            </w:rPr>
            <w:fldChar w:fldCharType="begin"/>
          </w:r>
          <w:r w:rsidR="00FD13BC">
            <w:rPr>
              <w:rFonts w:cstheme="minorHAnsi"/>
              <w:lang w:val="es-MX"/>
            </w:rPr>
            <w:instrText xml:space="preserve"> CITATION Kur02 \l 2058 </w:instrText>
          </w:r>
          <w:r w:rsidR="00FD13BC">
            <w:rPr>
              <w:rFonts w:cstheme="minorHAnsi"/>
            </w:rPr>
            <w:fldChar w:fldCharType="separate"/>
          </w:r>
          <w:r w:rsidR="00FD13BC" w:rsidRPr="00FD13BC">
            <w:rPr>
              <w:rFonts w:cstheme="minorHAnsi"/>
              <w:noProof/>
              <w:lang w:val="es-MX"/>
            </w:rPr>
            <w:t>(Hartung, 2002)</w:t>
          </w:r>
          <w:r w:rsidR="00FD13BC">
            <w:rPr>
              <w:rFonts w:cstheme="minorHAnsi"/>
            </w:rPr>
            <w:fldChar w:fldCharType="end"/>
          </w:r>
        </w:sdtContent>
      </w:sdt>
      <w:r w:rsidR="008770C6">
        <w:rPr>
          <w:rFonts w:cstheme="minorHAnsi"/>
        </w:rPr>
        <w:t>. Se debe tener presente que pertenece a los conceptos integrados conjuntos de Estados Unidos (JIC), y que busca</w:t>
      </w:r>
      <w:r w:rsidR="00E37E62">
        <w:rPr>
          <w:rFonts w:cstheme="minorHAnsi"/>
        </w:rPr>
        <w:t xml:space="preserve"> la</w:t>
      </w:r>
      <w:r w:rsidR="008770C6">
        <w:rPr>
          <w:rFonts w:cstheme="minorHAnsi"/>
        </w:rPr>
        <w:t xml:space="preserve"> protección, conducción y apoyo a</w:t>
      </w:r>
      <w:r w:rsidR="00E37E62">
        <w:rPr>
          <w:rFonts w:cstheme="minorHAnsi"/>
        </w:rPr>
        <w:t xml:space="preserve"> las</w:t>
      </w:r>
      <w:r w:rsidR="008770C6">
        <w:rPr>
          <w:rFonts w:cstheme="minorHAnsi"/>
        </w:rPr>
        <w:t xml:space="preserve"> fuerzas conjuntas desplegadas, desde el mar, expandiendo las alternativas de capacidad de maniobra operacional </w:t>
      </w:r>
      <w:sdt>
        <w:sdtPr>
          <w:rPr>
            <w:rFonts w:cstheme="minorHAnsi"/>
          </w:rPr>
          <w:id w:val="1413272254"/>
          <w:citation/>
        </w:sdtPr>
        <w:sdtContent>
          <w:r w:rsidR="008770C6">
            <w:rPr>
              <w:rFonts w:cstheme="minorHAnsi"/>
            </w:rPr>
            <w:fldChar w:fldCharType="begin"/>
          </w:r>
          <w:r w:rsidR="008770C6">
            <w:rPr>
              <w:rFonts w:cstheme="minorHAnsi"/>
              <w:lang w:val="es-MX"/>
            </w:rPr>
            <w:instrText xml:space="preserve"> CITATION Dep05 \l 2058 </w:instrText>
          </w:r>
          <w:r w:rsidR="008770C6">
            <w:rPr>
              <w:rFonts w:cstheme="minorHAnsi"/>
            </w:rPr>
            <w:fldChar w:fldCharType="separate"/>
          </w:r>
          <w:r w:rsidR="008770C6" w:rsidRPr="008770C6">
            <w:rPr>
              <w:rFonts w:cstheme="minorHAnsi"/>
              <w:noProof/>
              <w:lang w:val="es-MX"/>
            </w:rPr>
            <w:t>(Departmen of Defense, 2005)</w:t>
          </w:r>
          <w:r w:rsidR="008770C6">
            <w:rPr>
              <w:rFonts w:cstheme="minorHAnsi"/>
            </w:rPr>
            <w:fldChar w:fldCharType="end"/>
          </w:r>
        </w:sdtContent>
      </w:sdt>
      <w:r w:rsidR="008770C6">
        <w:rPr>
          <w:rFonts w:cstheme="minorHAnsi"/>
        </w:rPr>
        <w:t>.</w:t>
      </w:r>
    </w:p>
    <w:p w:rsidR="008770C6" w:rsidRDefault="008770C6" w:rsidP="00106C9B">
      <w:pPr>
        <w:pStyle w:val="Sinespaciado"/>
        <w:jc w:val="both"/>
        <w:rPr>
          <w:rFonts w:cstheme="minorHAnsi"/>
        </w:rPr>
      </w:pPr>
    </w:p>
    <w:p w:rsidR="008770C6" w:rsidRDefault="009C10EB" w:rsidP="00106C9B">
      <w:pPr>
        <w:pStyle w:val="Sinespaciado"/>
        <w:jc w:val="both"/>
        <w:rPr>
          <w:rFonts w:cstheme="minorHAnsi"/>
        </w:rPr>
      </w:pPr>
      <w:r>
        <w:rPr>
          <w:rFonts w:cstheme="minorHAnsi"/>
        </w:rPr>
        <w:t>Con relación a la materia, este concepto está dentro de lo que, como institución, definimos como Órganos de Apoyo Logístico</w:t>
      </w:r>
      <w:r w:rsidR="00890C43">
        <w:rPr>
          <w:rFonts w:cstheme="minorHAnsi"/>
        </w:rPr>
        <w:t xml:space="preserve"> (OAL)</w:t>
      </w:r>
      <w:r>
        <w:rPr>
          <w:rFonts w:cstheme="minorHAnsi"/>
        </w:rPr>
        <w:t xml:space="preserve">, siendo considerado como el punto de aplicación del esfuerzo logístico </w:t>
      </w:r>
      <w:sdt>
        <w:sdtPr>
          <w:rPr>
            <w:rFonts w:cstheme="minorHAnsi"/>
          </w:rPr>
          <w:id w:val="-2082512148"/>
          <w:citation/>
        </w:sdtPr>
        <w:sdtContent>
          <w:r>
            <w:rPr>
              <w:rFonts w:cstheme="minorHAnsi"/>
            </w:rPr>
            <w:fldChar w:fldCharType="begin"/>
          </w:r>
          <w:r>
            <w:rPr>
              <w:rFonts w:cstheme="minorHAnsi"/>
              <w:lang w:val="es-MX"/>
            </w:rPr>
            <w:instrText xml:space="preserve"> CITATION Aca24 \l 2058 </w:instrText>
          </w:r>
          <w:r>
            <w:rPr>
              <w:rFonts w:cstheme="minorHAnsi"/>
            </w:rPr>
            <w:fldChar w:fldCharType="separate"/>
          </w:r>
          <w:r w:rsidRPr="009C10EB">
            <w:rPr>
              <w:rFonts w:cstheme="minorHAnsi"/>
              <w:noProof/>
              <w:lang w:val="es-MX"/>
            </w:rPr>
            <w:t>(Academia de Guerra Naval, 2024)</w:t>
          </w:r>
          <w:r>
            <w:rPr>
              <w:rFonts w:cstheme="minorHAnsi"/>
            </w:rPr>
            <w:fldChar w:fldCharType="end"/>
          </w:r>
        </w:sdtContent>
      </w:sdt>
      <w:r>
        <w:rPr>
          <w:rFonts w:cstheme="minorHAnsi"/>
        </w:rPr>
        <w:t xml:space="preserve">. </w:t>
      </w:r>
      <w:r w:rsidR="00911C90">
        <w:rPr>
          <w:rFonts w:cstheme="minorHAnsi"/>
        </w:rPr>
        <w:t xml:space="preserve">Son aquellos elementos que materializan la solución teórica del problema logístico a través de una acción ejecutora, definidos como elementos de acción operativa </w:t>
      </w:r>
      <w:sdt>
        <w:sdtPr>
          <w:rPr>
            <w:rFonts w:cstheme="minorHAnsi"/>
          </w:rPr>
          <w:id w:val="-1462963035"/>
          <w:citation/>
        </w:sdtPr>
        <w:sdtContent>
          <w:r w:rsidR="00911C90">
            <w:rPr>
              <w:rFonts w:cstheme="minorHAnsi"/>
            </w:rPr>
            <w:fldChar w:fldCharType="begin"/>
          </w:r>
          <w:r w:rsidR="00911C90">
            <w:rPr>
              <w:rFonts w:cstheme="minorHAnsi"/>
              <w:lang w:val="es-MX"/>
            </w:rPr>
            <w:instrText xml:space="preserve"> CITATION Hug19 \l 2058 </w:instrText>
          </w:r>
          <w:r w:rsidR="00911C90">
            <w:rPr>
              <w:rFonts w:cstheme="minorHAnsi"/>
            </w:rPr>
            <w:fldChar w:fldCharType="separate"/>
          </w:r>
          <w:r w:rsidR="00911C90" w:rsidRPr="00911C90">
            <w:rPr>
              <w:rFonts w:cstheme="minorHAnsi"/>
              <w:noProof/>
              <w:lang w:val="es-MX"/>
            </w:rPr>
            <w:t>(Fontena, 2019)</w:t>
          </w:r>
          <w:r w:rsidR="00911C90">
            <w:rPr>
              <w:rFonts w:cstheme="minorHAnsi"/>
            </w:rPr>
            <w:fldChar w:fldCharType="end"/>
          </w:r>
        </w:sdtContent>
      </w:sdt>
      <w:r w:rsidR="00911C90">
        <w:rPr>
          <w:rFonts w:cstheme="minorHAnsi"/>
        </w:rPr>
        <w:t xml:space="preserve">. Institucionalmente, se clasifican según su función de movilidad, por lo cuales existen aquellos de apoyo logístico estáticos (bases y estaciones navales y aeronavales, e instalaciones menores) y dinámicos (bases navales flotantes, GRAM y unidades de apoyo logístico), constituyendo los eslabones de la cadena de apoyo logístico, estableciendo, a su vez, </w:t>
      </w:r>
      <w:r w:rsidR="003A654B">
        <w:rPr>
          <w:rFonts w:cstheme="minorHAnsi"/>
        </w:rPr>
        <w:t xml:space="preserve">las líneas de comunicaciones </w:t>
      </w:r>
      <w:sdt>
        <w:sdtPr>
          <w:rPr>
            <w:rFonts w:cstheme="minorHAnsi"/>
          </w:rPr>
          <w:id w:val="1738660271"/>
          <w:citation/>
        </w:sdtPr>
        <w:sdtContent>
          <w:r w:rsidR="003A654B">
            <w:rPr>
              <w:rFonts w:cstheme="minorHAnsi"/>
            </w:rPr>
            <w:fldChar w:fldCharType="begin"/>
          </w:r>
          <w:r w:rsidR="003A654B">
            <w:rPr>
              <w:rFonts w:cstheme="minorHAnsi"/>
              <w:lang w:val="es-MX"/>
            </w:rPr>
            <w:instrText xml:space="preserve"> CITATION Hug19 \l 2058 </w:instrText>
          </w:r>
          <w:r w:rsidR="003A654B">
            <w:rPr>
              <w:rFonts w:cstheme="minorHAnsi"/>
            </w:rPr>
            <w:fldChar w:fldCharType="separate"/>
          </w:r>
          <w:r w:rsidR="003A654B" w:rsidRPr="003A654B">
            <w:rPr>
              <w:rFonts w:cstheme="minorHAnsi"/>
              <w:noProof/>
              <w:lang w:val="es-MX"/>
            </w:rPr>
            <w:t>(Fontena, 2019)</w:t>
          </w:r>
          <w:r w:rsidR="003A654B">
            <w:rPr>
              <w:rFonts w:cstheme="minorHAnsi"/>
            </w:rPr>
            <w:fldChar w:fldCharType="end"/>
          </w:r>
        </w:sdtContent>
      </w:sdt>
      <w:r w:rsidR="003A654B">
        <w:rPr>
          <w:rFonts w:cstheme="minorHAnsi"/>
        </w:rPr>
        <w:t>.</w:t>
      </w:r>
    </w:p>
    <w:p w:rsidR="003A654B" w:rsidRDefault="003A654B" w:rsidP="00106C9B">
      <w:pPr>
        <w:pStyle w:val="Sinespaciado"/>
        <w:jc w:val="both"/>
        <w:rPr>
          <w:rFonts w:cstheme="minorHAnsi"/>
        </w:rPr>
      </w:pPr>
    </w:p>
    <w:p w:rsidR="003A654B" w:rsidRDefault="00E37E62" w:rsidP="00106C9B">
      <w:pPr>
        <w:pStyle w:val="Sinespaciado"/>
        <w:jc w:val="both"/>
        <w:rPr>
          <w:rFonts w:cstheme="minorHAnsi"/>
        </w:rPr>
      </w:pPr>
      <w:r>
        <w:rPr>
          <w:rFonts w:cstheme="minorHAnsi"/>
        </w:rPr>
        <w:t xml:space="preserve">Al comparar el concepto de </w:t>
      </w:r>
      <w:proofErr w:type="spellStart"/>
      <w:r>
        <w:rPr>
          <w:rFonts w:cstheme="minorHAnsi"/>
        </w:rPr>
        <w:t>Seabasing</w:t>
      </w:r>
      <w:proofErr w:type="spellEnd"/>
      <w:r>
        <w:rPr>
          <w:rFonts w:cstheme="minorHAnsi"/>
        </w:rPr>
        <w:t xml:space="preserve"> con la logística institucional, </w:t>
      </w:r>
      <w:r w:rsidR="0015294A">
        <w:rPr>
          <w:rFonts w:cstheme="minorHAnsi"/>
        </w:rPr>
        <w:t xml:space="preserve">se podría relacionar con un órgano de apoyo logístico dinámico, principalmente a una base naval flotante. </w:t>
      </w:r>
      <w:r w:rsidR="00EF5444">
        <w:rPr>
          <w:rFonts w:cstheme="minorHAnsi"/>
        </w:rPr>
        <w:t>La diferencia radica principalmente en los medios desplegados con que cuenta la Armada de Estados Unidos</w:t>
      </w:r>
      <w:r w:rsidR="00586B11">
        <w:rPr>
          <w:rFonts w:cstheme="minorHAnsi"/>
        </w:rPr>
        <w:t xml:space="preserve"> </w:t>
      </w:r>
      <w:r w:rsidR="000D4006">
        <w:rPr>
          <w:rFonts w:cstheme="minorHAnsi"/>
        </w:rPr>
        <w:t>para posicionarla, operarla y defenderla</w:t>
      </w:r>
      <w:r w:rsidR="00EF5444">
        <w:rPr>
          <w:rFonts w:cstheme="minorHAnsi"/>
        </w:rPr>
        <w:t xml:space="preserve">, y más aún con la reciente construcción de los </w:t>
      </w:r>
      <w:proofErr w:type="spellStart"/>
      <w:r w:rsidR="00EF5444">
        <w:rPr>
          <w:rFonts w:cstheme="minorHAnsi"/>
        </w:rPr>
        <w:t>Expeditionary</w:t>
      </w:r>
      <w:proofErr w:type="spellEnd"/>
      <w:r w:rsidR="00EF5444">
        <w:rPr>
          <w:rFonts w:cstheme="minorHAnsi"/>
        </w:rPr>
        <w:t xml:space="preserve"> Sea Base, buques que desplazan 80 mil toneladas y </w:t>
      </w:r>
      <w:r w:rsidR="00436D1C">
        <w:rPr>
          <w:rFonts w:cstheme="minorHAnsi"/>
        </w:rPr>
        <w:t>disponibles para</w:t>
      </w:r>
      <w:r w:rsidR="00EF5444">
        <w:rPr>
          <w:rFonts w:cstheme="minorHAnsi"/>
        </w:rPr>
        <w:t xml:space="preserve"> </w:t>
      </w:r>
      <w:r w:rsidR="00436D1C">
        <w:rPr>
          <w:rFonts w:cstheme="minorHAnsi"/>
        </w:rPr>
        <w:t>recibir</w:t>
      </w:r>
      <w:r w:rsidR="00EF5444">
        <w:rPr>
          <w:rFonts w:cstheme="minorHAnsi"/>
        </w:rPr>
        <w:t xml:space="preserve"> 800 personas, siendo capaces de apoyar operaciones áreas</w:t>
      </w:r>
      <w:r w:rsidR="00436D1C">
        <w:rPr>
          <w:rFonts w:cstheme="minorHAnsi"/>
        </w:rPr>
        <w:t xml:space="preserve">, almacenar repuestos, armas, municiones, vehículos y realizar la entrega de combustible </w:t>
      </w:r>
      <w:sdt>
        <w:sdtPr>
          <w:rPr>
            <w:rFonts w:cstheme="minorHAnsi"/>
          </w:rPr>
          <w:id w:val="1907485822"/>
          <w:citation/>
        </w:sdtPr>
        <w:sdtContent>
          <w:r w:rsidR="00436D1C">
            <w:rPr>
              <w:rFonts w:cstheme="minorHAnsi"/>
            </w:rPr>
            <w:fldChar w:fldCharType="begin"/>
          </w:r>
          <w:r w:rsidR="00436D1C">
            <w:rPr>
              <w:rFonts w:cstheme="minorHAnsi"/>
              <w:lang w:val="es-MX"/>
            </w:rPr>
            <w:instrText xml:space="preserve"> CITATION USN24 \l 2058 </w:instrText>
          </w:r>
          <w:r w:rsidR="00436D1C">
            <w:rPr>
              <w:rFonts w:cstheme="minorHAnsi"/>
            </w:rPr>
            <w:fldChar w:fldCharType="separate"/>
          </w:r>
          <w:r w:rsidR="00436D1C" w:rsidRPr="00436D1C">
            <w:rPr>
              <w:rFonts w:cstheme="minorHAnsi"/>
              <w:noProof/>
              <w:lang w:val="es-MX"/>
            </w:rPr>
            <w:t>(US Navy, 2024)</w:t>
          </w:r>
          <w:r w:rsidR="00436D1C">
            <w:rPr>
              <w:rFonts w:cstheme="minorHAnsi"/>
            </w:rPr>
            <w:fldChar w:fldCharType="end"/>
          </w:r>
        </w:sdtContent>
      </w:sdt>
      <w:r w:rsidR="00F26E78">
        <w:rPr>
          <w:rFonts w:cstheme="minorHAnsi"/>
        </w:rPr>
        <w:t xml:space="preserve">. Son los primeros buques estadounidenses diseñados y construidos específicamente como bases flotantes, siendo la unidad ejecutora del concepto </w:t>
      </w:r>
      <w:proofErr w:type="spellStart"/>
      <w:r w:rsidR="00F26E78">
        <w:rPr>
          <w:rFonts w:cstheme="minorHAnsi"/>
        </w:rPr>
        <w:t>Seabasing</w:t>
      </w:r>
      <w:proofErr w:type="spellEnd"/>
      <w:r w:rsidR="00F26E78">
        <w:rPr>
          <w:rFonts w:cstheme="minorHAnsi"/>
        </w:rPr>
        <w:t xml:space="preserve">, permitiéndole a una fuerza expedicionaria o fuerza de ataque operar desde el mar en un teatro de operaciones sin perder la cadena de suministros, por un tiempo prolongado </w:t>
      </w:r>
      <w:sdt>
        <w:sdtPr>
          <w:rPr>
            <w:rFonts w:cstheme="minorHAnsi"/>
          </w:rPr>
          <w:id w:val="1889450383"/>
          <w:citation/>
        </w:sdtPr>
        <w:sdtContent>
          <w:r w:rsidR="00F26E78">
            <w:rPr>
              <w:rFonts w:cstheme="minorHAnsi"/>
            </w:rPr>
            <w:fldChar w:fldCharType="begin"/>
          </w:r>
          <w:r w:rsidR="00F26E78">
            <w:rPr>
              <w:rFonts w:cstheme="minorHAnsi"/>
              <w:lang w:val="es-MX"/>
            </w:rPr>
            <w:instrText xml:space="preserve"> CITATION Jos19 \l 2058 </w:instrText>
          </w:r>
          <w:r w:rsidR="00F26E78">
            <w:rPr>
              <w:rFonts w:cstheme="minorHAnsi"/>
            </w:rPr>
            <w:fldChar w:fldCharType="separate"/>
          </w:r>
          <w:r w:rsidR="00F26E78" w:rsidRPr="00F26E78">
            <w:rPr>
              <w:rFonts w:cstheme="minorHAnsi"/>
              <w:noProof/>
              <w:lang w:val="es-MX"/>
            </w:rPr>
            <w:t>(Navarro, 2019)</w:t>
          </w:r>
          <w:r w:rsidR="00F26E78">
            <w:rPr>
              <w:rFonts w:cstheme="minorHAnsi"/>
            </w:rPr>
            <w:fldChar w:fldCharType="end"/>
          </w:r>
        </w:sdtContent>
      </w:sdt>
      <w:r w:rsidR="00F26E78">
        <w:rPr>
          <w:rFonts w:cstheme="minorHAnsi"/>
        </w:rPr>
        <w:t>.</w:t>
      </w:r>
    </w:p>
    <w:p w:rsidR="00F26E78" w:rsidRDefault="00F26E78" w:rsidP="00106C9B">
      <w:pPr>
        <w:pStyle w:val="Sinespaciado"/>
        <w:jc w:val="both"/>
        <w:rPr>
          <w:rFonts w:cstheme="minorHAnsi"/>
        </w:rPr>
      </w:pPr>
    </w:p>
    <w:p w:rsidR="00F26E78" w:rsidRDefault="00CB62A8" w:rsidP="00106C9B">
      <w:pPr>
        <w:pStyle w:val="Sinespaciado"/>
        <w:jc w:val="both"/>
        <w:rPr>
          <w:rFonts w:cstheme="minorHAnsi"/>
        </w:rPr>
      </w:pPr>
      <w:r>
        <w:rPr>
          <w:rFonts w:cstheme="minorHAnsi"/>
        </w:rPr>
        <w:t xml:space="preserve">Lo anterior demuestra que para Estados Unidos ya no es solo un concepto sino una estrategia de como proyectar sus fuerzas a nivel global, y todo el soporte logístico requerido para tal efecto. Esta idea la han transformado en una realidad, que, por medio de la asignación de recursos, han construido unidades para tal efecto. Cabe mencionar que dentro de la política de defensa estadounidense se encuentra presente la defensa de los intereses de Estados Unidos en el mundo, siendo imperativo </w:t>
      </w:r>
      <w:r w:rsidR="001C0920">
        <w:rPr>
          <w:rFonts w:cstheme="minorHAnsi"/>
        </w:rPr>
        <w:t xml:space="preserve">tener y mantener la capacidad de un despliegue rápido en cualquier lugar </w:t>
      </w:r>
      <w:sdt>
        <w:sdtPr>
          <w:rPr>
            <w:rFonts w:cstheme="minorHAnsi"/>
          </w:rPr>
          <w:id w:val="-1880928447"/>
          <w:citation/>
        </w:sdtPr>
        <w:sdtContent>
          <w:r w:rsidR="001C0920">
            <w:rPr>
              <w:rFonts w:cstheme="minorHAnsi"/>
            </w:rPr>
            <w:fldChar w:fldCharType="begin"/>
          </w:r>
          <w:r w:rsidR="001C0920">
            <w:rPr>
              <w:rFonts w:cstheme="minorHAnsi"/>
              <w:lang w:val="es-MX"/>
            </w:rPr>
            <w:instrText xml:space="preserve"> CITATION Dep24 \l 2058 </w:instrText>
          </w:r>
          <w:r w:rsidR="001C0920">
            <w:rPr>
              <w:rFonts w:cstheme="minorHAnsi"/>
            </w:rPr>
            <w:fldChar w:fldCharType="separate"/>
          </w:r>
          <w:r w:rsidR="001C0920" w:rsidRPr="001C0920">
            <w:rPr>
              <w:rFonts w:cstheme="minorHAnsi"/>
              <w:noProof/>
              <w:lang w:val="es-MX"/>
            </w:rPr>
            <w:t>(Department of Defense, 2024)</w:t>
          </w:r>
          <w:r w:rsidR="001C0920">
            <w:rPr>
              <w:rFonts w:cstheme="minorHAnsi"/>
            </w:rPr>
            <w:fldChar w:fldCharType="end"/>
          </w:r>
        </w:sdtContent>
      </w:sdt>
      <w:r w:rsidR="001C0920">
        <w:rPr>
          <w:rFonts w:cstheme="minorHAnsi"/>
        </w:rPr>
        <w:t>.</w:t>
      </w:r>
    </w:p>
    <w:p w:rsidR="0050433C" w:rsidRDefault="0050433C" w:rsidP="00106C9B">
      <w:pPr>
        <w:pStyle w:val="Sinespaciado"/>
        <w:jc w:val="both"/>
        <w:rPr>
          <w:rFonts w:cstheme="minorHAnsi"/>
        </w:rPr>
      </w:pPr>
    </w:p>
    <w:p w:rsidR="0050433C" w:rsidRDefault="0050433C" w:rsidP="00106C9B">
      <w:pPr>
        <w:pStyle w:val="Sinespaciado"/>
        <w:jc w:val="both"/>
        <w:rPr>
          <w:rFonts w:cstheme="minorHAnsi"/>
        </w:rPr>
      </w:pPr>
      <w:r>
        <w:rPr>
          <w:rFonts w:cstheme="minorHAnsi"/>
        </w:rPr>
        <w:t>Con respecto a su aplicabilidad en nuestra institución, estimo que difiere de nuestra realidad operacional, ya que nuestra política de defensa pretende la soberanía, integridad territorial y la independencia política del país, buscando disuadir y prevenir el uso de fuerza militar sobre nuestro país, en un entorno principalmente regional</w:t>
      </w:r>
      <w:r w:rsidR="00890C43">
        <w:rPr>
          <w:rFonts w:cstheme="minorHAnsi"/>
        </w:rPr>
        <w:t xml:space="preserve">, no comparable con el fundamento de este concepto </w:t>
      </w:r>
      <w:r w:rsidR="00890C43">
        <w:rPr>
          <w:rFonts w:cstheme="minorHAnsi"/>
        </w:rPr>
        <w:lastRenderedPageBreak/>
        <w:t xml:space="preserve">de proyección de fuerzas lejos de los órganos logísticos estáticos </w:t>
      </w:r>
      <w:sdt>
        <w:sdtPr>
          <w:rPr>
            <w:rFonts w:cstheme="minorHAnsi"/>
          </w:rPr>
          <w:id w:val="777375963"/>
          <w:citation/>
        </w:sdtPr>
        <w:sdtContent>
          <w:r>
            <w:rPr>
              <w:rFonts w:cstheme="minorHAnsi"/>
            </w:rPr>
            <w:fldChar w:fldCharType="begin"/>
          </w:r>
          <w:r>
            <w:rPr>
              <w:rFonts w:cstheme="minorHAnsi"/>
              <w:lang w:val="es-MX"/>
            </w:rPr>
            <w:instrText xml:space="preserve"> CITATION Min20 \l 2058 </w:instrText>
          </w:r>
          <w:r>
            <w:rPr>
              <w:rFonts w:cstheme="minorHAnsi"/>
            </w:rPr>
            <w:fldChar w:fldCharType="separate"/>
          </w:r>
          <w:r w:rsidRPr="0050433C">
            <w:rPr>
              <w:rFonts w:cstheme="minorHAnsi"/>
              <w:noProof/>
              <w:lang w:val="es-MX"/>
            </w:rPr>
            <w:t>(Ministerio de Defensa, 2020)</w:t>
          </w:r>
          <w:r>
            <w:rPr>
              <w:rFonts w:cstheme="minorHAnsi"/>
            </w:rPr>
            <w:fldChar w:fldCharType="end"/>
          </w:r>
        </w:sdtContent>
      </w:sdt>
      <w:r>
        <w:rPr>
          <w:rFonts w:cstheme="minorHAnsi"/>
        </w:rPr>
        <w:t xml:space="preserve">. </w:t>
      </w:r>
      <w:r w:rsidR="00890C43">
        <w:rPr>
          <w:rFonts w:cstheme="minorHAnsi"/>
        </w:rPr>
        <w:t>Si bien creo que es un concepto no aplicable</w:t>
      </w:r>
      <w:r w:rsidR="005F6CC3">
        <w:rPr>
          <w:rFonts w:cstheme="minorHAnsi"/>
        </w:rPr>
        <w:t xml:space="preserve"> por abarcar realidades económicas diferentes</w:t>
      </w:r>
      <w:bookmarkStart w:id="0" w:name="_GoBack"/>
      <w:bookmarkEnd w:id="0"/>
      <w:r w:rsidR="00890C43">
        <w:rPr>
          <w:rFonts w:cstheme="minorHAnsi"/>
        </w:rPr>
        <w:t xml:space="preserve">, hay ciertos aspectos rescatables de aprendizaje para mejorar nuestro sistema logístico y que herramientas o características podrían contar futuros OAL nacionales para satisfacer de mejor manera a las fuerzas desplegadas. Finalmente, </w:t>
      </w:r>
      <w:r w:rsidR="00B90624">
        <w:rPr>
          <w:rFonts w:cstheme="minorHAnsi"/>
        </w:rPr>
        <w:t xml:space="preserve">considero que la esencia conjunta del concepto, alejada del funcionamiento nacional, debería orientar los esfuerzos por la profundización logística de lo conjunto, objeto lograr mejor gestión de los recursos y mejor apoyo a las operaciones </w:t>
      </w:r>
      <w:sdt>
        <w:sdtPr>
          <w:rPr>
            <w:rFonts w:cstheme="minorHAnsi"/>
          </w:rPr>
          <w:id w:val="-654756103"/>
          <w:citation/>
        </w:sdtPr>
        <w:sdtContent>
          <w:r w:rsidR="00B90624">
            <w:rPr>
              <w:rFonts w:cstheme="minorHAnsi"/>
            </w:rPr>
            <w:fldChar w:fldCharType="begin"/>
          </w:r>
          <w:r w:rsidR="00B90624">
            <w:rPr>
              <w:rFonts w:cstheme="minorHAnsi"/>
              <w:lang w:val="es-MX"/>
            </w:rPr>
            <w:instrText xml:space="preserve"> CITATION Hug16 \l 2058 </w:instrText>
          </w:r>
          <w:r w:rsidR="00B90624">
            <w:rPr>
              <w:rFonts w:cstheme="minorHAnsi"/>
            </w:rPr>
            <w:fldChar w:fldCharType="separate"/>
          </w:r>
          <w:r w:rsidR="00B90624" w:rsidRPr="00B90624">
            <w:rPr>
              <w:rFonts w:cstheme="minorHAnsi"/>
              <w:noProof/>
              <w:lang w:val="es-MX"/>
            </w:rPr>
            <w:t>(Fontena, Logística Conjunta. Reflexiones, 2016)</w:t>
          </w:r>
          <w:r w:rsidR="00B90624">
            <w:rPr>
              <w:rFonts w:cstheme="minorHAnsi"/>
            </w:rPr>
            <w:fldChar w:fldCharType="end"/>
          </w:r>
        </w:sdtContent>
      </w:sdt>
      <w:r w:rsidR="00B90624">
        <w:rPr>
          <w:rFonts w:cstheme="minorHAnsi"/>
        </w:rPr>
        <w:t>.</w:t>
      </w:r>
    </w:p>
    <w:p w:rsidR="00B90624" w:rsidRDefault="00B90624" w:rsidP="00106C9B">
      <w:pPr>
        <w:pStyle w:val="Sinespaciado"/>
        <w:jc w:val="both"/>
        <w:rPr>
          <w:rFonts w:cstheme="minorHAnsi"/>
        </w:rPr>
      </w:pPr>
    </w:p>
    <w:sdt>
      <w:sdtPr>
        <w:rPr>
          <w:lang w:val="es-ES"/>
        </w:rPr>
        <w:id w:val="-142118604"/>
        <w:docPartObj>
          <w:docPartGallery w:val="Bibliographies"/>
          <w:docPartUnique/>
        </w:docPartObj>
      </w:sdtPr>
      <w:sdtEndPr>
        <w:rPr>
          <w:rFonts w:asciiTheme="minorHAnsi" w:eastAsiaTheme="minorHAnsi" w:hAnsiTheme="minorHAnsi" w:cstheme="minorBidi"/>
          <w:color w:val="auto"/>
          <w:sz w:val="22"/>
          <w:szCs w:val="22"/>
          <w:lang w:val="es-CL" w:eastAsia="en-US"/>
        </w:rPr>
      </w:sdtEndPr>
      <w:sdtContent>
        <w:p w:rsidR="00B90624" w:rsidRDefault="00B90624">
          <w:pPr>
            <w:pStyle w:val="Ttulo1"/>
          </w:pPr>
          <w:r>
            <w:rPr>
              <w:lang w:val="es-ES"/>
            </w:rPr>
            <w:t>Referencias</w:t>
          </w:r>
        </w:p>
        <w:sdt>
          <w:sdtPr>
            <w:id w:val="-573587230"/>
            <w:bibliography/>
          </w:sdtPr>
          <w:sdtContent>
            <w:p w:rsidR="00B90624" w:rsidRDefault="00B90624" w:rsidP="00B90624">
              <w:pPr>
                <w:pStyle w:val="Bibliografa"/>
                <w:ind w:left="720" w:hanging="720"/>
                <w:rPr>
                  <w:noProof/>
                  <w:sz w:val="24"/>
                  <w:szCs w:val="24"/>
                  <w:lang w:val="es-ES"/>
                </w:rPr>
              </w:pPr>
              <w:r>
                <w:fldChar w:fldCharType="begin"/>
              </w:r>
              <w:r>
                <w:instrText>BIBLIOGRAPHY</w:instrText>
              </w:r>
              <w:r>
                <w:fldChar w:fldCharType="separate"/>
              </w:r>
              <w:r>
                <w:rPr>
                  <w:noProof/>
                  <w:lang w:val="es-ES"/>
                </w:rPr>
                <w:t xml:space="preserve">Academia de Guerra Naval. (2024). </w:t>
              </w:r>
              <w:r>
                <w:rPr>
                  <w:i/>
                  <w:iCs/>
                  <w:noProof/>
                  <w:lang w:val="es-ES"/>
                </w:rPr>
                <w:t>Elementos Funcionales Logísticos y Órganos de Apoyo Logístico.</w:t>
              </w:r>
              <w:r>
                <w:rPr>
                  <w:noProof/>
                  <w:lang w:val="es-ES"/>
                </w:rPr>
                <w:t xml:space="preserve"> Viña del Mar: CED.</w:t>
              </w:r>
            </w:p>
            <w:p w:rsidR="00B90624" w:rsidRDefault="00B90624" w:rsidP="00B90624">
              <w:pPr>
                <w:pStyle w:val="Bibliografa"/>
                <w:ind w:left="720" w:hanging="720"/>
                <w:rPr>
                  <w:noProof/>
                  <w:lang w:val="es-ES"/>
                </w:rPr>
              </w:pPr>
              <w:r>
                <w:rPr>
                  <w:noProof/>
                  <w:lang w:val="es-ES"/>
                </w:rPr>
                <w:t xml:space="preserve">Departmen of Defense. (2005). </w:t>
              </w:r>
              <w:r>
                <w:rPr>
                  <w:i/>
                  <w:iCs/>
                  <w:noProof/>
                  <w:lang w:val="es-ES"/>
                </w:rPr>
                <w:t>Seabasing Joint Integrated Concept.</w:t>
              </w:r>
              <w:r>
                <w:rPr>
                  <w:noProof/>
                  <w:lang w:val="es-ES"/>
                </w:rPr>
                <w:t xml:space="preserve"> Washington DC: DOD.</w:t>
              </w:r>
            </w:p>
            <w:p w:rsidR="00B90624" w:rsidRDefault="00B90624" w:rsidP="00B90624">
              <w:pPr>
                <w:pStyle w:val="Bibliografa"/>
                <w:ind w:left="720" w:hanging="720"/>
                <w:rPr>
                  <w:noProof/>
                  <w:lang w:val="es-ES"/>
                </w:rPr>
              </w:pPr>
              <w:r>
                <w:rPr>
                  <w:noProof/>
                  <w:lang w:val="es-ES"/>
                </w:rPr>
                <w:t xml:space="preserve">Department of Defense. (2024). </w:t>
              </w:r>
              <w:r>
                <w:rPr>
                  <w:i/>
                  <w:iCs/>
                  <w:noProof/>
                  <w:lang w:val="es-ES"/>
                </w:rPr>
                <w:t>We are your Defense</w:t>
              </w:r>
              <w:r>
                <w:rPr>
                  <w:noProof/>
                  <w:lang w:val="es-ES"/>
                </w:rPr>
                <w:t>. Obtenido de https://www.defense.gov/About/</w:t>
              </w:r>
            </w:p>
            <w:p w:rsidR="00B90624" w:rsidRDefault="00B90624" w:rsidP="00B90624">
              <w:pPr>
                <w:pStyle w:val="Bibliografa"/>
                <w:ind w:left="720" w:hanging="720"/>
                <w:rPr>
                  <w:noProof/>
                  <w:lang w:val="es-ES"/>
                </w:rPr>
              </w:pPr>
              <w:r>
                <w:rPr>
                  <w:noProof/>
                  <w:lang w:val="es-ES"/>
                </w:rPr>
                <w:t xml:space="preserve">Fontena, H. (2016). Logística Conjunta. Reflexiones. </w:t>
              </w:r>
              <w:r>
                <w:rPr>
                  <w:i/>
                  <w:iCs/>
                  <w:noProof/>
                  <w:lang w:val="es-ES"/>
                </w:rPr>
                <w:t>Revista de Marina</w:t>
              </w:r>
              <w:r>
                <w:rPr>
                  <w:noProof/>
                  <w:lang w:val="es-ES"/>
                </w:rPr>
                <w:t>, 40-49.</w:t>
              </w:r>
            </w:p>
            <w:p w:rsidR="00B90624" w:rsidRDefault="00B90624" w:rsidP="00B90624">
              <w:pPr>
                <w:pStyle w:val="Bibliografa"/>
                <w:ind w:left="720" w:hanging="720"/>
                <w:rPr>
                  <w:noProof/>
                  <w:lang w:val="es-ES"/>
                </w:rPr>
              </w:pPr>
              <w:r>
                <w:rPr>
                  <w:noProof/>
                  <w:lang w:val="es-ES"/>
                </w:rPr>
                <w:t xml:space="preserve">Fontena, H. (2019). </w:t>
              </w:r>
              <w:r>
                <w:rPr>
                  <w:i/>
                  <w:iCs/>
                  <w:noProof/>
                  <w:lang w:val="es-ES"/>
                </w:rPr>
                <w:t>Logística Operativa.</w:t>
              </w:r>
              <w:r>
                <w:rPr>
                  <w:noProof/>
                  <w:lang w:val="es-ES"/>
                </w:rPr>
                <w:t xml:space="preserve"> Viña del Mar: Academia de Guerra Naval.</w:t>
              </w:r>
            </w:p>
            <w:p w:rsidR="00B90624" w:rsidRDefault="00B90624" w:rsidP="00B90624">
              <w:pPr>
                <w:pStyle w:val="Bibliografa"/>
                <w:ind w:left="720" w:hanging="720"/>
                <w:rPr>
                  <w:noProof/>
                  <w:lang w:val="es-ES"/>
                </w:rPr>
              </w:pPr>
              <w:r>
                <w:rPr>
                  <w:noProof/>
                  <w:lang w:val="es-ES"/>
                </w:rPr>
                <w:t xml:space="preserve">Hartung, K. (2002). Sea Power 21. </w:t>
              </w:r>
              <w:r>
                <w:rPr>
                  <w:i/>
                  <w:iCs/>
                  <w:noProof/>
                  <w:lang w:val="es-ES"/>
                </w:rPr>
                <w:t>Revista de Marina</w:t>
              </w:r>
              <w:r>
                <w:rPr>
                  <w:noProof/>
                  <w:lang w:val="es-ES"/>
                </w:rPr>
                <w:t>.</w:t>
              </w:r>
            </w:p>
            <w:p w:rsidR="00B90624" w:rsidRDefault="00B90624" w:rsidP="00B90624">
              <w:pPr>
                <w:pStyle w:val="Bibliografa"/>
                <w:ind w:left="720" w:hanging="720"/>
                <w:rPr>
                  <w:noProof/>
                  <w:lang w:val="es-ES"/>
                </w:rPr>
              </w:pPr>
              <w:r>
                <w:rPr>
                  <w:noProof/>
                  <w:lang w:val="es-ES"/>
                </w:rPr>
                <w:t xml:space="preserve">Ministerio de Defensa. (2020). </w:t>
              </w:r>
              <w:r>
                <w:rPr>
                  <w:i/>
                  <w:iCs/>
                  <w:noProof/>
                  <w:lang w:val="es-ES"/>
                </w:rPr>
                <w:t>Política de Defensa Nacional de Chile 2020</w:t>
              </w:r>
              <w:r>
                <w:rPr>
                  <w:noProof/>
                  <w:lang w:val="es-ES"/>
                </w:rPr>
                <w:t>. Obtenido de https://www.defensa.cl/wp-content/uploads/2023/06/POL%C3%8DTICA-DE-DEFENSA-NACIONAL-DE-CHILE-2020.pdf</w:t>
              </w:r>
            </w:p>
            <w:p w:rsidR="00B90624" w:rsidRDefault="00B90624" w:rsidP="00B90624">
              <w:pPr>
                <w:pStyle w:val="Bibliografa"/>
                <w:ind w:left="720" w:hanging="720"/>
                <w:rPr>
                  <w:noProof/>
                  <w:lang w:val="es-ES"/>
                </w:rPr>
              </w:pPr>
              <w:r>
                <w:rPr>
                  <w:noProof/>
                  <w:lang w:val="es-ES"/>
                </w:rPr>
                <w:t xml:space="preserve">Navarro, J. (11 de Junio de 2019). </w:t>
              </w:r>
              <w:r>
                <w:rPr>
                  <w:i/>
                  <w:iCs/>
                  <w:noProof/>
                  <w:lang w:val="es-ES"/>
                </w:rPr>
                <w:t>El concepto norteamericano de "Seabasing"</w:t>
              </w:r>
              <w:r>
                <w:rPr>
                  <w:noProof/>
                  <w:lang w:val="es-ES"/>
                </w:rPr>
                <w:t>. Obtenido de https://www.defensa.com/en-abierto/concepto-norteamericano-seabasing</w:t>
              </w:r>
            </w:p>
            <w:p w:rsidR="00B90624" w:rsidRDefault="00B90624" w:rsidP="00B90624">
              <w:pPr>
                <w:pStyle w:val="Bibliografa"/>
                <w:ind w:left="720" w:hanging="720"/>
                <w:rPr>
                  <w:noProof/>
                  <w:lang w:val="es-ES"/>
                </w:rPr>
              </w:pPr>
              <w:r>
                <w:rPr>
                  <w:noProof/>
                  <w:lang w:val="es-ES"/>
                </w:rPr>
                <w:t xml:space="preserve">US Navy. (09 de Mayo de 2024). </w:t>
              </w:r>
              <w:r>
                <w:rPr>
                  <w:i/>
                  <w:iCs/>
                  <w:noProof/>
                  <w:lang w:val="es-ES"/>
                </w:rPr>
                <w:t>Expeditionary Sea Base</w:t>
              </w:r>
              <w:r>
                <w:rPr>
                  <w:noProof/>
                  <w:lang w:val="es-ES"/>
                </w:rPr>
                <w:t>. Obtenido de https://www.navy.mil/Resources/Fact-Files/Display-FactFiles/Article/2169994/expeditionary-sea-base-esb/</w:t>
              </w:r>
            </w:p>
            <w:p w:rsidR="00B90624" w:rsidRDefault="00B90624" w:rsidP="00B90624">
              <w:r>
                <w:rPr>
                  <w:b/>
                  <w:bCs/>
                </w:rPr>
                <w:fldChar w:fldCharType="end"/>
              </w:r>
            </w:p>
          </w:sdtContent>
        </w:sdt>
      </w:sdtContent>
    </w:sdt>
    <w:p w:rsidR="00B90624" w:rsidRPr="00D11B1D" w:rsidRDefault="00B90624" w:rsidP="00106C9B">
      <w:pPr>
        <w:pStyle w:val="Sinespaciado"/>
        <w:jc w:val="both"/>
        <w:rPr>
          <w:rFonts w:cstheme="minorHAnsi"/>
        </w:rPr>
      </w:pPr>
    </w:p>
    <w:sectPr w:rsidR="00B90624" w:rsidRPr="00D11B1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C9B"/>
    <w:rsid w:val="000D4006"/>
    <w:rsid w:val="00106C9B"/>
    <w:rsid w:val="0015294A"/>
    <w:rsid w:val="001C0920"/>
    <w:rsid w:val="003A654B"/>
    <w:rsid w:val="00436D1C"/>
    <w:rsid w:val="0050433C"/>
    <w:rsid w:val="00586B11"/>
    <w:rsid w:val="005F6CC3"/>
    <w:rsid w:val="008770C6"/>
    <w:rsid w:val="00890C43"/>
    <w:rsid w:val="00911C90"/>
    <w:rsid w:val="009C10EB"/>
    <w:rsid w:val="00B04FAB"/>
    <w:rsid w:val="00B90624"/>
    <w:rsid w:val="00CB62A8"/>
    <w:rsid w:val="00D11B1D"/>
    <w:rsid w:val="00E37E62"/>
    <w:rsid w:val="00EF5444"/>
    <w:rsid w:val="00F26E78"/>
    <w:rsid w:val="00FD13B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EC5B7"/>
  <w15:chartTrackingRefBased/>
  <w15:docId w15:val="{D67E337D-D43B-48D5-914E-4EFEF3674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90624"/>
    <w:pPr>
      <w:keepNext/>
      <w:keepLines/>
      <w:spacing w:before="240" w:after="0"/>
      <w:outlineLvl w:val="0"/>
    </w:pPr>
    <w:rPr>
      <w:rFonts w:asciiTheme="majorHAnsi" w:eastAsiaTheme="majorEastAsia" w:hAnsiTheme="majorHAnsi" w:cstheme="majorBidi"/>
      <w:color w:val="2E74B5" w:themeColor="accent1" w:themeShade="BF"/>
      <w:sz w:val="32"/>
      <w:szCs w:val="3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06C9B"/>
    <w:pPr>
      <w:spacing w:after="0" w:line="240" w:lineRule="auto"/>
    </w:pPr>
  </w:style>
  <w:style w:type="character" w:customStyle="1" w:styleId="Ttulo1Car">
    <w:name w:val="Título 1 Car"/>
    <w:basedOn w:val="Fuentedeprrafopredeter"/>
    <w:link w:val="Ttulo1"/>
    <w:uiPriority w:val="9"/>
    <w:rsid w:val="00B90624"/>
    <w:rPr>
      <w:rFonts w:asciiTheme="majorHAnsi" w:eastAsiaTheme="majorEastAsia" w:hAnsiTheme="majorHAnsi" w:cstheme="majorBidi"/>
      <w:color w:val="2E74B5" w:themeColor="accent1" w:themeShade="BF"/>
      <w:sz w:val="32"/>
      <w:szCs w:val="32"/>
      <w:lang w:eastAsia="es-CL"/>
    </w:rPr>
  </w:style>
  <w:style w:type="paragraph" w:styleId="Bibliografa">
    <w:name w:val="Bibliography"/>
    <w:basedOn w:val="Normal"/>
    <w:next w:val="Normal"/>
    <w:uiPriority w:val="37"/>
    <w:unhideWhenUsed/>
    <w:rsid w:val="00B90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23612">
      <w:bodyDiv w:val="1"/>
      <w:marLeft w:val="0"/>
      <w:marRight w:val="0"/>
      <w:marTop w:val="0"/>
      <w:marBottom w:val="0"/>
      <w:divBdr>
        <w:top w:val="none" w:sz="0" w:space="0" w:color="auto"/>
        <w:left w:val="none" w:sz="0" w:space="0" w:color="auto"/>
        <w:bottom w:val="none" w:sz="0" w:space="0" w:color="auto"/>
        <w:right w:val="none" w:sz="0" w:space="0" w:color="auto"/>
      </w:divBdr>
    </w:div>
    <w:div w:id="128016811">
      <w:bodyDiv w:val="1"/>
      <w:marLeft w:val="0"/>
      <w:marRight w:val="0"/>
      <w:marTop w:val="0"/>
      <w:marBottom w:val="0"/>
      <w:divBdr>
        <w:top w:val="none" w:sz="0" w:space="0" w:color="auto"/>
        <w:left w:val="none" w:sz="0" w:space="0" w:color="auto"/>
        <w:bottom w:val="none" w:sz="0" w:space="0" w:color="auto"/>
        <w:right w:val="none" w:sz="0" w:space="0" w:color="auto"/>
      </w:divBdr>
    </w:div>
    <w:div w:id="267079153">
      <w:bodyDiv w:val="1"/>
      <w:marLeft w:val="0"/>
      <w:marRight w:val="0"/>
      <w:marTop w:val="0"/>
      <w:marBottom w:val="0"/>
      <w:divBdr>
        <w:top w:val="none" w:sz="0" w:space="0" w:color="auto"/>
        <w:left w:val="none" w:sz="0" w:space="0" w:color="auto"/>
        <w:bottom w:val="none" w:sz="0" w:space="0" w:color="auto"/>
        <w:right w:val="none" w:sz="0" w:space="0" w:color="auto"/>
      </w:divBdr>
    </w:div>
    <w:div w:id="538202723">
      <w:bodyDiv w:val="1"/>
      <w:marLeft w:val="0"/>
      <w:marRight w:val="0"/>
      <w:marTop w:val="0"/>
      <w:marBottom w:val="0"/>
      <w:divBdr>
        <w:top w:val="none" w:sz="0" w:space="0" w:color="auto"/>
        <w:left w:val="none" w:sz="0" w:space="0" w:color="auto"/>
        <w:bottom w:val="none" w:sz="0" w:space="0" w:color="auto"/>
        <w:right w:val="none" w:sz="0" w:space="0" w:color="auto"/>
      </w:divBdr>
    </w:div>
    <w:div w:id="557253199">
      <w:bodyDiv w:val="1"/>
      <w:marLeft w:val="0"/>
      <w:marRight w:val="0"/>
      <w:marTop w:val="0"/>
      <w:marBottom w:val="0"/>
      <w:divBdr>
        <w:top w:val="none" w:sz="0" w:space="0" w:color="auto"/>
        <w:left w:val="none" w:sz="0" w:space="0" w:color="auto"/>
        <w:bottom w:val="none" w:sz="0" w:space="0" w:color="auto"/>
        <w:right w:val="none" w:sz="0" w:space="0" w:color="auto"/>
      </w:divBdr>
    </w:div>
    <w:div w:id="582422816">
      <w:bodyDiv w:val="1"/>
      <w:marLeft w:val="0"/>
      <w:marRight w:val="0"/>
      <w:marTop w:val="0"/>
      <w:marBottom w:val="0"/>
      <w:divBdr>
        <w:top w:val="none" w:sz="0" w:space="0" w:color="auto"/>
        <w:left w:val="none" w:sz="0" w:space="0" w:color="auto"/>
        <w:bottom w:val="none" w:sz="0" w:space="0" w:color="auto"/>
        <w:right w:val="none" w:sz="0" w:space="0" w:color="auto"/>
      </w:divBdr>
    </w:div>
    <w:div w:id="1122992086">
      <w:bodyDiv w:val="1"/>
      <w:marLeft w:val="0"/>
      <w:marRight w:val="0"/>
      <w:marTop w:val="0"/>
      <w:marBottom w:val="0"/>
      <w:divBdr>
        <w:top w:val="none" w:sz="0" w:space="0" w:color="auto"/>
        <w:left w:val="none" w:sz="0" w:space="0" w:color="auto"/>
        <w:bottom w:val="none" w:sz="0" w:space="0" w:color="auto"/>
        <w:right w:val="none" w:sz="0" w:space="0" w:color="auto"/>
      </w:divBdr>
    </w:div>
    <w:div w:id="1137986444">
      <w:bodyDiv w:val="1"/>
      <w:marLeft w:val="0"/>
      <w:marRight w:val="0"/>
      <w:marTop w:val="0"/>
      <w:marBottom w:val="0"/>
      <w:divBdr>
        <w:top w:val="none" w:sz="0" w:space="0" w:color="auto"/>
        <w:left w:val="none" w:sz="0" w:space="0" w:color="auto"/>
        <w:bottom w:val="none" w:sz="0" w:space="0" w:color="auto"/>
        <w:right w:val="none" w:sz="0" w:space="0" w:color="auto"/>
      </w:divBdr>
    </w:div>
    <w:div w:id="1226791752">
      <w:bodyDiv w:val="1"/>
      <w:marLeft w:val="0"/>
      <w:marRight w:val="0"/>
      <w:marTop w:val="0"/>
      <w:marBottom w:val="0"/>
      <w:divBdr>
        <w:top w:val="none" w:sz="0" w:space="0" w:color="auto"/>
        <w:left w:val="none" w:sz="0" w:space="0" w:color="auto"/>
        <w:bottom w:val="none" w:sz="0" w:space="0" w:color="auto"/>
        <w:right w:val="none" w:sz="0" w:space="0" w:color="auto"/>
      </w:divBdr>
    </w:div>
    <w:div w:id="1564102996">
      <w:bodyDiv w:val="1"/>
      <w:marLeft w:val="0"/>
      <w:marRight w:val="0"/>
      <w:marTop w:val="0"/>
      <w:marBottom w:val="0"/>
      <w:divBdr>
        <w:top w:val="none" w:sz="0" w:space="0" w:color="auto"/>
        <w:left w:val="none" w:sz="0" w:space="0" w:color="auto"/>
        <w:bottom w:val="none" w:sz="0" w:space="0" w:color="auto"/>
        <w:right w:val="none" w:sz="0" w:space="0" w:color="auto"/>
      </w:divBdr>
    </w:div>
    <w:div w:id="1681547968">
      <w:bodyDiv w:val="1"/>
      <w:marLeft w:val="0"/>
      <w:marRight w:val="0"/>
      <w:marTop w:val="0"/>
      <w:marBottom w:val="0"/>
      <w:divBdr>
        <w:top w:val="none" w:sz="0" w:space="0" w:color="auto"/>
        <w:left w:val="none" w:sz="0" w:space="0" w:color="auto"/>
        <w:bottom w:val="none" w:sz="0" w:space="0" w:color="auto"/>
        <w:right w:val="none" w:sz="0" w:space="0" w:color="auto"/>
      </w:divBdr>
    </w:div>
    <w:div w:id="172903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Aca24</b:Tag>
    <b:SourceType>Report</b:SourceType>
    <b:Guid>{636106E7-B510-4500-BCC7-0738ABD53F83}</b:Guid>
    <b:Title> Elementos Funcionales Logísticos y Órganos de Apoyo Logístico</b:Title>
    <b:Year>2024</b:Year>
    <b:Author>
      <b:Author>
        <b:Corporate>Academia de Guerra Naval</b:Corporate>
      </b:Author>
    </b:Author>
    <b:Publisher>CED</b:Publisher>
    <b:City>Viña del Mar</b:City>
    <b:RefOrder>1</b:RefOrder>
  </b:Source>
  <b:Source>
    <b:Tag>Kur02</b:Tag>
    <b:SourceType>JournalArticle</b:SourceType>
    <b:Guid>{3E9E58F8-68B5-4A38-AF9F-DFC2F9615B9B}</b:Guid>
    <b:Title>Sea Power 21</b:Title>
    <b:Year>2002</b:Year>
    <b:Author>
      <b:Author>
        <b:NameList>
          <b:Person>
            <b:Last>Hartung</b:Last>
            <b:First>Kurt</b:First>
          </b:Person>
        </b:NameList>
      </b:Author>
    </b:Author>
    <b:JournalName>Revista de Marina</b:JournalName>
    <b:RefOrder>2</b:RefOrder>
  </b:Source>
  <b:Source>
    <b:Tag>Dep05</b:Tag>
    <b:SourceType>Report</b:SourceType>
    <b:Guid>{BAAB996D-BCF1-4111-A959-1E1A72A6A64E}</b:Guid>
    <b:Title>Seabasing Joint Integrated Concept</b:Title>
    <b:Year>2005</b:Year>
    <b:Author>
      <b:Author>
        <b:Corporate>Departmen of Defense</b:Corporate>
      </b:Author>
    </b:Author>
    <b:Publisher>DOD</b:Publisher>
    <b:City>Washington DC</b:City>
    <b:RefOrder>3</b:RefOrder>
  </b:Source>
  <b:Source>
    <b:Tag>Hug19</b:Tag>
    <b:SourceType>Book</b:SourceType>
    <b:Guid>{AF5EA1B0-151E-453C-BEAF-2723FD09BE85}</b:Guid>
    <b:Title>Logística Operativa</b:Title>
    <b:Year>2019</b:Year>
    <b:Publisher>Academia de Guerra Naval</b:Publisher>
    <b:City>Viña del Mar</b:City>
    <b:Author>
      <b:Author>
        <b:NameList>
          <b:Person>
            <b:Last>Fontena</b:Last>
            <b:First>Hugo</b:First>
          </b:Person>
        </b:NameList>
      </b:Author>
    </b:Author>
    <b:RefOrder>4</b:RefOrder>
  </b:Source>
  <b:Source>
    <b:Tag>USN24</b:Tag>
    <b:SourceType>InternetSite</b:SourceType>
    <b:Guid>{133ACF45-23D0-4DDC-A777-5E5FA0DDB8C1}</b:Guid>
    <b:Author>
      <b:Author>
        <b:Corporate>US Navy</b:Corporate>
      </b:Author>
    </b:Author>
    <b:Title>Expeditionary Sea Base</b:Title>
    <b:Year>2024</b:Year>
    <b:Month>Mayo</b:Month>
    <b:Day>09</b:Day>
    <b:URL>https://www.navy.mil/Resources/Fact-Files/Display-FactFiles/Article/2169994/expeditionary-sea-base-esb/</b:URL>
    <b:RefOrder>5</b:RefOrder>
  </b:Source>
  <b:Source>
    <b:Tag>Jos19</b:Tag>
    <b:SourceType>InternetSite</b:SourceType>
    <b:Guid>{D39B2EF4-1911-426F-A7DD-00931C65E804}</b:Guid>
    <b:Author>
      <b:Author>
        <b:NameList>
          <b:Person>
            <b:Last>Navarro</b:Last>
            <b:First>José</b:First>
          </b:Person>
        </b:NameList>
      </b:Author>
    </b:Author>
    <b:Title>El concepto norteamericano de "Seabasing"</b:Title>
    <b:Year>2019</b:Year>
    <b:Month>Junio</b:Month>
    <b:Day>11</b:Day>
    <b:URL>https://www.defensa.com/en-abierto/concepto-norteamericano-seabasing</b:URL>
    <b:RefOrder>6</b:RefOrder>
  </b:Source>
  <b:Source>
    <b:Tag>Dep24</b:Tag>
    <b:SourceType>InternetSite</b:SourceType>
    <b:Guid>{A365615A-0E4A-4D66-BEBE-8AA4DF4C8320}</b:Guid>
    <b:Author>
      <b:Author>
        <b:Corporate>Department of Defense</b:Corporate>
      </b:Author>
    </b:Author>
    <b:Title>We are your Defense</b:Title>
    <b:Year>2024</b:Year>
    <b:URL>https://www.defense.gov/About/</b:URL>
    <b:RefOrder>7</b:RefOrder>
  </b:Source>
  <b:Source>
    <b:Tag>Min20</b:Tag>
    <b:SourceType>InternetSite</b:SourceType>
    <b:Guid>{DAE5830A-6E1D-426C-A7C8-B3A3A706CC91}</b:Guid>
    <b:Title>Política de Defensa Nacional de Chile 2020</b:Title>
    <b:Year>2020</b:Year>
    <b:URL>https://www.defensa.cl/wp-content/uploads/2023/06/POL%C3%8DTICA-DE-DEFENSA-NACIONAL-DE-CHILE-2020.pdf</b:URL>
    <b:Author>
      <b:Author>
        <b:Corporate>Ministerio de Defensa</b:Corporate>
      </b:Author>
    </b:Author>
    <b:RefOrder>8</b:RefOrder>
  </b:Source>
  <b:Source>
    <b:Tag>Hug16</b:Tag>
    <b:SourceType>JournalArticle</b:SourceType>
    <b:Guid>{D13453A4-A7BC-466E-983D-7D449377C3DA}</b:Guid>
    <b:Title>Logística Conjunta. Reflexiones</b:Title>
    <b:Year>2016</b:Year>
    <b:Author>
      <b:Author>
        <b:NameList>
          <b:Person>
            <b:Last>Fontena</b:Last>
            <b:First>Hugo</b:First>
          </b:Person>
        </b:NameList>
      </b:Author>
    </b:Author>
    <b:JournalName>Revista de Marina</b:JournalName>
    <b:Pages>40-49</b:Pages>
    <b:RefOrder>9</b:RefOrder>
  </b:Source>
</b:Sources>
</file>

<file path=customXml/itemProps1.xml><?xml version="1.0" encoding="utf-8"?>
<ds:datastoreItem xmlns:ds="http://schemas.openxmlformats.org/officeDocument/2006/customXml" ds:itemID="{D798CF90-C090-465F-8845-6A384BEA3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Pages>
  <Words>887</Words>
  <Characters>4881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16812385-k</dc:creator>
  <cp:keywords/>
  <dc:description/>
  <cp:lastModifiedBy>16812385-k</cp:lastModifiedBy>
  <cp:revision>7</cp:revision>
  <dcterms:created xsi:type="dcterms:W3CDTF">2024-05-24T12:47:00Z</dcterms:created>
  <dcterms:modified xsi:type="dcterms:W3CDTF">2024-05-24T17:54:00Z</dcterms:modified>
</cp:coreProperties>
</file>