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0" w:before="2000"/>
        <w:jc w:val="center"/>
      </w:pPr>
      <w:r>
        <w:rPr>
          <w:rFonts w:ascii="Arial" w:cs="Arial" w:eastAsia="Arial" w:hAnsi="Arial"/>
          <w:b/>
          <w:bCs/>
          <w:color w:val="1F3864"/>
          <w:sz w:val="36"/>
          <w:szCs w:val="36"/>
        </w:rPr>
        <w:t xml:space="preserve">SIMULACION TACTICA DE DEFENSA ANTIMISIL</w:t>
      </w:r>
    </w:p>
    <w:p>
      <w:pPr>
        <w:spacing w:after="200"/>
        <w:jc w:val="center"/>
      </w:pPr>
      <w:r>
        <w:rPr>
          <w:rFonts w:ascii="Arial" w:cs="Arial" w:eastAsia="Arial" w:hAnsi="Arial"/>
          <w:color w:val="2E5090"/>
          <w:sz w:val="26"/>
          <w:szCs w:val="26"/>
        </w:rPr>
        <w:t xml:space="preserve">Grupo de Tarea: FFG Adelaide + FF23</w:t>
      </w:r>
    </w:p>
    <w:p>
      <w:pPr>
        <w:spacing w:after="200"/>
        <w:jc w:val="center"/>
      </w:pPr>
      <w:r>
        <w:rPr>
          <w:rFonts w:ascii="Arial" w:cs="Arial" w:eastAsia="Arial" w:hAnsi="Arial"/>
          <w:color w:val="595959"/>
          <w:sz w:val="22"/>
          <w:szCs w:val="22"/>
        </w:rPr>
        <w:t xml:space="preserve">Metodologia, Formulas y Fundamentos de Calculo</w:t>
      </w:r>
    </w:p>
    <w:p>
      <w:pPr>
        <w:spacing w:after="800"/>
        <w:jc w:val="center"/>
      </w:pPr>
      <w:r>
        <w:rPr>
          <w:rFonts w:ascii="Arial" w:cs="Arial" w:eastAsia="Arial" w:hAnsi="Arial"/>
          <w:color w:val="595959"/>
          <w:sz w:val="20"/>
          <w:szCs w:val="20"/>
        </w:rPr>
        <w:t xml:space="preserve">Version 2.0 – Documento Tecnico Completo</w:t>
      </w:r>
    </w:p>
    <w:p>
      <w:r>
        <w:br w:type="page"/>
      </w:r>
    </w:p>
    <w:p>
      <w:pPr>
        <w:pStyle w:val="Heading1"/>
        <w:spacing w:after="180" w:before="360"/>
      </w:pPr>
      <w:r>
        <w:rPr>
          <w:rFonts w:ascii="Arial" w:cs="Arial" w:eastAsia="Arial" w:hAnsi="Arial"/>
          <w:b/>
          <w:bCs/>
          <w:color w:val="1F3864"/>
          <w:sz w:val="28"/>
          <w:szCs w:val="28"/>
        </w:rPr>
        <w:t xml:space="preserve">1. INTRODUCCION Y ALCANCE</w:t>
      </w:r>
    </w:p>
    <w:p>
      <w:pPr>
        <w:spacing w:after="120"/>
        <w:jc w:val="both"/>
      </w:pPr>
      <w:r>
        <w:rPr>
          <w:rFonts w:ascii="Arial" w:cs="Arial" w:eastAsia="Arial" w:hAnsi="Arial"/>
          <w:sz w:val="20"/>
          <w:szCs w:val="20"/>
        </w:rPr>
        <w:t xml:space="preserve">Este documento explica la metodologia, formulas y supuestos del modelo de simulacion de defensa antimisil del grupo de tarea compuesto por FFG Adelaide (ESSM y SM-2) y FF23 (Sea Ceptor). Todos los calculos son automaticos y responden a los parametros modificables de la hoja 1_DATOS.</w:t>
      </w:r>
    </w:p>
    <w:p>
      <w:pPr>
        <w:spacing w:after="120"/>
        <w:jc w:val="both"/>
      </w:pPr>
      <w:r>
        <w:rPr>
          <w:rFonts w:ascii="Arial" w:cs="Arial" w:eastAsia="Arial" w:hAnsi="Arial"/>
          <w:sz w:val="20"/>
          <w:szCs w:val="20"/>
        </w:rPr>
        <w:t xml:space="preserve">El modelo se implementa en Microsoft Excel con 6 hojas interconectadas: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1_DATOS: todos los parametros variables.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2_CALCULOS: velocidades relativas, Pd interpolada, Pk por sistema.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3_MONTECARLO: 100 escenarios aleatorios + posiciones optimas segun eje de amenaza.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4_COBERTURA: diagrama polar HVU + comparacion eficiencia actual vs optima.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5_RADIOS: radios de misiles por unidad, 6 configuraciones de flota.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6_RESUMEN: dashboard ejecutivo + linea de tiempo del ataque.</w:t>
      </w:r>
    </w:p>
    <w:p>
      <w:pPr>
        <w:pStyle w:val="Heading1"/>
        <w:spacing w:after="180" w:before="360"/>
      </w:pPr>
      <w:r>
        <w:rPr>
          <w:rFonts w:ascii="Arial" w:cs="Arial" w:eastAsia="Arial" w:hAnsi="Arial"/>
          <w:b/>
          <w:bCs/>
          <w:color w:val="1F3864"/>
          <w:sz w:val="28"/>
          <w:szCs w:val="28"/>
        </w:rPr>
        <w:t xml:space="preserve">2. SISTEMAS DE ARMAS Y PARAMETROS</w:t>
      </w:r>
    </w:p>
    <w:p>
      <w:pPr>
        <w:pStyle w:val="Heading2"/>
        <w:spacing w:after="120" w:before="240"/>
      </w:pPr>
      <w:r>
        <w:rPr>
          <w:rFonts w:ascii="Arial" w:cs="Arial" w:eastAsia="Arial" w:hAnsi="Arial"/>
          <w:b/>
          <w:bCs/>
          <w:color w:val="2E5090"/>
          <w:sz w:val="24"/>
          <w:szCs w:val="24"/>
        </w:rPr>
        <w:t xml:space="preserve">2.1 FFG Adelaide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ESSM (RIM-162): alcance 25 mn, velocidad 600 nudos, Pss=0.70, T.lanzamiento 2s.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SM-2 (RIM-66): alcance 60 mn, velocidad 900 nudos, Pss=0.75, T.lanzamiento 2s.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Cobertura al HVU: entre 2.000 y 5.000 yardas.</w:t>
      </w:r>
    </w:p>
    <w:p>
      <w:pPr>
        <w:pStyle w:val="Heading2"/>
        <w:spacing w:after="120" w:before="240"/>
      </w:pPr>
      <w:r>
        <w:rPr>
          <w:rFonts w:ascii="Arial" w:cs="Arial" w:eastAsia="Arial" w:hAnsi="Arial"/>
          <w:b/>
          <w:bCs/>
          <w:color w:val="2E5090"/>
          <w:sz w:val="24"/>
          <w:szCs w:val="24"/>
        </w:rPr>
        <w:t xml:space="preserve">2.2 FF23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Sea Ceptor (CAMM): alcance 12 mn, velocidad 600 nudos, Pss=0.70, T.lanzamiento 2s.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Cobertura al HVU: entre 500 y 2.000 yardas.</w:t>
      </w:r>
    </w:p>
    <w:p>
      <w:pPr>
        <w:pStyle w:val="Heading2"/>
        <w:spacing w:after="120" w:before="240"/>
      </w:pPr>
      <w:r>
        <w:rPr>
          <w:rFonts w:ascii="Arial" w:cs="Arial" w:eastAsia="Arial" w:hAnsi="Arial"/>
          <w:b/>
          <w:bCs/>
          <w:color w:val="2E5090"/>
          <w:sz w:val="24"/>
          <w:szCs w:val="24"/>
        </w:rPr>
        <w:t xml:space="preserve">2.3 Misil Enemigo (ASM)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Velocidad: 550 nudos. Altura: 30 pies (sea-skimmer). Alcance: hasta 60 mn.</w:t>
      </w:r>
    </w:p>
    <w:p>
      <w:pPr>
        <w:pStyle w:val="Heading1"/>
        <w:spacing w:after="180" w:before="360"/>
      </w:pPr>
      <w:r>
        <w:rPr>
          <w:rFonts w:ascii="Arial" w:cs="Arial" w:eastAsia="Arial" w:hAnsi="Arial"/>
          <w:b/>
          <w:bCs/>
          <w:color w:val="1F3864"/>
          <w:sz w:val="28"/>
          <w:szCs w:val="28"/>
        </w:rPr>
        <w:t xml:space="preserve">3. MODELO DE DETECCION (Pd)</w:t>
      </w:r>
    </w:p>
    <w:p>
      <w:pPr>
        <w:spacing w:after="120"/>
        <w:jc w:val="both"/>
      </w:pPr>
      <w:r>
        <w:rPr>
          <w:rFonts w:ascii="Arial" w:cs="Arial" w:eastAsia="Arial" w:hAnsi="Arial"/>
          <w:sz w:val="20"/>
          <w:szCs w:val="20"/>
        </w:rPr>
        <w:t xml:space="preserve">La probabilidad de deteccion del ASM sigue una interpolacion lineal entre dos puntos definidos por el usuario:</w:t>
      </w:r>
    </w:p>
    <w:p>
      <w:pPr>
        <w:spacing w:after="80" w:before="80"/>
        <w:jc w:val="center"/>
      </w:pPr>
      <w:r>
        <w:rPr>
          <w:rFonts w:ascii="Courier New" w:cs="Courier New" w:eastAsia="Courier New" w:hAnsi="Courier New"/>
          <w:b/>
          <w:bCs/>
          <w:sz w:val="18"/>
          <w:szCs w:val="18"/>
        </w:rPr>
        <w:t xml:space="preserve">Pd(D) = Pd10 + ((D10 - D) / (D10 - 5)) * (Pd5 - Pd10)</w:t>
      </w:r>
    </w:p>
    <w:p>
      <w:pPr>
        <w:spacing w:after="120"/>
        <w:jc w:val="both"/>
      </w:pPr>
      <w:r>
        <w:rPr>
          <w:rFonts w:ascii="Arial" w:cs="Arial" w:eastAsia="Arial" w:hAnsi="Arial"/>
          <w:sz w:val="20"/>
          <w:szCs w:val="20"/>
        </w:rPr>
        <w:t xml:space="preserve">Donde Pd10=60% y Pd5=95% son los valores configurables en 1_DATOS. Para D&lt;=5mn: Pd=95%. Para D&gt;=10mn: Pd=60%. Esta funcion captura el efecto del horizonte radar sobre un misil que vuela a 30 pies.</w:t>
      </w:r>
    </w:p>
    <w:p>
      <w:pPr>
        <w:pStyle w:val="Heading1"/>
        <w:spacing w:after="180" w:before="360"/>
      </w:pPr>
      <w:r>
        <w:rPr>
          <w:rFonts w:ascii="Arial" w:cs="Arial" w:eastAsia="Arial" w:hAnsi="Arial"/>
          <w:b/>
          <w:bCs/>
          <w:color w:val="1F3864"/>
          <w:sz w:val="28"/>
          <w:szCs w:val="28"/>
        </w:rPr>
        <w:t xml:space="preserve">4. VELOCIDADES RELATIVAS Y TIEMPOS</w:t>
      </w:r>
    </w:p>
    <w:p>
      <w:pPr>
        <w:pStyle w:val="Heading2"/>
        <w:spacing w:after="120" w:before="240"/>
      </w:pPr>
      <w:r>
        <w:rPr>
          <w:rFonts w:ascii="Arial" w:cs="Arial" w:eastAsia="Arial" w:hAnsi="Arial"/>
          <w:b/>
          <w:bCs/>
          <w:color w:val="2E5090"/>
          <w:sz w:val="24"/>
          <w:szCs w:val="24"/>
        </w:rPr>
        <w:t xml:space="preserve">4.1 Velocidad Relativa</w:t>
      </w:r>
    </w:p>
    <w:p>
      <w:pPr>
        <w:spacing w:after="120"/>
        <w:jc w:val="both"/>
      </w:pPr>
      <w:r>
        <w:rPr>
          <w:rFonts w:ascii="Arial" w:cs="Arial" w:eastAsia="Arial" w:hAnsi="Arial"/>
          <w:sz w:val="20"/>
          <w:szCs w:val="20"/>
        </w:rPr>
        <w:t xml:space="preserve">En un enfrentamiento frontal (head-on), la velocidad de cierre es la suma de ambas:</w:t>
      </w:r>
    </w:p>
    <w:p>
      <w:pPr>
        <w:spacing w:after="80" w:before="80"/>
        <w:jc w:val="center"/>
      </w:pPr>
      <w:r>
        <w:rPr>
          <w:rFonts w:ascii="Courier New" w:cs="Courier New" w:eastAsia="Courier New" w:hAnsi="Courier New"/>
          <w:b/>
          <w:bCs/>
          <w:sz w:val="18"/>
          <w:szCs w:val="18"/>
        </w:rPr>
        <w:t xml:space="preserve">V_relativa = V_defensor + V_ASM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200"/>
        <w:gridCol w:w="1500"/>
        <w:gridCol w:w="1500"/>
        <w:gridCol w:w="2160"/>
      </w:tblGrid>
      <w:tr>
        <w:tc>
          <w:tcPr>
            <w:tcW w:type="dxa" w:w="4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F3864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Sistema</w:t>
            </w:r>
          </w:p>
        </w:tc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F3864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V.def.(kn)</w:t>
            </w:r>
          </w:p>
        </w:tc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F3864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V.ASM(kn)</w:t>
            </w:r>
          </w:p>
        </w:tc>
        <w:tc>
          <w:tcPr>
            <w:tcW w:type="dxa" w:w="21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F3864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V.rel head-on(kn)</w:t>
            </w:r>
          </w:p>
        </w:tc>
      </w:tr>
      <w:tr>
        <w:tc>
          <w:tcPr>
            <w:tcW w:type="dxa" w:w="4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9F9F9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17"/>
                <w:szCs w:val="17"/>
              </w:rPr>
              <w:t xml:space="preserve">ESSM vs ASM</w:t>
            </w:r>
          </w:p>
        </w:tc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9F9F9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17"/>
                <w:szCs w:val="17"/>
              </w:rPr>
              <w:t xml:space="preserve">600</w:t>
            </w:r>
          </w:p>
        </w:tc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9F9F9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17"/>
                <w:szCs w:val="17"/>
              </w:rPr>
              <w:t xml:space="preserve">550</w:t>
            </w:r>
          </w:p>
        </w:tc>
        <w:tc>
          <w:tcPr>
            <w:tcW w:type="dxa" w:w="21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9F9F9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17"/>
                <w:szCs w:val="17"/>
              </w:rPr>
              <w:t xml:space="preserve">1.150</w:t>
            </w:r>
          </w:p>
        </w:tc>
      </w:tr>
      <w:tr>
        <w:tc>
          <w:tcPr>
            <w:tcW w:type="dxa" w:w="4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9F9F9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17"/>
                <w:szCs w:val="17"/>
              </w:rPr>
              <w:t xml:space="preserve">SM-2 vs ASM</w:t>
            </w:r>
          </w:p>
        </w:tc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9F9F9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17"/>
                <w:szCs w:val="17"/>
              </w:rPr>
              <w:t xml:space="preserve">900</w:t>
            </w:r>
          </w:p>
        </w:tc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9F9F9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17"/>
                <w:szCs w:val="17"/>
              </w:rPr>
              <w:t xml:space="preserve">550</w:t>
            </w:r>
          </w:p>
        </w:tc>
        <w:tc>
          <w:tcPr>
            <w:tcW w:type="dxa" w:w="21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9F9F9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17"/>
                <w:szCs w:val="17"/>
              </w:rPr>
              <w:t xml:space="preserve">1.450</w:t>
            </w:r>
          </w:p>
        </w:tc>
      </w:tr>
      <w:tr>
        <w:tc>
          <w:tcPr>
            <w:tcW w:type="dxa" w:w="4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9F9F9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17"/>
                <w:szCs w:val="17"/>
              </w:rPr>
              <w:t xml:space="preserve">Sea Ceptor vs ASM</w:t>
            </w:r>
          </w:p>
        </w:tc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9F9F9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17"/>
                <w:szCs w:val="17"/>
              </w:rPr>
              <w:t xml:space="preserve">600</w:t>
            </w:r>
          </w:p>
        </w:tc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9F9F9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17"/>
                <w:szCs w:val="17"/>
              </w:rPr>
              <w:t xml:space="preserve">550</w:t>
            </w:r>
          </w:p>
        </w:tc>
        <w:tc>
          <w:tcPr>
            <w:tcW w:type="dxa" w:w="21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9F9F9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17"/>
                <w:szCs w:val="17"/>
              </w:rPr>
              <w:t xml:space="preserve">1.150</w:t>
            </w:r>
          </w:p>
        </w:tc>
      </w:tr>
    </w:tbl>
    <w:p>
      <w:pPr>
        <w:spacing w:after="160"/>
      </w:pPr>
    </w:p>
    <w:p>
      <w:pPr>
        <w:pStyle w:val="Heading2"/>
        <w:spacing w:after="120" w:before="240"/>
      </w:pPr>
      <w:r>
        <w:rPr>
          <w:rFonts w:ascii="Arial" w:cs="Arial" w:eastAsia="Arial" w:hAnsi="Arial"/>
          <w:b/>
          <w:bCs/>
          <w:color w:val="2E5090"/>
          <w:sz w:val="24"/>
          <w:szCs w:val="24"/>
        </w:rPr>
        <w:t xml:space="preserve">4.2 Conversion de Unidades</w:t>
      </w:r>
    </w:p>
    <w:p>
      <w:pPr>
        <w:spacing w:after="120"/>
        <w:jc w:val="both"/>
      </w:pPr>
      <w:r>
        <w:rPr>
          <w:rFonts w:ascii="Arial" w:cs="Arial" w:eastAsia="Arial" w:hAnsi="Arial"/>
          <w:sz w:val="20"/>
          <w:szCs w:val="20"/>
        </w:rPr>
        <w:t xml:space="preserve">Factor de conversion: 1 nudo = 0.5144 m/s. Tiempo de vuelo del ASM en un rango D:</w:t>
      </w:r>
    </w:p>
    <w:p>
      <w:pPr>
        <w:spacing w:after="80" w:before="80"/>
        <w:jc w:val="center"/>
      </w:pPr>
      <w:r>
        <w:rPr>
          <w:rFonts w:ascii="Courier New" w:cs="Courier New" w:eastAsia="Courier New" w:hAnsi="Courier New"/>
          <w:b/>
          <w:bCs/>
          <w:sz w:val="18"/>
          <w:szCs w:val="18"/>
        </w:rPr>
        <w:t xml:space="preserve">T_vuelo(s) = D(mn) x 1852 / (V_ASM(kn) x 0.5144)</w:t>
      </w:r>
    </w:p>
    <w:p>
      <w:pPr>
        <w:pStyle w:val="Heading1"/>
        <w:spacing w:after="180" w:before="360"/>
      </w:pPr>
      <w:r>
        <w:rPr>
          <w:rFonts w:ascii="Arial" w:cs="Arial" w:eastAsia="Arial" w:hAnsi="Arial"/>
          <w:b/>
          <w:bCs/>
          <w:color w:val="1F3864"/>
          <w:sz w:val="28"/>
          <w:szCs w:val="28"/>
        </w:rPr>
        <w:t xml:space="preserve">5. PROBABILIDAD DE DESTRUCCION (Pk)</w:t>
      </w:r>
    </w:p>
    <w:p>
      <w:pPr>
        <w:pStyle w:val="Heading2"/>
        <w:spacing w:after="120" w:before="240"/>
      </w:pPr>
      <w:r>
        <w:rPr>
          <w:rFonts w:ascii="Arial" w:cs="Arial" w:eastAsia="Arial" w:hAnsi="Arial"/>
          <w:b/>
          <w:bCs/>
          <w:color w:val="2E5090"/>
          <w:sz w:val="24"/>
          <w:szCs w:val="24"/>
        </w:rPr>
        <w:t xml:space="preserve">5.1 Formula General</w:t>
      </w:r>
    </w:p>
    <w:p>
      <w:pPr>
        <w:spacing w:after="80" w:before="80"/>
        <w:jc w:val="center"/>
      </w:pPr>
      <w:r>
        <w:rPr>
          <w:rFonts w:ascii="Courier New" w:cs="Courier New" w:eastAsia="Courier New" w:hAnsi="Courier New"/>
          <w:b/>
          <w:bCs/>
          <w:sz w:val="18"/>
          <w:szCs w:val="18"/>
        </w:rPr>
        <w:t xml:space="preserve">Pk = 1 - (1 - Pd x Pss)^n</w:t>
      </w:r>
    </w:p>
    <w:p>
      <w:pPr>
        <w:spacing w:after="120"/>
        <w:jc w:val="both"/>
      </w:pPr>
      <w:r>
        <w:rPr>
          <w:rFonts w:ascii="Arial" w:cs="Arial" w:eastAsia="Arial" w:hAnsi="Arial"/>
          <w:sz w:val="20"/>
          <w:szCs w:val="20"/>
        </w:rPr>
        <w:t xml:space="preserve">Pd = probabilidad de deteccion/track en zona engagement; Pss = kill probability del misil individual; n = numero de salvas.</w:t>
      </w:r>
    </w:p>
    <w:p>
      <w:pPr>
        <w:pStyle w:val="Heading2"/>
        <w:spacing w:after="120" w:before="240"/>
      </w:pPr>
      <w:r>
        <w:rPr>
          <w:rFonts w:ascii="Arial" w:cs="Arial" w:eastAsia="Arial" w:hAnsi="Arial"/>
          <w:b/>
          <w:bCs/>
          <w:color w:val="2E5090"/>
          <w:sz w:val="24"/>
          <w:szCs w:val="24"/>
        </w:rPr>
        <w:t xml:space="preserve">5.2 Defensa en Capas (Pk Total)</w:t>
      </w:r>
    </w:p>
    <w:p>
      <w:pPr>
        <w:spacing w:after="80" w:before="80"/>
        <w:jc w:val="center"/>
      </w:pPr>
      <w:r>
        <w:rPr>
          <w:rFonts w:ascii="Courier New" w:cs="Courier New" w:eastAsia="Courier New" w:hAnsi="Courier New"/>
          <w:b/>
          <w:bCs/>
          <w:sz w:val="18"/>
          <w:szCs w:val="18"/>
        </w:rPr>
        <w:t xml:space="preserve">Pk_TOTAL = 1 - (1 - Pk_FFG) x (1 - Pk_FF23)</w:t>
      </w:r>
    </w:p>
    <w:p>
      <w:pPr>
        <w:spacing w:after="120"/>
        <w:jc w:val="both"/>
      </w:pPr>
      <w:r>
        <w:rPr>
          <w:rFonts w:ascii="Arial" w:cs="Arial" w:eastAsia="Arial" w:hAnsi="Arial"/>
          <w:sz w:val="20"/>
          <w:szCs w:val="20"/>
        </w:rPr>
        <w:t xml:space="preserve">Si la FFG falla, la FF23 tiene otra oportunidad independiente. Este es el principio central de la arquitectura AAW en capas de la OTAN.</w:t>
      </w:r>
    </w:p>
    <w:p>
      <w:pPr>
        <w:pStyle w:val="Heading1"/>
        <w:spacing w:after="180" w:before="360"/>
      </w:pPr>
      <w:r>
        <w:rPr>
          <w:rFonts w:ascii="Arial" w:cs="Arial" w:eastAsia="Arial" w:hAnsi="Arial"/>
          <w:b/>
          <w:bCs/>
          <w:color w:val="1F3864"/>
          <w:sz w:val="28"/>
          <w:szCs w:val="28"/>
        </w:rPr>
        <w:t xml:space="preserve">6. POSICIONAMIENTO TACTICO Y EJE DE AMENAZA</w:t>
      </w:r>
    </w:p>
    <w:p>
      <w:pPr>
        <w:pStyle w:val="Heading2"/>
        <w:spacing w:after="120" w:before="240"/>
      </w:pPr>
      <w:r>
        <w:rPr>
          <w:rFonts w:ascii="Arial" w:cs="Arial" w:eastAsia="Arial" w:hAnsi="Arial"/>
          <w:b/>
          <w:bCs/>
          <w:color w:val="2E5090"/>
          <w:sz w:val="24"/>
          <w:szCs w:val="24"/>
        </w:rPr>
        <w:t xml:space="preserve">6.1 Eje de Amenaza (Dato Modificable)</w:t>
      </w:r>
    </w:p>
    <w:p>
      <w:pPr>
        <w:spacing w:after="120"/>
        <w:jc w:val="both"/>
      </w:pPr>
      <w:r>
        <w:rPr>
          <w:rFonts w:ascii="Arial" w:cs="Arial" w:eastAsia="Arial" w:hAnsi="Arial"/>
          <w:sz w:val="20"/>
          <w:szCs w:val="20"/>
        </w:rPr>
        <w:t xml:space="preserve">El eje de amenaza (0-359°) se configura en 1_DATOS!C32. Este valor impacta directamente en: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Las posiciones optimas calculadas en 3_MONTECARLO (seccion de posiciones optimas).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La comparacion de eficiencia en 4_COBERTURA.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El resumen ejecutivo en 6_RESUMEN.</w:t>
      </w:r>
    </w:p>
    <w:p>
      <w:pPr>
        <w:pStyle w:val="Heading2"/>
        <w:spacing w:after="120" w:before="240"/>
      </w:pPr>
      <w:r>
        <w:rPr>
          <w:rFonts w:ascii="Arial" w:cs="Arial" w:eastAsia="Arial" w:hAnsi="Arial"/>
          <w:b/>
          <w:bCs/>
          <w:color w:val="2E5090"/>
          <w:sz w:val="24"/>
          <w:szCs w:val="24"/>
        </w:rPr>
        <w:t xml:space="preserve">6.2 Calculo de Posiciones Optimas</w:t>
      </w:r>
    </w:p>
    <w:p>
      <w:pPr>
        <w:spacing w:after="120"/>
        <w:jc w:val="both"/>
      </w:pPr>
      <w:r>
        <w:rPr>
          <w:rFonts w:ascii="Arial" w:cs="Arial" w:eastAsia="Arial" w:hAnsi="Arial"/>
          <w:sz w:val="20"/>
          <w:szCs w:val="20"/>
        </w:rPr>
        <w:t xml:space="preserve">Las posiciones optimas para cada buque se calculan en funcion del eje de amenaza usando la logica: los buques deben interponerse entre el HVU y el vector de aproximacion del ASM: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FFG-1: marcacion = MOD(eje_amenaza + 180, 360) a 3.500 yd del HVU.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FFG-2: marcacion = MOD(eje_amenaza + 160, 360) a 4.200 yd (offset 20° para doble capa).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FF23-1: marcacion = MOD(eje_amenaza + 225, 360) a 1.250 yd (sector oblicuo izquierdo).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FF23-2: marcacion = MOD(eje_amenaza + 315, 360) a 1.250 yd (sector oblicuo derecho).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FF23-3: marcacion = MOD(eje_amenaza + 270, 360) a 900 yd (sector lateral).</w:t>
      </w:r>
    </w:p>
    <w:p>
      <w:pPr>
        <w:pStyle w:val="Heading2"/>
        <w:spacing w:after="120" w:before="240"/>
      </w:pPr>
      <w:r>
        <w:rPr>
          <w:rFonts w:ascii="Arial" w:cs="Arial" w:eastAsia="Arial" w:hAnsi="Arial"/>
          <w:b/>
          <w:bCs/>
          <w:color w:val="2E5090"/>
          <w:sz w:val="24"/>
          <w:szCs w:val="24"/>
        </w:rPr>
        <w:t xml:space="preserve">6.3 Conversion de Coordenadas</w:t>
      </w:r>
    </w:p>
    <w:p>
      <w:pPr>
        <w:spacing w:after="120"/>
        <w:jc w:val="both"/>
      </w:pPr>
      <w:r>
        <w:rPr>
          <w:rFonts w:ascii="Arial" w:cs="Arial" w:eastAsia="Arial" w:hAnsi="Arial"/>
          <w:sz w:val="20"/>
          <w:szCs w:val="20"/>
        </w:rPr>
        <w:t xml:space="preserve">Todas las posiciones se expresan en coordenadas cartesianas (yardas, HVU en origen):</w:t>
      </w:r>
    </w:p>
    <w:p>
      <w:pPr>
        <w:spacing w:after="80" w:before="80"/>
        <w:jc w:val="center"/>
      </w:pPr>
      <w:r>
        <w:rPr>
          <w:rFonts w:ascii="Courier New" w:cs="Courier New" w:eastAsia="Courier New" w:hAnsi="Courier New"/>
          <w:b/>
          <w:bCs/>
          <w:sz w:val="18"/>
          <w:szCs w:val="18"/>
        </w:rPr>
        <w:t xml:space="preserve">X = Distancia_yd x SIN(marcacion_rad)   |   Y = Distancia_yd x COS(marcacion_rad)</w:t>
      </w:r>
    </w:p>
    <w:p>
      <w:pPr>
        <w:spacing w:after="120"/>
        <w:jc w:val="both"/>
      </w:pPr>
      <w:r>
        <w:rPr>
          <w:rFonts w:ascii="Arial" w:cs="Arial" w:eastAsia="Arial" w:hAnsi="Arial"/>
          <w:sz w:val="20"/>
          <w:szCs w:val="20"/>
        </w:rPr>
        <w:t xml:space="preserve">Los circulos de cobertura se generan con 73 puntos cada 5 grados. 1 milla nautica = 2.025,4 yardas.</w:t>
      </w:r>
    </w:p>
    <w:p>
      <w:pPr>
        <w:pStyle w:val="Heading1"/>
        <w:spacing w:after="180" w:before="360"/>
      </w:pPr>
      <w:r>
        <w:rPr>
          <w:rFonts w:ascii="Arial" w:cs="Arial" w:eastAsia="Arial" w:hAnsi="Arial"/>
          <w:b/>
          <w:bCs/>
          <w:color w:val="1F3864"/>
          <w:sz w:val="28"/>
          <w:szCs w:val="28"/>
        </w:rPr>
        <w:t xml:space="preserve">7. SIMULACION MONTE CARLO</w:t>
      </w:r>
    </w:p>
    <w:p>
      <w:pPr>
        <w:spacing w:after="120"/>
        <w:jc w:val="both"/>
      </w:pPr>
      <w:r>
        <w:rPr>
          <w:rFonts w:ascii="Arial" w:cs="Arial" w:eastAsia="Arial" w:hAnsi="Arial"/>
          <w:sz w:val="20"/>
          <w:szCs w:val="20"/>
        </w:rPr>
        <w:t xml:space="preserve">La hoja 3_MONTECARLO genera 100 escenarios con distancia de lanzamiento del ASM aleatoria (RANDBETWEEN entre 1 y 60 mn). Para cada escenario: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Se calcula Pd(D) por interpolacion.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Se calcula Pk ESSM (si D &lt;= 25 mn) y Pk SC (si D &lt;= 12 mn).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Se calcula Pk total por defensa en capas.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Se determina si el ASM es neutralizado (Pk &gt; 50%).</w:t>
      </w:r>
    </w:p>
    <w:p>
      <w:pPr>
        <w:spacing w:after="120"/>
        <w:jc w:val="both"/>
      </w:pPr>
      <w:r>
        <w:rPr>
          <w:rFonts w:ascii="Arial" w:cs="Arial" w:eastAsia="Arial" w:hAnsi="Arial"/>
          <w:sz w:val="20"/>
          <w:szCs w:val="20"/>
        </w:rPr>
        <w:t xml:space="preserve">Presionar F9 recalcula todos los escenarios con nuevos valores aleatorios. El resumen estadistico incluye Pk promedio, maximo, minimo y porcentaje de escenarios neutralizados.</w:t>
      </w:r>
    </w:p>
    <w:p>
      <w:pPr>
        <w:pStyle w:val="Heading1"/>
        <w:spacing w:after="180" w:before="360"/>
      </w:pPr>
      <w:r>
        <w:rPr>
          <w:rFonts w:ascii="Arial" w:cs="Arial" w:eastAsia="Arial" w:hAnsi="Arial"/>
          <w:b/>
          <w:bCs/>
          <w:color w:val="1F3864"/>
          <w:sz w:val="28"/>
          <w:szCs w:val="28"/>
        </w:rPr>
        <w:t xml:space="preserve">8. COBERTURA VISUAL Y COMPARACION DE EFICIENCIA</w:t>
      </w:r>
    </w:p>
    <w:p>
      <w:pPr>
        <w:pStyle w:val="Heading2"/>
        <w:spacing w:after="120" w:before="240"/>
      </w:pPr>
      <w:r>
        <w:rPr>
          <w:rFonts w:ascii="Arial" w:cs="Arial" w:eastAsia="Arial" w:hAnsi="Arial"/>
          <w:b/>
          <w:bCs/>
          <w:color w:val="2E5090"/>
          <w:sz w:val="24"/>
          <w:szCs w:val="24"/>
        </w:rPr>
        <w:t xml:space="preserve">8.1 Diagrama Polar</w:t>
      </w:r>
    </w:p>
    <w:p>
      <w:pPr>
        <w:spacing w:after="120"/>
        <w:jc w:val="both"/>
      </w:pPr>
      <w:r>
        <w:rPr>
          <w:rFonts w:ascii="Arial" w:cs="Arial" w:eastAsia="Arial" w:hAnsi="Arial"/>
          <w:sz w:val="20"/>
          <w:szCs w:val="20"/>
        </w:rPr>
        <w:t xml:space="preserve">La hoja 4_COBERTURA muestra un grafico de dispersion (XY) con HVU en el origen. Solo los buques activos segun la configuracion seleccionada generan circulos en el grafico. Circulos de referencia: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R=500 yd: limite interior zona FF23.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R=2.000 yd: frontera FF23/FFG.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R=5.000 yd: limite exterior zona FFG.</w:t>
      </w:r>
    </w:p>
    <w:p>
      <w:pPr>
        <w:pStyle w:val="Heading2"/>
        <w:spacing w:after="120" w:before="240"/>
      </w:pPr>
      <w:r>
        <w:rPr>
          <w:rFonts w:ascii="Arial" w:cs="Arial" w:eastAsia="Arial" w:hAnsi="Arial"/>
          <w:b/>
          <w:bCs/>
          <w:color w:val="2E5090"/>
          <w:sz w:val="24"/>
          <w:szCs w:val="24"/>
        </w:rPr>
        <w:t xml:space="preserve">8.2 Comparacion de Eficiencia</w:t>
      </w:r>
    </w:p>
    <w:p>
      <w:pPr>
        <w:spacing w:after="120"/>
        <w:jc w:val="both"/>
      </w:pPr>
      <w:r>
        <w:rPr>
          <w:rFonts w:ascii="Arial" w:cs="Arial" w:eastAsia="Arial" w:hAnsi="Arial"/>
          <w:sz w:val="20"/>
          <w:szCs w:val="20"/>
        </w:rPr>
        <w:t xml:space="preserve">La seccion de comparacion calcula para cada buque: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Eficiencia angular = 1 - min(|marc_actual - marc_optima|, 360 - |...|) / 180. Mide alineacion con posicion optima Montecarlo.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Eficiencia distancia = max(0, 1 - |d_actual - d_optima| / d_optima). Mide adecuacion de la distancia.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Eficiencia TOTAL = Efic.angular x 0.7 + Efic.distancia x 0.3 (la marcacion pesa mas).</w:t>
      </w:r>
    </w:p>
    <w:p>
      <w:pPr>
        <w:spacing w:after="120"/>
        <w:jc w:val="both"/>
      </w:pPr>
      <w:r>
        <w:rPr>
          <w:rFonts w:ascii="Arial" w:cs="Arial" w:eastAsia="Arial" w:hAnsi="Arial"/>
          <w:sz w:val="20"/>
          <w:szCs w:val="20"/>
        </w:rPr>
        <w:t xml:space="preserve">Una eficiencia total &gt;= 90% indica posicion optima. Menor a 50% indica reposicionamiento urgente.</w:t>
      </w:r>
    </w:p>
    <w:p>
      <w:pPr>
        <w:pStyle w:val="Heading1"/>
        <w:spacing w:after="180" w:before="360"/>
      </w:pPr>
      <w:r>
        <w:rPr>
          <w:rFonts w:ascii="Arial" w:cs="Arial" w:eastAsia="Arial" w:hAnsi="Arial"/>
          <w:b/>
          <w:bCs/>
          <w:color w:val="1F3864"/>
          <w:sz w:val="28"/>
          <w:szCs w:val="28"/>
        </w:rPr>
        <w:t xml:space="preserve">9. HOJA 5 – RADIOS MISILES MULTICONFIGURACION</w:t>
      </w:r>
    </w:p>
    <w:p>
      <w:pPr>
        <w:spacing w:after="120"/>
        <w:jc w:val="both"/>
      </w:pPr>
      <w:r>
        <w:rPr>
          <w:rFonts w:ascii="Arial" w:cs="Arial" w:eastAsia="Arial" w:hAnsi="Arial"/>
          <w:sz w:val="20"/>
          <w:szCs w:val="20"/>
        </w:rPr>
        <w:t xml:space="preserve">La hoja 5_RADIOS permite visualizar las 6 configuraciones de flota (1-FFG+1-FF23 hasta 2-FFG+3-FF23). Los circulos de alcance ESSM (25mn) y Sea Ceptor (12mn) se centran en la posicion real de cada buque y se desplazan al modificar distancias y marcaciones. Solo los buques activos generan circulos. La tabla comparativa de las 6 configuraciones incluye la evaluacion de cobertura y recomendacion tactica.</w:t>
      </w:r>
    </w:p>
    <w:p>
      <w:pPr>
        <w:pStyle w:val="Heading1"/>
        <w:spacing w:after="180" w:before="360"/>
      </w:pPr>
      <w:r>
        <w:rPr>
          <w:rFonts w:ascii="Arial" w:cs="Arial" w:eastAsia="Arial" w:hAnsi="Arial"/>
          <w:b/>
          <w:bCs/>
          <w:color w:val="1F3864"/>
          <w:sz w:val="28"/>
          <w:szCs w:val="28"/>
        </w:rPr>
        <w:t xml:space="preserve">10. INSTRUCCIONES DE USO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Vaya a 1_DATOS y modifique SOLO las celdas de fondo amarillo.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Para cambiar la configuracion de flota, use la lista desplegable en 1_DATOS!C45.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Para cambiar el eje de amenaza, modifique 1_DATOS!C32 (0-359°).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Presione F9 para recalcular los escenarios Monte Carlo.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Las posiciones optimas en 3_MONTECARLO se recalculan automaticamente con el eje de amenaza.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La comparacion de eficiencia en 4_COBERTURA se actualiza con cada cambio de posicion.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Los graficos de 4_COBERTURA y 5_RADIOS son graficos de Dispersion (XY) con lineas suavizadas – inserte uno nuevo si desea recrearlo desde cero seleccionando los rangos de coordenadas.</w:t>
      </w:r>
    </w:p>
    <w:p>
      <w:pPr>
        <w:pStyle w:val="Heading1"/>
        <w:spacing w:after="180" w:before="360"/>
      </w:pPr>
      <w:r>
        <w:rPr>
          <w:rFonts w:ascii="Arial" w:cs="Arial" w:eastAsia="Arial" w:hAnsi="Arial"/>
          <w:b/>
          <w:bCs/>
          <w:color w:val="1F3864"/>
          <w:sz w:val="28"/>
          <w:szCs w:val="28"/>
        </w:rPr>
        <w:t xml:space="preserve">11. REFERENCIAS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Raytheon RIM-162 ESSM / RIM-66 SM-2 Technical Data Sheets.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MBDA Sea Ceptor / CAMM Technical Documentation.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ATP-1(D) Allied Maritime Tactical Instructions (OTAN).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Wayne P. Hughes Jr., Fleet Tactics and Coastal Combat, 2nd Ed.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Formula Pk estandar: probabilidad de kill acumulada con n salvas independientes.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Conversiones: 1 kn = 0.5144 m/s; 1 mn = 1852 m = 2025.4 yd.</w:t>
      </w:r>
    </w:p>
    <w:p>
      <w:r>
        <w:br w:type="page"/>
      </w:r>
    </w:p>
    <w:p>
      <w:pPr>
        <w:spacing w:before="1000"/>
        <w:jc w:val="center"/>
      </w:pPr>
      <w:r>
        <w:rPr>
          <w:rFonts w:ascii="Arial" w:cs="Arial" w:eastAsia="Arial" w:hAnsi="Arial"/>
          <w:b/>
          <w:bCs/>
          <w:color w:val="1F3864"/>
          <w:sz w:val="20"/>
          <w:szCs w:val="20"/>
        </w:rPr>
        <w:t xml:space="preserve">FIN DEL DOCUMENTO – SIMULACION NAVAL v2.0</w:t>
      </w:r>
    </w:p>
    <w:sectPr>
      <w:pgSz w:w="12240" w:h="15840" w:orient="portrait"/>
      <w:pgMar w:top="1440" w:right="1260" w:bottom="1440" w:left="126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72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spacing w:after="180" w:before="360"/>
      <w:outlineLvl w:val="0"/>
    </w:pPr>
    <w:rPr>
      <w:rFonts w:ascii="Arial" w:cs="Arial" w:eastAsia="Arial" w:hAnsi="Arial"/>
      <w:b/>
      <w:bCs/>
      <w:color w:val="1F3864"/>
      <w:sz w:val="28"/>
      <w:szCs w:val="28"/>
    </w:rPr>
  </w:style>
  <w:style w:type="paragraph" w:styleId="Heading2">
    <w:name w:val="Heading 2"/>
    <w:basedOn w:val="Normal"/>
    <w:next w:val="Normal"/>
    <w:qFormat/>
    <w:pPr>
      <w:spacing w:after="120" w:before="240"/>
      <w:outlineLvl w:val="1"/>
    </w:pPr>
    <w:rPr>
      <w:rFonts w:ascii="Arial" w:cs="Arial" w:eastAsia="Arial" w:hAnsi="Arial"/>
      <w:b/>
      <w:bCs/>
      <w:color w:val="2E5090"/>
      <w:sz w:val="24"/>
      <w:szCs w:val="24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2026-04-08T12:23:37.698Z</dcterms:created>
  <dcterms:modified xsi:type="dcterms:W3CDTF">2026-04-08T12:23:37.698Z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