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B4676" w14:textId="3ECED3E5" w:rsidR="008D62F4" w:rsidRDefault="008D62F4" w:rsidP="00BE0B12">
      <w:pPr>
        <w:pStyle w:val="Ttulo2"/>
        <w:spacing w:before="0"/>
        <w:jc w:val="center"/>
        <w:rPr>
          <w:rFonts w:ascii="Segoe UI" w:eastAsia="Times New Roman" w:hAnsi="Segoe UI" w:cs="Segoe UI"/>
          <w:color w:val="000000" w:themeColor="text1"/>
          <w:kern w:val="0"/>
          <w:sz w:val="24"/>
          <w:szCs w:val="24"/>
          <w14:ligatures w14:val="none"/>
        </w:rPr>
      </w:pPr>
      <w:r w:rsidRPr="008D62F4">
        <w:rPr>
          <w:color w:val="000000" w:themeColor="text1"/>
          <w:sz w:val="24"/>
          <w:szCs w:val="24"/>
        </w:rPr>
        <w:t xml:space="preserve">CUC VOLUNTARIO </w:t>
      </w:r>
      <w:r w:rsidRPr="008D62F4">
        <w:rPr>
          <w:rFonts w:ascii="Segoe UI" w:eastAsia="Times New Roman" w:hAnsi="Segoe UI" w:cs="Segoe UI"/>
          <w:color w:val="000000" w:themeColor="text1"/>
          <w:kern w:val="0"/>
          <w:sz w:val="24"/>
          <w:szCs w:val="24"/>
          <w14:ligatures w14:val="none"/>
        </w:rPr>
        <w:t>Contenedores y sistemas asociados</w:t>
      </w:r>
      <w:r w:rsidR="0044498F">
        <w:rPr>
          <w:rFonts w:ascii="Segoe UI" w:eastAsia="Times New Roman" w:hAnsi="Segoe UI" w:cs="Segoe UI"/>
          <w:color w:val="000000" w:themeColor="text1"/>
          <w:kern w:val="0"/>
          <w:sz w:val="24"/>
          <w:szCs w:val="24"/>
          <w14:ligatures w14:val="none"/>
        </w:rPr>
        <w:t>.</w:t>
      </w:r>
    </w:p>
    <w:p w14:paraId="66404B30" w14:textId="77777777" w:rsidR="00BE0B12" w:rsidRPr="00BE0B12" w:rsidRDefault="00BE0B12" w:rsidP="00BE0B12"/>
    <w:p w14:paraId="41656CDA" w14:textId="4D2299B1" w:rsidR="00A97270" w:rsidRPr="006E769A" w:rsidRDefault="00C27A55" w:rsidP="00C27A55">
      <w:pPr>
        <w:spacing w:line="240" w:lineRule="auto"/>
        <w:ind w:left="-5"/>
        <w:rPr>
          <w:sz w:val="22"/>
          <w:szCs w:val="22"/>
        </w:rPr>
      </w:pPr>
      <w:r>
        <w:rPr>
          <w:sz w:val="22"/>
          <w:szCs w:val="22"/>
        </w:rPr>
        <w:t xml:space="preserve">Respuesta 1: </w:t>
      </w:r>
      <w:r w:rsidRPr="006E769A">
        <w:rPr>
          <w:sz w:val="22"/>
          <w:szCs w:val="22"/>
        </w:rPr>
        <w:t>El uso del contenedor en el transporte marítimo se originó en 1956, cuando el empresario estadounidense Malcolm McLean materializó la idea de trasladar mercancías dentro de grandes cajas metálicas estandarizadas, capaces de ser movidas fácilmente entre camiones, trenes y barcos sin necesidad de manipular la carga interior. Esta innovación redujo tiempos de carga y descarga, mejoró la seguridad y abarató los costos del comercio internacional. A partir de entonces surgieron los primeros buques portacontenedores, adaptados especialmente para transportar estos módulos. Con el paso del tiempo, estas naves evolucionaron hacia embarcaciones cada vez más grandes, automatizadas y seguras, equipadas con bodegas de guías celulares, sistemas de trincaje automáticos y tecnología de control de estabilidad. Actualmente, buques como el Verónica B de la naviera Boluda Lines representan esta evolución, combinando eficiencia operativa, seguridad y capacidad para transportar más de mil TEUs.</w:t>
      </w:r>
    </w:p>
    <w:p w14:paraId="07F2DC1F" w14:textId="24ED86A5" w:rsidR="00A97270" w:rsidRPr="006E769A" w:rsidRDefault="00CC0DF7">
      <w:pPr>
        <w:ind w:left="-5"/>
        <w:rPr>
          <w:sz w:val="22"/>
          <w:szCs w:val="22"/>
        </w:rPr>
      </w:pPr>
      <w:r>
        <w:rPr>
          <w:sz w:val="22"/>
          <w:szCs w:val="22"/>
        </w:rPr>
        <w:t xml:space="preserve">Respuesta 2: </w:t>
      </w:r>
      <w:r w:rsidRPr="006E769A">
        <w:rPr>
          <w:sz w:val="22"/>
          <w:szCs w:val="22"/>
        </w:rPr>
        <w:t>Según el trabajo, los principales tipos son: Dry Van / High Cube: Contenedores cerrados usados para carga seca (cajas, pallets, sacos). El High Cube es 30 cm más alto y permite mayor volumen. Open Top: Sin techo fijo, cubierto con lona. Se emplea para cargas de gran altura como maquinaria o tubos. Flat Rack: Sin paredes laterales y con extremos abatibles; se usa para cargas pesadas o sobredimensionadas (vehículos, bobinas, estructuras). Reefer (Refrigerado): Equipado con unidad de refrigeración eléctrica. Mantiene productos perecibles a temperatura controlada (frutas, carne, pescado). Contenedor Tanque: Estructura metálica con tanque interior para líquidos a granel (combustibles, aceites, químicos). Pallet Wide: Algo más ancho que el estándar; permite cargar más pallets europeos por fila. Jaula o “platanera”: Usada originalmente para plátanos; hoy transporta chatarra o materiales voluminosos.</w:t>
      </w:r>
    </w:p>
    <w:p w14:paraId="302B2925" w14:textId="6BDDF2EA" w:rsidR="00A97270" w:rsidRPr="006E769A" w:rsidRDefault="005212AE" w:rsidP="00436232">
      <w:pPr>
        <w:ind w:left="-5"/>
        <w:rPr>
          <w:sz w:val="22"/>
          <w:szCs w:val="22"/>
        </w:rPr>
      </w:pPr>
      <w:r>
        <w:rPr>
          <w:sz w:val="22"/>
          <w:szCs w:val="22"/>
        </w:rPr>
        <w:t xml:space="preserve">Respuesta 3: </w:t>
      </w:r>
      <w:r w:rsidRPr="006E769A">
        <w:rPr>
          <w:sz w:val="22"/>
          <w:szCs w:val="22"/>
        </w:rPr>
        <w:t>Todo contenedor se identifica mediante un código alfanumérico de 11 caracteres, normalizado por la ISO. Ejemplo: NPWU 495970-0 - NPW: Tres letras del propietario. U: Tipo de unidad (U = contenedor universal). - 495970: Número de serie.</w:t>
      </w:r>
      <w:r w:rsidR="00436232">
        <w:rPr>
          <w:sz w:val="22"/>
          <w:szCs w:val="22"/>
        </w:rPr>
        <w:t xml:space="preserve"> </w:t>
      </w:r>
      <w:r w:rsidRPr="006E769A">
        <w:rPr>
          <w:sz w:val="22"/>
          <w:szCs w:val="22"/>
        </w:rPr>
        <w:t>0: Dígito de control, calculado con un algoritmo (suma ponderada y módulo 11). Este código permite registrar y rastrear cada contenedor en toda la cadena logística internacional.</w:t>
      </w:r>
    </w:p>
    <w:p w14:paraId="71A780EE" w14:textId="35D726F7" w:rsidR="00A97270" w:rsidRPr="006E769A" w:rsidRDefault="005212AE">
      <w:pPr>
        <w:spacing w:after="0"/>
        <w:ind w:left="-5"/>
        <w:rPr>
          <w:sz w:val="22"/>
          <w:szCs w:val="22"/>
        </w:rPr>
      </w:pPr>
      <w:r>
        <w:rPr>
          <w:sz w:val="22"/>
          <w:szCs w:val="22"/>
        </w:rPr>
        <w:t>Respuesta 4: S</w:t>
      </w:r>
      <w:r w:rsidRPr="006E769A">
        <w:rPr>
          <w:sz w:val="22"/>
          <w:szCs w:val="22"/>
        </w:rPr>
        <w:t xml:space="preserve">istemas según su ubicación: En bodega (con guías celulares): Cono de estiba: En la base de la bodega, encaja con las esquinas del contenedor inferior. Cono autoposicionador: Entre contenedores apilados, los mantiene alineados. En cubierta:  Twistlocks: Dispositivos que bloquean las esquinas superiores e inferiores de los contenedores al girar 90°. Picos de loro: Sujetan contenedores de 20 pies. Barras de trinca y tensores: Se colocan en diagonal entre los puntos de anclaje del buque y las esquinas de los contenedores, aplicando tensión para resistir movimientos de balance o cabeceo. </w:t>
      </w:r>
    </w:p>
    <w:p w14:paraId="420A1A08" w14:textId="77777777" w:rsidR="00A97270" w:rsidRPr="006E769A" w:rsidRDefault="00FE03CC">
      <w:pPr>
        <w:ind w:left="-5"/>
        <w:rPr>
          <w:sz w:val="22"/>
          <w:szCs w:val="22"/>
        </w:rPr>
      </w:pPr>
      <w:r w:rsidRPr="006E769A">
        <w:rPr>
          <w:sz w:val="22"/>
          <w:szCs w:val="22"/>
        </w:rPr>
        <w:lastRenderedPageBreak/>
        <w:t>Fundamentos: Piezas soldadas en cubierta o tapas de escotilla que sirven como base de apoyo y punto de anclaje. Un trincaje correcto evita desplazamientos, daños estructurales o pérdidas durante la navegación.</w:t>
      </w:r>
    </w:p>
    <w:p w14:paraId="3A8832EC" w14:textId="77BA89CC" w:rsidR="00A97270" w:rsidRPr="006E769A" w:rsidRDefault="005212AE">
      <w:pPr>
        <w:ind w:left="-5"/>
        <w:rPr>
          <w:sz w:val="22"/>
          <w:szCs w:val="22"/>
        </w:rPr>
      </w:pPr>
      <w:r>
        <w:rPr>
          <w:sz w:val="22"/>
          <w:szCs w:val="22"/>
        </w:rPr>
        <w:t xml:space="preserve">Respuesta 5: </w:t>
      </w:r>
      <w:r w:rsidRPr="006E769A">
        <w:rPr>
          <w:sz w:val="22"/>
          <w:szCs w:val="22"/>
        </w:rPr>
        <w:t>Aunque el documento no presenta casos concretos con imágenes, señala los riesgos derivados de una mala estiba o trincaje deficiente:  Caídas de contenedores al mar por rotura de twistlocks o tensores mal colocados. Desplazamiento de la carga interior dentro del contenedor, causando daños estructurales. Incendios o explosiones por mala segregación de mercancías peligrosas o incompatibles. Pérdida de visibilidad desde el puente por estiba excesiva en altura. Daños estructurales por sobrepeso o mala distribución. Estos eventos demuestran la importancia de respetar las normas de estiba y mantenimiento de equipos.</w:t>
      </w:r>
    </w:p>
    <w:p w14:paraId="7114F3D1" w14:textId="7591DE9B" w:rsidR="00A97270" w:rsidRPr="006E769A" w:rsidRDefault="00BE0B12">
      <w:pPr>
        <w:ind w:left="-5"/>
        <w:rPr>
          <w:sz w:val="22"/>
          <w:szCs w:val="22"/>
        </w:rPr>
      </w:pPr>
      <w:r>
        <w:rPr>
          <w:sz w:val="22"/>
          <w:szCs w:val="22"/>
        </w:rPr>
        <w:t xml:space="preserve">Respuesta 6: </w:t>
      </w:r>
      <w:r w:rsidRPr="006E769A">
        <w:rPr>
          <w:sz w:val="22"/>
          <w:szCs w:val="22"/>
        </w:rPr>
        <w:t>El transporte marítimo de contenedores continuará avanzando hacia una mayor automatización, digitalización y sostenibilidad ambiental. En los próximos años se espera:  Buques más grandes y eficientes, impulsados por combustibles limpios. Puertos automatizados con grúas y vehículos eléctricos autónomos. Sistemas digitales de planificación de estiba que optimicen la distribución del peso. Contenedores inteligentes con sensores de temperatura, humedad y localización. El transporte contenerizado seguirá siendo la columna vertebral del comercio mundial, evolucionando hacia operaciones más seguras, rápidas y sostenibles.</w:t>
      </w:r>
    </w:p>
    <w:sectPr w:rsidR="00A97270" w:rsidRPr="006E769A">
      <w:pgSz w:w="11906" w:h="16838"/>
      <w:pgMar w:top="1639" w:right="1560" w:bottom="2436"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A0AB4" w14:textId="77777777" w:rsidR="000F73E8" w:rsidRDefault="000F73E8" w:rsidP="008D62F4">
      <w:pPr>
        <w:spacing w:after="0" w:line="240" w:lineRule="auto"/>
      </w:pPr>
      <w:r>
        <w:separator/>
      </w:r>
    </w:p>
  </w:endnote>
  <w:endnote w:type="continuationSeparator" w:id="0">
    <w:p w14:paraId="651346F6" w14:textId="77777777" w:rsidR="000F73E8" w:rsidRDefault="000F73E8" w:rsidP="008D6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A592B" w14:textId="77777777" w:rsidR="000F73E8" w:rsidRDefault="000F73E8" w:rsidP="008D62F4">
      <w:pPr>
        <w:spacing w:after="0" w:line="240" w:lineRule="auto"/>
      </w:pPr>
      <w:r>
        <w:separator/>
      </w:r>
    </w:p>
  </w:footnote>
  <w:footnote w:type="continuationSeparator" w:id="0">
    <w:p w14:paraId="17DFCE2D" w14:textId="77777777" w:rsidR="000F73E8" w:rsidRDefault="000F73E8" w:rsidP="008D6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1F81"/>
    <w:multiLevelType w:val="hybridMultilevel"/>
    <w:tmpl w:val="FFFFFFFF"/>
    <w:lvl w:ilvl="0" w:tplc="AC42D5EC">
      <w:start w:val="1"/>
      <w:numFmt w:val="decimal"/>
      <w:pStyle w:val="Ttulo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778A85F2">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F356C3B6">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BDE6B8C2">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8F0AF00E">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EB664CCE">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CCC65B42">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660408E4">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78D61E4C">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F3B2C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2987829">
    <w:abstractNumId w:val="0"/>
  </w:num>
  <w:num w:numId="2" w16cid:durableId="675574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270"/>
    <w:rsid w:val="00091BE6"/>
    <w:rsid w:val="000F73E8"/>
    <w:rsid w:val="00211415"/>
    <w:rsid w:val="003922C5"/>
    <w:rsid w:val="003E3A0D"/>
    <w:rsid w:val="00436232"/>
    <w:rsid w:val="0044498F"/>
    <w:rsid w:val="00474FFA"/>
    <w:rsid w:val="005212AE"/>
    <w:rsid w:val="00556DA8"/>
    <w:rsid w:val="006E769A"/>
    <w:rsid w:val="007E0CD8"/>
    <w:rsid w:val="008D62F4"/>
    <w:rsid w:val="00912D1B"/>
    <w:rsid w:val="009B30FA"/>
    <w:rsid w:val="00A97270"/>
    <w:rsid w:val="00AF025A"/>
    <w:rsid w:val="00BB10DB"/>
    <w:rsid w:val="00BE0B12"/>
    <w:rsid w:val="00BE728C"/>
    <w:rsid w:val="00C27A55"/>
    <w:rsid w:val="00CB565C"/>
    <w:rsid w:val="00CC0DF7"/>
    <w:rsid w:val="00FE03C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470C8B81"/>
  <w15:docId w15:val="{854B071F-CC29-9840-91FD-0A29C29E3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L"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58" w:line="250" w:lineRule="auto"/>
      <w:ind w:left="10" w:hanging="10"/>
    </w:pPr>
    <w:rPr>
      <w:rFonts w:ascii="Arial" w:eastAsia="Arial" w:hAnsi="Arial" w:cs="Arial"/>
      <w:color w:val="000000"/>
      <w:sz w:val="20"/>
    </w:rPr>
  </w:style>
  <w:style w:type="paragraph" w:styleId="Ttulo1">
    <w:name w:val="heading 1"/>
    <w:next w:val="Normal"/>
    <w:link w:val="Ttulo1Car"/>
    <w:uiPriority w:val="9"/>
    <w:qFormat/>
    <w:pPr>
      <w:keepNext/>
      <w:keepLines/>
      <w:numPr>
        <w:numId w:val="1"/>
      </w:numPr>
      <w:spacing w:after="166" w:line="264" w:lineRule="auto"/>
      <w:ind w:left="10" w:hanging="10"/>
      <w:outlineLvl w:val="0"/>
    </w:pPr>
    <w:rPr>
      <w:rFonts w:ascii="Arial" w:eastAsia="Arial" w:hAnsi="Arial" w:cs="Arial"/>
      <w:b/>
      <w:color w:val="000000"/>
      <w:sz w:val="28"/>
    </w:rPr>
  </w:style>
  <w:style w:type="paragraph" w:styleId="Ttulo2">
    <w:name w:val="heading 2"/>
    <w:basedOn w:val="Normal"/>
    <w:next w:val="Normal"/>
    <w:link w:val="Ttulo2Car"/>
    <w:uiPriority w:val="9"/>
    <w:unhideWhenUsed/>
    <w:qFormat/>
    <w:rsid w:val="008D6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8"/>
    </w:rPr>
  </w:style>
  <w:style w:type="paragraph" w:styleId="Encabezado">
    <w:name w:val="header"/>
    <w:basedOn w:val="Normal"/>
    <w:link w:val="EncabezadoCar"/>
    <w:uiPriority w:val="99"/>
    <w:unhideWhenUsed/>
    <w:rsid w:val="008D62F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62F4"/>
    <w:rPr>
      <w:rFonts w:ascii="Arial" w:eastAsia="Arial" w:hAnsi="Arial" w:cs="Arial"/>
      <w:color w:val="000000"/>
      <w:sz w:val="20"/>
    </w:rPr>
  </w:style>
  <w:style w:type="paragraph" w:styleId="Piedepgina">
    <w:name w:val="footer"/>
    <w:basedOn w:val="Normal"/>
    <w:link w:val="PiedepginaCar"/>
    <w:uiPriority w:val="99"/>
    <w:unhideWhenUsed/>
    <w:rsid w:val="008D62F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D62F4"/>
    <w:rPr>
      <w:rFonts w:ascii="Arial" w:eastAsia="Arial" w:hAnsi="Arial" w:cs="Arial"/>
      <w:color w:val="000000"/>
      <w:sz w:val="20"/>
    </w:rPr>
  </w:style>
  <w:style w:type="character" w:customStyle="1" w:styleId="Ttulo2Car">
    <w:name w:val="Título 2 Car"/>
    <w:basedOn w:val="Fuentedeprrafopredeter"/>
    <w:link w:val="Ttulo2"/>
    <w:uiPriority w:val="9"/>
    <w:semiHidden/>
    <w:rsid w:val="008D62F4"/>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3790</Characters>
  <Application>Microsoft Office Word</Application>
  <DocSecurity>0</DocSecurity>
  <Lines>31</Lines>
  <Paragraphs>8</Paragraphs>
  <ScaleCrop>false</ScaleCrop>
  <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Antonia Alvarez Simonetti</cp:lastModifiedBy>
  <cp:revision>2</cp:revision>
  <dcterms:created xsi:type="dcterms:W3CDTF">2025-10-12T23:01:00Z</dcterms:created>
  <dcterms:modified xsi:type="dcterms:W3CDTF">2025-10-12T23:01:00Z</dcterms:modified>
</cp:coreProperties>
</file>