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7BB" w:rsidRPr="007D47BB" w:rsidRDefault="007D47BB" w:rsidP="007D47B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7D47BB">
        <w:rPr>
          <w:rFonts w:ascii="Arial" w:eastAsia="Times New Roman" w:hAnsi="Arial" w:cs="Arial"/>
          <w:vanish/>
          <w:sz w:val="16"/>
          <w:szCs w:val="16"/>
          <w:lang w:eastAsia="es-CL"/>
        </w:rPr>
        <w:t>Principio del formulario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7D47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Ley 21.675 (de equidad de género) entiende por “violencia gineco</w:t>
      </w:r>
      <w:bookmarkStart w:id="0" w:name="_GoBack"/>
      <w:bookmarkEnd w:id="0"/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-obstétrica”, aquel maltrato, agresión psicológica, física o sexual, negación injustificada o abuso en la:</w:t>
      </w:r>
    </w:p>
    <w:p w:rsidR="007D47BB" w:rsidRPr="007D47BB" w:rsidRDefault="007D47BB" w:rsidP="007D47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Atención de la salud sexual y reproductiva de la mujer.</w:t>
      </w:r>
    </w:p>
    <w:p w:rsidR="007D47BB" w:rsidRPr="007D47BB" w:rsidRDefault="007D47BB" w:rsidP="007D47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Durante la gestación, preparto, parto, puerperio, aborto o urgencia ginecológica.</w:t>
      </w:r>
    </w:p>
    <w:p w:rsidR="007D47BB" w:rsidRPr="007D47BB" w:rsidRDefault="007D47BB" w:rsidP="007D47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Difusión de mensajes, textos, sonidos o imágenes en medios de comunicación que naturalizan estereotipos.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6" type="#_x0000_t75" style="width:20.25pt;height:17.25pt" o:ole="">
            <v:imagedata r:id="rId4" o:title=""/>
          </v:shape>
          <w:control r:id="rId5" w:name="DefaultOcxName" w:shapeid="_x0000_i1096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099" type="#_x0000_t75" style="width:20.25pt;height:17.25pt" o:ole="">
            <v:imagedata r:id="rId4" o:title=""/>
          </v:shape>
          <w:control r:id="rId6" w:name="DefaultOcxName1" w:shapeid="_x0000_i1099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02" type="#_x0000_t75" style="width:20.25pt;height:17.25pt" o:ole="">
            <v:imagedata r:id="rId7" o:title=""/>
          </v:shape>
          <w:control r:id="rId8" w:name="DefaultOcxName2" w:shapeid="_x0000_i1102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05" type="#_x0000_t75" style="width:20.25pt;height:17.25pt" o:ole="">
            <v:imagedata r:id="rId4" o:title=""/>
          </v:shape>
          <w:control r:id="rId9" w:name="DefaultOcxName3" w:shapeid="_x0000_i1105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7D47B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2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7D47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ley 21.675 (de equidad de género) establece que será un tipo de violencia aquellas “Acciones u omisiones en relaciones afectivas o familiares que buscan controlar la autonomía económica de la mujer o su patrimonio, afectando también a sus hijos o personas bajo su cuidado”. La cita anterior se relaciona con la violencia de tipo: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2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08" type="#_x0000_t75" style="width:20.25pt;height:17.25pt" o:ole="">
            <v:imagedata r:id="rId4" o:title=""/>
          </v:shape>
          <w:control r:id="rId10" w:name="DefaultOcxName4" w:shapeid="_x0000_i1108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Institucional.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11" type="#_x0000_t75" style="width:20.25pt;height:17.25pt" o:ole="">
            <v:imagedata r:id="rId4" o:title=""/>
          </v:shape>
          <w:control r:id="rId11" w:name="DefaultOcxName5" w:shapeid="_x0000_i1111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Sexual.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14" type="#_x0000_t75" style="width:20.25pt;height:17.25pt" o:ole="">
            <v:imagedata r:id="rId7" o:title=""/>
          </v:shape>
          <w:control r:id="rId12" w:name="DefaultOcxName6" w:shapeid="_x0000_i1114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Económica.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17" type="#_x0000_t75" style="width:20.25pt;height:17.25pt" o:ole="">
            <v:imagedata r:id="rId4" o:title=""/>
          </v:shape>
          <w:control r:id="rId13" w:name="DefaultOcxName7" w:shapeid="_x0000_i1117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Simbólica.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7D47B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Económica.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3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7D47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ley 21.675 (de equidad de género) mandata a los órganos del Estado para que:</w:t>
      </w:r>
    </w:p>
    <w:p w:rsidR="007D47BB" w:rsidRPr="007D47BB" w:rsidRDefault="007D47BB" w:rsidP="007D47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   Actuar con estándares de debida diligencia.</w:t>
      </w:r>
    </w:p>
    <w:p w:rsidR="007D47BB" w:rsidRPr="007D47BB" w:rsidRDefault="007D47BB" w:rsidP="007D47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   Investiguen o juzguen hechos de violencia de género, según corresponda.</w:t>
      </w:r>
    </w:p>
    <w:p w:rsidR="007D47BB" w:rsidRPr="007D47BB" w:rsidRDefault="007D47BB" w:rsidP="007D47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  Adopten medidas oportunas, idóneas, y exhaustivas.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3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lastRenderedPageBreak/>
        <w:object w:dxaOrig="405" w:dyaOrig="345">
          <v:shape id="_x0000_i1120" type="#_x0000_t75" style="width:20.25pt;height:17.25pt" o:ole="">
            <v:imagedata r:id="rId7" o:title=""/>
          </v:shape>
          <w:control r:id="rId14" w:name="DefaultOcxName8" w:shapeid="_x0000_i1120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3" type="#_x0000_t75" style="width:20.25pt;height:17.25pt" o:ole="">
            <v:imagedata r:id="rId4" o:title=""/>
          </v:shape>
          <w:control r:id="rId15" w:name="DefaultOcxName9" w:shapeid="_x0000_i1123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6" type="#_x0000_t75" style="width:20.25pt;height:17.25pt" o:ole="">
            <v:imagedata r:id="rId4" o:title=""/>
          </v:shape>
          <w:control r:id="rId16" w:name="DefaultOcxName10" w:shapeid="_x0000_i1126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29" type="#_x0000_t75" style="width:20.25pt;height:17.25pt" o:ole="">
            <v:imagedata r:id="rId4" o:title=""/>
          </v:shape>
          <w:control r:id="rId17" w:name="DefaultOcxName11" w:shapeid="_x0000_i1129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7D47B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II, III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4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7D47B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“Conductas de hostigamiento, persecución, amenazas o agresiones basadas en el género de la mujer, que buscan menoscabar, obstaculizar o anular sus derechos políticos y de participación”. La cita anterior define un tipo de violencia tipificadas en la ley 21.675 (de equidad de género), la cual se relaciona con: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4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32" type="#_x0000_t75" style="width:20.25pt;height:17.25pt" o:ole="">
            <v:imagedata r:id="rId4" o:title=""/>
          </v:shape>
          <w:control r:id="rId18" w:name="DefaultOcxName12" w:shapeid="_x0000_i1132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Simbólica.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35" type="#_x0000_t75" style="width:20.25pt;height:17.25pt" o:ole="">
            <v:imagedata r:id="rId4" o:title=""/>
          </v:shape>
          <w:control r:id="rId19" w:name="DefaultOcxName13" w:shapeid="_x0000_i1135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Gineco-obstétrica.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38" type="#_x0000_t75" style="width:20.25pt;height:17.25pt" o:ole="">
            <v:imagedata r:id="rId4" o:title=""/>
          </v:shape>
          <w:control r:id="rId20" w:name="DefaultOcxName14" w:shapeid="_x0000_i1138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Psicológica.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41" type="#_x0000_t75" style="width:20.25pt;height:17.25pt" o:ole="">
            <v:imagedata r:id="rId7" o:title=""/>
          </v:shape>
          <w:control r:id="rId21" w:name="DefaultOcxName15" w:shapeid="_x0000_i1141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Política.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7D47B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Política.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5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Ley 21.675 (de equidad de género) en su definición de “violencia de género” establece que: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Se debe excluir a los hijos, hijas y adolescentes. 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Considera cualquier acción u omisión que cause muerte, daño o sufrimiento a la mujer en razón de su género.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Se puede producir en el ámbito público o privado.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5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44" type="#_x0000_t75" style="width:20.25pt;height:17.25pt" o:ole="">
            <v:imagedata r:id="rId4" o:title=""/>
          </v:shape>
          <w:control r:id="rId22" w:name="DefaultOcxName16" w:shapeid="_x0000_i1144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47" type="#_x0000_t75" style="width:20.25pt;height:17.25pt" o:ole="">
            <v:imagedata r:id="rId4" o:title=""/>
          </v:shape>
          <w:control r:id="rId23" w:name="DefaultOcxName17" w:shapeid="_x0000_i1147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0" type="#_x0000_t75" style="width:20.25pt;height:17.25pt" o:ole="">
            <v:imagedata r:id="rId7" o:title=""/>
          </v:shape>
          <w:control r:id="rId24" w:name="DefaultOcxName18" w:shapeid="_x0000_i1150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3" type="#_x0000_t75" style="width:20.25pt;height:17.25pt" o:ole="">
            <v:imagedata r:id="rId4" o:title=""/>
          </v:shape>
          <w:control r:id="rId25" w:name="DefaultOcxName19" w:shapeid="_x0000_i1153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E72D0E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72D0E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II, III</w:t>
      </w:r>
    </w:p>
    <w:p w:rsidR="00753463" w:rsidRDefault="00753463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6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lastRenderedPageBreak/>
        <w:t>Enunciado de la pregunta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ley 21.675 (de equidad de género) establece medidas para:</w:t>
      </w:r>
    </w:p>
    <w:p w:rsidR="007D47BB" w:rsidRPr="007D47BB" w:rsidRDefault="007D47BB" w:rsidP="00E72D0E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6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E72D0E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6" type="#_x0000_t75" style="width:20.25pt;height:17.25pt" o:ole="">
            <v:imagedata r:id="rId7" o:title=""/>
          </v:shape>
          <w:control r:id="rId26" w:name="DefaultOcxName20" w:shapeid="_x0000_i1156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Prevenir, sancionar y erradicar la violencia contra las mujeres en razón de su género.</w:t>
      </w:r>
    </w:p>
    <w:p w:rsidR="007D47BB" w:rsidRPr="007D47BB" w:rsidRDefault="007D47BB" w:rsidP="00E72D0E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59" type="#_x0000_t75" style="width:20.25pt;height:17.25pt" o:ole="">
            <v:imagedata r:id="rId4" o:title=""/>
          </v:shape>
          <w:control r:id="rId27" w:name="DefaultOcxName21" w:shapeid="_x0000_i1159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Prohibir, limitar y erradicar cualquier tipo de género distintos a los establecidos en el código civil.</w:t>
      </w:r>
    </w:p>
    <w:p w:rsidR="007D47BB" w:rsidRPr="007D47BB" w:rsidRDefault="007D47BB" w:rsidP="00E72D0E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62" type="#_x0000_t75" style="width:20.25pt;height:17.25pt" o:ole="">
            <v:imagedata r:id="rId4" o:title=""/>
          </v:shape>
          <w:control r:id="rId28" w:name="DefaultOcxName22" w:shapeid="_x0000_i1162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Instruir, orientar y definir los tipos de género presentes en nuestro país.</w:t>
      </w:r>
    </w:p>
    <w:p w:rsidR="007D47BB" w:rsidRPr="007D47BB" w:rsidRDefault="007D47BB" w:rsidP="00E72D0E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65" type="#_x0000_t75" style="width:20.25pt;height:17.25pt" o:ole="">
            <v:imagedata r:id="rId4" o:title=""/>
          </v:shape>
          <w:control r:id="rId29" w:name="DefaultOcxName23" w:shapeid="_x0000_i1165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Apoyar, asesorar y orientar a aquellas personas que tengan </w:t>
      </w:r>
      <w:r w:rsidR="00BA74D2"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intención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de cambiar su género.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E72D0E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72D0E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Prevenir, sancionar y erradicar la violencia contra las mujeres en razón de su género.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7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Ley 21.675 (de equidad de género) entiende por “violencia física”, aquella:</w:t>
      </w:r>
    </w:p>
    <w:p w:rsidR="007D47BB" w:rsidRPr="007D47BB" w:rsidRDefault="007D47BB" w:rsidP="00E72D0E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7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E72D0E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68" type="#_x0000_t75" style="width:20.25pt;height:17.25pt" o:ole="">
            <v:imagedata r:id="rId4" o:title=""/>
          </v:shape>
          <w:control r:id="rId30" w:name="DefaultOcxName24" w:shapeid="_x0000_i1168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Conducta que vulnere, perturbe o amenace la libertad, integridad y autonomía sexual y reproductiva de la mujer; y su indemnidad en el caso de las niñas.</w:t>
      </w:r>
    </w:p>
    <w:p w:rsidR="007D47BB" w:rsidRPr="007D47BB" w:rsidRDefault="007D47BB" w:rsidP="00E72D0E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71" type="#_x0000_t75" style="width:20.25pt;height:17.25pt" o:ole="">
            <v:imagedata r:id="rId4" o:title=""/>
          </v:shape>
          <w:control r:id="rId31" w:name="DefaultOcxName25" w:shapeid="_x0000_i1171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Conductas de hostigamiento, persecución, amenazas o agresiones basadas en el género de la mujer.</w:t>
      </w:r>
    </w:p>
    <w:p w:rsidR="007D47BB" w:rsidRPr="007D47BB" w:rsidRDefault="007D47BB" w:rsidP="00E72D0E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74" type="#_x0000_t75" style="width:20.25pt;height:17.25pt" o:ole="">
            <v:imagedata r:id="rId7" o:title=""/>
          </v:shape>
          <w:control r:id="rId32" w:name="DefaultOcxName26" w:shapeid="_x0000_i1174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Acción u omisión que vulnere, perturbe o amenace la integridad física, el derecho a la vida o la libertad personal de la mujer.</w:t>
      </w:r>
    </w:p>
    <w:p w:rsidR="007D47BB" w:rsidRPr="007D47BB" w:rsidRDefault="007D47BB" w:rsidP="00E72D0E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77" type="#_x0000_t75" style="width:20.25pt;height:17.25pt" o:ole="">
            <v:imagedata r:id="rId4" o:title=""/>
          </v:shape>
          <w:control r:id="rId33" w:name="DefaultOcxName27" w:shapeid="_x0000_i1177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Difusión de mensajes, textos, sonidos o imágenes en medios de comunicación que naturalizan estereotipos.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E72D0E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72D0E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Acción u omisión que vulnere, perturbe o amenace la integridad física, el derecho a la vida o la libertad personal de la mujer.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8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Si una Institución de Educación Superior no cumplen con la ley 21.369 (violencia, acoso y discriminación en educación superior), no podrá: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8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0" type="#_x0000_t75" style="width:20.25pt;height:17.25pt" o:ole="">
            <v:imagedata r:id="rId4" o:title=""/>
          </v:shape>
          <w:control r:id="rId34" w:name="DefaultOcxName28" w:shapeid="_x0000_i1180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Contratar docentes con grado de magister.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3" type="#_x0000_t75" style="width:20.25pt;height:17.25pt" o:ole="">
            <v:imagedata r:id="rId4" o:title=""/>
          </v:shape>
          <w:control r:id="rId35" w:name="DefaultOcxName29" w:shapeid="_x0000_i1183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Mantener su nombre.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6" type="#_x0000_t75" style="width:20.25pt;height:17.25pt" o:ole="">
            <v:imagedata r:id="rId7" o:title=""/>
          </v:shape>
          <w:control r:id="rId36" w:name="DefaultOcxName30" w:shapeid="_x0000_i1186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Acceder u obtener su acreditación institucional.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89" type="#_x0000_t75" style="width:20.25pt;height:17.25pt" o:ole="">
            <v:imagedata r:id="rId4" o:title=""/>
          </v:shape>
          <w:control r:id="rId37" w:name="DefaultOcxName31" w:shapeid="_x0000_i1189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Perder la capacidad de entregar títulos profesionales.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E72D0E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72D0E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Acceder u obtener su acreditación institucional.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lastRenderedPageBreak/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9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ley 21.369, establece respecto a la violencia, acoso y discriminación en educación superior, el derecho a que: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Las medidas sancionatorias que tomen las instituciones educacionales solo podrán afectar a estudiantes.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Toda persona se pueda desempeñar en espacios libres de estas situaciones.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as instituciones que imparten carreras de este nivel deberán prevenir e investigar los casos denunciados.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9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92" type="#_x0000_t75" style="width:20.25pt;height:17.25pt" o:ole="">
            <v:imagedata r:id="rId7" o:title=""/>
          </v:shape>
          <w:control r:id="rId38" w:name="DefaultOcxName32" w:shapeid="_x0000_i1192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95" type="#_x0000_t75" style="width:20.25pt;height:17.25pt" o:ole="">
            <v:imagedata r:id="rId4" o:title=""/>
          </v:shape>
          <w:control r:id="rId39" w:name="DefaultOcxName33" w:shapeid="_x0000_i1195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198" type="#_x0000_t75" style="width:20.25pt;height:17.25pt" o:ole="">
            <v:imagedata r:id="rId4" o:title=""/>
          </v:shape>
          <w:control r:id="rId40" w:name="DefaultOcxName34" w:shapeid="_x0000_i1198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01" type="#_x0000_t75" style="width:20.25pt;height:17.25pt" o:ole="">
            <v:imagedata r:id="rId4" o:title=""/>
          </v:shape>
          <w:control r:id="rId41" w:name="DefaultOcxName35" w:shapeid="_x0000_i1201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E72D0E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72D0E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II, III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10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ley 21.369 (violencia, acoso y discriminación en educación superior) establece que las instituciones deberán contemplar para las conductas negativas un modelo de: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   Prevención.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  Investigación.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 Sanción.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10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04" type="#_x0000_t75" style="width:20.25pt;height:17.25pt" o:ole="">
            <v:imagedata r:id="rId4" o:title=""/>
          </v:shape>
          <w:control r:id="rId42" w:name="DefaultOcxName36" w:shapeid="_x0000_i1204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07" type="#_x0000_t75" style="width:20.25pt;height:17.25pt" o:ole="">
            <v:imagedata r:id="rId4" o:title=""/>
          </v:shape>
          <w:control r:id="rId43" w:name="DefaultOcxName37" w:shapeid="_x0000_i1207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0" type="#_x0000_t75" style="width:20.25pt;height:17.25pt" o:ole="">
            <v:imagedata r:id="rId4" o:title=""/>
          </v:shape>
          <w:control r:id="rId44" w:name="DefaultOcxName38" w:shapeid="_x0000_i1210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3" type="#_x0000_t75" style="width:20.25pt;height:17.25pt" o:ole="">
            <v:imagedata r:id="rId7" o:title=""/>
          </v:shape>
          <w:control r:id="rId45" w:name="DefaultOcxName39" w:shapeid="_x0000_i1213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E72D0E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72D0E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11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ley 21.369 (violencia, acoso y discriminación en educación superior) tiene por objetivo: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La creación de políticas integrales orientadas a prevenir, investigar, sancionar los casos previstos en la ley.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t> II. Construir espacios seguros para todas las personas de la comunidad educativa.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III. Realizar cambios profundos en la educación básica y secundaria.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11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6" type="#_x0000_t75" style="width:20.25pt;height:17.25pt" o:ole="">
            <v:imagedata r:id="rId4" o:title=""/>
          </v:shape>
          <w:control r:id="rId46" w:name="DefaultOcxName40" w:shapeid="_x0000_i1216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19" type="#_x0000_t75" style="width:20.25pt;height:17.25pt" o:ole="">
            <v:imagedata r:id="rId4" o:title=""/>
          </v:shape>
          <w:control r:id="rId47" w:name="DefaultOcxName41" w:shapeid="_x0000_i1219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22" type="#_x0000_t75" style="width:20.25pt;height:17.25pt" o:ole="">
            <v:imagedata r:id="rId7" o:title=""/>
          </v:shape>
          <w:control r:id="rId48" w:name="DefaultOcxName42" w:shapeid="_x0000_i1222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25" type="#_x0000_t75" style="width:20.25pt;height:17.25pt" o:ole="">
            <v:imagedata r:id="rId4" o:title=""/>
          </v:shape>
          <w:control r:id="rId49" w:name="DefaultOcxName43" w:shapeid="_x0000_i1225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E72D0E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72D0E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12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ley 21.369 (violencia, acoso y discriminación en educación superior) contempla que el organismo encargado de fiscalizar y supervigilar su cumplimiento será: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12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28" type="#_x0000_t75" style="width:20.25pt;height:17.25pt" o:ole="">
            <v:imagedata r:id="rId4" o:title=""/>
          </v:shape>
          <w:control r:id="rId50" w:name="DefaultOcxName44" w:shapeid="_x0000_i1228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ministerio de justicia.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31" type="#_x0000_t75" style="width:20.25pt;height:17.25pt" o:ole="">
            <v:imagedata r:id="rId4" o:title=""/>
          </v:shape>
          <w:control r:id="rId51" w:name="DefaultOcxName45" w:shapeid="_x0000_i1231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corte de apelaciones de la región respectiva.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34" type="#_x0000_t75" style="width:20.25pt;height:17.25pt" o:ole="">
            <v:imagedata r:id="rId4" o:title=""/>
          </v:shape>
          <w:control r:id="rId52" w:name="DefaultOcxName46" w:shapeid="_x0000_i1234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contraloría general de la República.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37" type="#_x0000_t75" style="width:20.25pt;height:17.25pt" o:ole="">
            <v:imagedata r:id="rId7" o:title=""/>
          </v:shape>
          <w:control r:id="rId53" w:name="DefaultOcxName47" w:shapeid="_x0000_i1237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Superintendencia de Educación Superior.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E72D0E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72D0E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Superintendencia de Educación Superior.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13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“Se trata de cualquier acción o conducta de naturaleza o connotación sexual, sea verbal, no verbal, física, presencial, virtual o contra la dignidad de una persona, la igualdad de derechos, su libertad o integridad física, sexual, psíquica, emocional,  o que cree entorno intimidatorio, hostil o humillante, o que pueda afectar de manera negativa e incidir en sus oportunidades, condiciones materiales o rendimiento laboral o académico, con independencia de si tal comportamiento o situación es aislado o retirado” la cita anterior es una definición contenida en la ley 21.369 (violencia, acoso y discriminación en educación superior), la cual corresponde a: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13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0" type="#_x0000_t75" style="width:20.25pt;height:17.25pt" o:ole="">
            <v:imagedata r:id="rId4" o:title=""/>
          </v:shape>
          <w:control r:id="rId54" w:name="DefaultOcxName48" w:shapeid="_x0000_i1240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Discriminación racial.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3" type="#_x0000_t75" style="width:20.25pt;height:17.25pt" o:ole="">
            <v:imagedata r:id="rId7" o:title=""/>
          </v:shape>
          <w:control r:id="rId55" w:name="DefaultOcxName49" w:shapeid="_x0000_i1243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Acoso sexual.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6" type="#_x0000_t75" style="width:20.25pt;height:17.25pt" o:ole="">
            <v:imagedata r:id="rId4" o:title=""/>
          </v:shape>
          <w:control r:id="rId56" w:name="DefaultOcxName50" w:shapeid="_x0000_i1246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Negación de estudios.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49" type="#_x0000_t75" style="width:20.25pt;height:17.25pt" o:ole="">
            <v:imagedata r:id="rId4" o:title=""/>
          </v:shape>
          <w:control r:id="rId57" w:name="DefaultOcxName51" w:shapeid="_x0000_i1249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Persecución laboral.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E72D0E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72D0E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Acoso sexual.</w:t>
      </w:r>
    </w:p>
    <w:p w:rsidR="00753463" w:rsidRDefault="00753463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lastRenderedPageBreak/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14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ley 21.369 (violencia, acoso y discriminación en educación superior) considera a todas aquellas instituciones recocidas por el Estado, tales como: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Centros de Formación Técnica.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Escuelas Matrices de Oficiales de las Fuerzas Armadas.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Academia de Guerra y Politécnicas.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14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52" type="#_x0000_t75" style="width:20.25pt;height:17.25pt" o:ole="">
            <v:imagedata r:id="rId4" o:title=""/>
          </v:shape>
          <w:control r:id="rId58" w:name="DefaultOcxName52" w:shapeid="_x0000_i1252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55" type="#_x0000_t75" style="width:20.25pt;height:17.25pt" o:ole="">
            <v:imagedata r:id="rId7" o:title=""/>
          </v:shape>
          <w:control r:id="rId59" w:name="DefaultOcxName53" w:shapeid="_x0000_i1255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58" type="#_x0000_t75" style="width:20.25pt;height:17.25pt" o:ole="">
            <v:imagedata r:id="rId4" o:title=""/>
          </v:shape>
          <w:control r:id="rId60" w:name="DefaultOcxName54" w:shapeid="_x0000_i1258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61" type="#_x0000_t75" style="width:20.25pt;height:17.25pt" o:ole="">
            <v:imagedata r:id="rId4" o:title=""/>
          </v:shape>
          <w:control r:id="rId61" w:name="DefaultOcxName55" w:shapeid="_x0000_i1261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E72D0E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72D0E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7D47BB" w:rsidRPr="007D47BB" w:rsidRDefault="007D47BB" w:rsidP="007D47BB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7D47BB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15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7D47BB" w:rsidRPr="007D47BB" w:rsidRDefault="007D47BB" w:rsidP="007D47BB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7D47BB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7D47BB" w:rsidRPr="007D47BB" w:rsidRDefault="007D47BB" w:rsidP="007D47BB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ley 21.369 (violencia, acoso y discriminación en educación superior) contempla que la normativa interna en esta materia (en el ámbito académico) deberá ser incorporada expresamente en: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 Los contratos de trabajo y prestación de servicios educacionales.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 Convenios académicos y de investigación.</w:t>
      </w:r>
    </w:p>
    <w:p w:rsidR="007D47BB" w:rsidRPr="007D47BB" w:rsidRDefault="007D47BB" w:rsidP="00E72D0E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 Convenios para actividades de esparcimiento y recreación.</w:t>
      </w:r>
    </w:p>
    <w:p w:rsidR="007D47BB" w:rsidRPr="007D47BB" w:rsidRDefault="007D47BB" w:rsidP="007D47B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15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64" type="#_x0000_t75" style="width:20.25pt;height:17.25pt" o:ole="">
            <v:imagedata r:id="rId4" o:title=""/>
          </v:shape>
          <w:control r:id="rId62" w:name="DefaultOcxName56" w:shapeid="_x0000_i1264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67" type="#_x0000_t75" style="width:20.25pt;height:17.25pt" o:ole="">
            <v:imagedata r:id="rId4" o:title=""/>
          </v:shape>
          <w:control r:id="rId63" w:name="DefaultOcxName57" w:shapeid="_x0000_i1267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70" type="#_x0000_t75" style="width:20.25pt;height:17.25pt" o:ole="">
            <v:imagedata r:id="rId7" o:title=""/>
          </v:shape>
          <w:control r:id="rId64" w:name="DefaultOcxName58" w:shapeid="_x0000_i1270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7D47BB" w:rsidRPr="007D47BB" w:rsidRDefault="007D47BB" w:rsidP="00E72D0E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001A1E"/>
          <w:sz w:val="23"/>
          <w:szCs w:val="23"/>
        </w:rPr>
        <w:object w:dxaOrig="405" w:dyaOrig="345">
          <v:shape id="_x0000_i1273" type="#_x0000_t75" style="width:20.25pt;height:17.25pt" o:ole="">
            <v:imagedata r:id="rId4" o:title=""/>
          </v:shape>
          <w:control r:id="rId65" w:name="DefaultOcxName59" w:shapeid="_x0000_i1273"/>
        </w:objec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72D0E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7D47BB" w:rsidRPr="007D47BB" w:rsidRDefault="007D47BB" w:rsidP="007D47BB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7D47BB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7D47BB" w:rsidRPr="007D47BB" w:rsidRDefault="007D47BB" w:rsidP="00E72D0E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72D0E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7D47BB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7D47BB" w:rsidRPr="007D47BB" w:rsidRDefault="007D47BB" w:rsidP="007D47BB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7D47BB">
        <w:rPr>
          <w:rFonts w:ascii="Arial" w:eastAsia="Times New Roman" w:hAnsi="Arial" w:cs="Arial"/>
          <w:vanish/>
          <w:sz w:val="16"/>
          <w:szCs w:val="16"/>
          <w:lang w:eastAsia="es-CL"/>
        </w:rPr>
        <w:t>Final del formulario</w:t>
      </w:r>
    </w:p>
    <w:p w:rsidR="006B09A9" w:rsidRDefault="006B09A9"/>
    <w:sectPr w:rsidR="006B09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7BB"/>
    <w:rsid w:val="006B09A9"/>
    <w:rsid w:val="00753463"/>
    <w:rsid w:val="007D47BB"/>
    <w:rsid w:val="00BA74D2"/>
    <w:rsid w:val="00E7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,"/>
  <w:listSeparator w:val=";"/>
  <w15:chartTrackingRefBased/>
  <w15:docId w15:val="{6543004F-4A9A-4962-9691-67142E364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7D47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4">
    <w:name w:val="heading 4"/>
    <w:basedOn w:val="Normal"/>
    <w:link w:val="Ttulo4Car"/>
    <w:uiPriority w:val="9"/>
    <w:qFormat/>
    <w:rsid w:val="007D47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7D47BB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Ttulo4Car">
    <w:name w:val="Título 4 Car"/>
    <w:basedOn w:val="Fuentedeprrafopredeter"/>
    <w:link w:val="Ttulo4"/>
    <w:uiPriority w:val="9"/>
    <w:rsid w:val="007D47BB"/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7D47BB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7D47B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7D47BB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7D47B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6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5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37411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1514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58838887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06825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76739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29415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416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51283834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86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748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75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430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079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196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682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0479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056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324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9404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26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075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26410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03573924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39439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732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967772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8195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209138742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61645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86981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18707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2566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34140026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856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66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58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38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861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84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660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6281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892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9462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573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672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702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68891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40721976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52924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983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633056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9212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2780087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99727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41064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44208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711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5547938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984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294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571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788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400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093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492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9474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4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56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7826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37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941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862822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44214809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58483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4885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02633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05659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22533556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84712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72629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43686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3261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52856365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5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382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786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274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3674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77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216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27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78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606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5690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820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257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89836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7265284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92120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3819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92227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870768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94939235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0581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679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31933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604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11578194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210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04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9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559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2652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461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146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49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0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278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043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232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784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932062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55067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39567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215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10133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4289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1830161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78627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5880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77040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603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12002942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9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84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6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138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9750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99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77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65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093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500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5438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35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795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10638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16158013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0157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75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95833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618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40896128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75653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73420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83025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907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08522522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29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399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906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368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898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830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36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6496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25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3984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5780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892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704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2980485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7053011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4558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33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936647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90524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97887486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08393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46912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240061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5404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53180238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528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350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699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1263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54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90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098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37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012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971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6091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18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63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121362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6830584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94613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07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03741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1478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48342555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68936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95380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47940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5356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10036412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4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211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0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369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2479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85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739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96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976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0819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642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421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95992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98385528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87003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621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714621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078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59605629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74437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20335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75704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25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42765206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9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530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90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520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541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885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12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904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667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59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4784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959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448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67472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78226195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50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551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105103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303244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202886853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8665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40054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88846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306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52055711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44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08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9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978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4483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144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071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8427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078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632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467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023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420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54853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72124593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94509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8581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576807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8147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5357320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292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86267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96808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176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08653394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715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63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32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850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435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62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753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34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46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471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652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88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310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1406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10522429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61863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58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90043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8522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95880207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92996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76306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93181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901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76704444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04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864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01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8238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35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03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017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80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13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5980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3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559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217802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21774450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48685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168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425348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45112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2761252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1044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04559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49231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72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09320887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91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40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513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917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3098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916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824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256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656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84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074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076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409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870682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76765423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96831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69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749395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4241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3487625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1025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76193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71905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1552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33086925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13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479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379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099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2826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098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725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4279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30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70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4786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942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297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50497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2895111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29682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553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1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42" Type="http://schemas.openxmlformats.org/officeDocument/2006/relationships/control" Target="activeX/activeX37.xml"/><Relationship Id="rId47" Type="http://schemas.openxmlformats.org/officeDocument/2006/relationships/control" Target="activeX/activeX42.xml"/><Relationship Id="rId50" Type="http://schemas.openxmlformats.org/officeDocument/2006/relationships/control" Target="activeX/activeX45.xml"/><Relationship Id="rId55" Type="http://schemas.openxmlformats.org/officeDocument/2006/relationships/control" Target="activeX/activeX50.xml"/><Relationship Id="rId63" Type="http://schemas.openxmlformats.org/officeDocument/2006/relationships/control" Target="activeX/activeX58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6" Type="http://schemas.openxmlformats.org/officeDocument/2006/relationships/control" Target="activeX/activeX11.xml"/><Relationship Id="rId29" Type="http://schemas.openxmlformats.org/officeDocument/2006/relationships/control" Target="activeX/activeX24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53" Type="http://schemas.openxmlformats.org/officeDocument/2006/relationships/control" Target="activeX/activeX48.xml"/><Relationship Id="rId58" Type="http://schemas.openxmlformats.org/officeDocument/2006/relationships/control" Target="activeX/activeX53.xml"/><Relationship Id="rId66" Type="http://schemas.openxmlformats.org/officeDocument/2006/relationships/fontTable" Target="fontTable.xml"/><Relationship Id="rId5" Type="http://schemas.openxmlformats.org/officeDocument/2006/relationships/control" Target="activeX/activeX1.xml"/><Relationship Id="rId61" Type="http://schemas.openxmlformats.org/officeDocument/2006/relationships/control" Target="activeX/activeX56.xml"/><Relationship Id="rId19" Type="http://schemas.openxmlformats.org/officeDocument/2006/relationships/control" Target="activeX/activeX1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48" Type="http://schemas.openxmlformats.org/officeDocument/2006/relationships/control" Target="activeX/activeX43.xml"/><Relationship Id="rId56" Type="http://schemas.openxmlformats.org/officeDocument/2006/relationships/control" Target="activeX/activeX51.xml"/><Relationship Id="rId64" Type="http://schemas.openxmlformats.org/officeDocument/2006/relationships/control" Target="activeX/activeX59.xml"/><Relationship Id="rId8" Type="http://schemas.openxmlformats.org/officeDocument/2006/relationships/control" Target="activeX/activeX3.xml"/><Relationship Id="rId51" Type="http://schemas.openxmlformats.org/officeDocument/2006/relationships/control" Target="activeX/activeX46.xml"/><Relationship Id="rId3" Type="http://schemas.openxmlformats.org/officeDocument/2006/relationships/webSettings" Target="web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1.xml"/><Relationship Id="rId59" Type="http://schemas.openxmlformats.org/officeDocument/2006/relationships/control" Target="activeX/activeX54.xml"/><Relationship Id="rId67" Type="http://schemas.openxmlformats.org/officeDocument/2006/relationships/theme" Target="theme/theme1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54" Type="http://schemas.openxmlformats.org/officeDocument/2006/relationships/control" Target="activeX/activeX49.xml"/><Relationship Id="rId62" Type="http://schemas.openxmlformats.org/officeDocument/2006/relationships/control" Target="activeX/activeX57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49" Type="http://schemas.openxmlformats.org/officeDocument/2006/relationships/control" Target="activeX/activeX44.xml"/><Relationship Id="rId57" Type="http://schemas.openxmlformats.org/officeDocument/2006/relationships/control" Target="activeX/activeX52.xml"/><Relationship Id="rId10" Type="http://schemas.openxmlformats.org/officeDocument/2006/relationships/control" Target="activeX/activeX5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52" Type="http://schemas.openxmlformats.org/officeDocument/2006/relationships/control" Target="activeX/activeX47.xml"/><Relationship Id="rId60" Type="http://schemas.openxmlformats.org/officeDocument/2006/relationships/control" Target="activeX/activeX55.xml"/><Relationship Id="rId65" Type="http://schemas.openxmlformats.org/officeDocument/2006/relationships/control" Target="activeX/activeX60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39" Type="http://schemas.openxmlformats.org/officeDocument/2006/relationships/control" Target="activeX/activeX3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1679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B07 Acreditación PAC. Jorge Weldt P.</dc:creator>
  <cp:keywords/>
  <dc:description/>
  <cp:lastModifiedBy>B07 Acreditación PAC. Jorge Weldt P.</cp:lastModifiedBy>
  <cp:revision>2</cp:revision>
  <dcterms:created xsi:type="dcterms:W3CDTF">2024-12-19T13:20:00Z</dcterms:created>
  <dcterms:modified xsi:type="dcterms:W3CDTF">2024-12-20T12:04:00Z</dcterms:modified>
</cp:coreProperties>
</file>