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tl w:val="0"/>
        </w:rPr>
        <w:t xml:space="preserve">Tarea Estabilidad</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Permiso de agua dulce : Corresponde a la variación en milímetros del calado medio de un buque cuando éste pasa de navegar en agua salada (densidad 1,025 t/m^3) a agua dulce (densidad 1,000 t/m^3), encontrándose en condición de máxima carga. Esto se debe a que, al disminuir la densidad del agua, el buque debe sumergirse más para desplazar el mismo peso, aumentando su calado.</w:t>
      </w:r>
    </w:p>
    <w:p w:rsidR="00000000" w:rsidDel="00000000" w:rsidP="00000000" w:rsidRDefault="00000000" w:rsidRPr="00000000" w14:paraId="00000004">
      <w:pPr>
        <w:spacing w:after="240" w:before="240" w:lineRule="auto"/>
        <w:rPr/>
      </w:pPr>
      <w:r w:rsidDel="00000000" w:rsidR="00000000" w:rsidRPr="00000000">
        <w:rPr>
          <w:rtl w:val="0"/>
        </w:rPr>
        <w:t xml:space="preserve">Permiso de agua de puerto: Es una corrección aplicada cuando el buque se encuentra en un puerto cuya densidad del agua es intermedia. Permite determinar cuánto puede variar el calado respecto a las líneas de carga, de modo que, al pasar posteriormente a agua de referencia, el buque quede dentro de los límites permitidos por la marca de Plimsoll. </w:t>
      </w:r>
    </w:p>
    <w:p w:rsidR="00000000" w:rsidDel="00000000" w:rsidP="00000000" w:rsidRDefault="00000000" w:rsidRPr="00000000" w14:paraId="00000005">
      <w:pPr>
        <w:spacing w:after="240" w:before="240" w:lineRule="auto"/>
        <w:rPr/>
      </w:pPr>
      <w:r w:rsidDel="00000000" w:rsidR="00000000" w:rsidRPr="00000000">
        <w:rPr>
          <w:rtl w:val="0"/>
        </w:rPr>
        <w:t xml:space="preserve">La marca de Plimsoll y las líneas de carga establecen los calados máximos permitidos según zona y estación, garantizando un francobordo mínimo de seguridad. Durante la fiscalización de zarpe, la Autoridad Marítima debe verificar que el buque no exceda la línea de carga correspondiente a la condición de navegación, se hayan aplicado correctamente el FWA y el DWA, considerando la densidad del agua del puerto. Esto es clave porque un buque que aparentemente cumple en puerto podría quedar sobrecargado al cambiar de densidad del agua si no se hacen estas correcciones.</w:t>
      </w:r>
    </w:p>
    <w:p w:rsidR="00000000" w:rsidDel="00000000" w:rsidP="00000000" w:rsidRDefault="00000000" w:rsidRPr="00000000" w14:paraId="00000006">
      <w:pPr>
        <w:spacing w:after="240" w:before="240" w:lineRule="auto"/>
        <w:rPr/>
      </w:pPr>
      <w:r w:rsidDel="00000000" w:rsidR="00000000" w:rsidRPr="00000000">
        <w:rPr>
          <w:rtl w:val="0"/>
        </w:rPr>
        <w:t xml:space="preserve">El no respetar estas normas podría provocar pérdida de reserva de flotabilidad, inestabilidad del buque y riesgo para la vida humana.</w:t>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