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EB5FFE" w:rsidRDefault="0007194D" w:rsidP="00EB5FFE">
      <w:pPr>
        <w:pStyle w:val="Sangradetextonormal"/>
        <w:ind w:left="0"/>
        <w:jc w:val="center"/>
        <w:rPr>
          <w:b/>
          <w:sz w:val="30"/>
          <w:szCs w:val="30"/>
        </w:rPr>
      </w:pPr>
      <w:r w:rsidRPr="00EB5FFE">
        <w:rPr>
          <w:b/>
          <w:noProof/>
          <w:sz w:val="30"/>
          <w:szCs w:val="30"/>
          <w:lang w:val="es-CL" w:eastAsia="es-CL"/>
        </w:rPr>
        <w:drawing>
          <wp:anchor distT="0" distB="0" distL="114300" distR="114300" simplePos="0" relativeHeight="251663360" behindDoc="1" locked="0" layoutInCell="1" allowOverlap="1">
            <wp:simplePos x="0" y="0"/>
            <wp:positionH relativeFrom="column">
              <wp:posOffset>2386965</wp:posOffset>
            </wp:positionH>
            <wp:positionV relativeFrom="paragraph">
              <wp:posOffset>-810260</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EB5FFE">
        <w:rPr>
          <w:b/>
          <w:sz w:val="30"/>
          <w:szCs w:val="30"/>
        </w:rPr>
        <w:t>DÍA 24: ÚLTIMA VISITA DE FAMILIARES AL BATALLÓN DE RECLUTAS</w:t>
      </w:r>
    </w:p>
    <w:p w:rsidR="00EB5FFE" w:rsidRDefault="00EB5FFE" w:rsidP="00EB5FFE">
      <w:pPr>
        <w:spacing w:line="360" w:lineRule="auto"/>
        <w:jc w:val="both"/>
        <w:rPr>
          <w:sz w:val="22"/>
          <w:szCs w:val="18"/>
        </w:rPr>
      </w:pPr>
    </w:p>
    <w:p w:rsidR="008816F9" w:rsidRPr="008816F9" w:rsidRDefault="0007194D" w:rsidP="008816F9">
      <w:pPr>
        <w:spacing w:line="360" w:lineRule="auto"/>
        <w:jc w:val="both"/>
        <w:rPr>
          <w:sz w:val="22"/>
          <w:szCs w:val="18"/>
        </w:rPr>
        <w:sectPr w:rsidR="008816F9" w:rsidRPr="008816F9" w:rsidSect="00EB5FFE">
          <w:headerReference w:type="even" r:id="rId9"/>
          <w:headerReference w:type="default" r:id="rId10"/>
          <w:footerReference w:type="even" r:id="rId11"/>
          <w:footerReference w:type="default" r:id="rId12"/>
          <w:pgSz w:w="11907" w:h="16839" w:code="9"/>
          <w:pgMar w:top="1418" w:right="1701" w:bottom="1418" w:left="1701" w:header="720" w:footer="720" w:gutter="0"/>
          <w:cols w:space="708"/>
          <w:docGrid w:linePitch="360"/>
        </w:sectPr>
      </w:pPr>
      <w:r w:rsidRPr="008816F9">
        <w:rPr>
          <w:sz w:val="22"/>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07194D" w:rsidRPr="008816F9" w:rsidRDefault="0007194D" w:rsidP="008816F9">
      <w:pPr>
        <w:spacing w:line="360" w:lineRule="auto"/>
        <w:jc w:val="both"/>
        <w:rPr>
          <w:sz w:val="22"/>
          <w:szCs w:val="18"/>
        </w:rPr>
      </w:pPr>
      <w:r w:rsidRPr="008816F9">
        <w:rPr>
          <w:sz w:val="22"/>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8816F9" w:rsidRDefault="0007194D" w:rsidP="008816F9">
      <w:pPr>
        <w:shd w:val="clear" w:color="auto" w:fill="FFFFFF"/>
        <w:spacing w:line="360" w:lineRule="auto"/>
        <w:jc w:val="both"/>
        <w:rPr>
          <w:sz w:val="22"/>
          <w:szCs w:val="18"/>
          <w:lang w:eastAsia="es-CL"/>
        </w:rPr>
      </w:pPr>
      <w:r w:rsidRPr="008816F9">
        <w:rPr>
          <w:sz w:val="22"/>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8816F9" w:rsidRDefault="0007194D" w:rsidP="008816F9">
      <w:pPr>
        <w:shd w:val="clear" w:color="auto" w:fill="FFFFFF"/>
        <w:spacing w:line="360" w:lineRule="auto"/>
        <w:jc w:val="both"/>
        <w:rPr>
          <w:sz w:val="22"/>
          <w:szCs w:val="18"/>
          <w:lang w:eastAsia="es-CL"/>
        </w:rPr>
      </w:pPr>
      <w:r w:rsidRPr="008816F9">
        <w:rPr>
          <w:sz w:val="22"/>
          <w:szCs w:val="18"/>
          <w:lang w:eastAsia="es-CL"/>
        </w:rPr>
        <w:t>“Esta última visita no solo permite a los Reclutas compartir con sus familias también les da un impulso anímico clave</w:t>
      </w:r>
    </w:p>
    <w:p w:rsidR="0007194D" w:rsidRPr="008816F9" w:rsidRDefault="008816F9" w:rsidP="008816F9">
      <w:pPr>
        <w:shd w:val="clear" w:color="auto" w:fill="FFFFFF"/>
        <w:spacing w:line="360" w:lineRule="auto"/>
        <w:jc w:val="both"/>
        <w:rPr>
          <w:sz w:val="22"/>
          <w:szCs w:val="18"/>
          <w:lang w:eastAsia="es-CL"/>
        </w:rPr>
      </w:pPr>
      <w:r>
        <w:rPr>
          <w:noProof/>
          <w:sz w:val="22"/>
          <w:szCs w:val="18"/>
          <w:lang w:val="es-CL" w:eastAsia="es-CL"/>
        </w:rPr>
        <w:drawing>
          <wp:anchor distT="0" distB="0" distL="114300" distR="114300" simplePos="0" relativeHeight="251665408" behindDoc="1" locked="0" layoutInCell="1" allowOverlap="1">
            <wp:simplePos x="0" y="0"/>
            <wp:positionH relativeFrom="margin">
              <wp:posOffset>3206115</wp:posOffset>
            </wp:positionH>
            <wp:positionV relativeFrom="paragraph">
              <wp:posOffset>1784985</wp:posOffset>
            </wp:positionV>
            <wp:extent cx="2009775" cy="2009775"/>
            <wp:effectExtent l="19050" t="0" r="9525" b="0"/>
            <wp:wrapTight wrapText="bothSides">
              <wp:wrapPolygon edited="0">
                <wp:start x="-205" y="0"/>
                <wp:lineTo x="-205" y="21498"/>
                <wp:lineTo x="21702" y="21498"/>
                <wp:lineTo x="21702"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775" cy="2009775"/>
                    </a:xfrm>
                    <a:prstGeom prst="rect">
                      <a:avLst/>
                    </a:prstGeom>
                    <a:noFill/>
                    <a:ln>
                      <a:noFill/>
                    </a:ln>
                  </pic:spPr>
                </pic:pic>
              </a:graphicData>
            </a:graphic>
          </wp:anchor>
        </w:drawing>
      </w:r>
      <w:r w:rsidR="0007194D" w:rsidRPr="008816F9">
        <w:rPr>
          <w:sz w:val="22"/>
          <w:szCs w:val="18"/>
          <w:lang w:eastAsia="es-CL"/>
        </w:rPr>
        <w:t xml:space="preserve">en esta etapa final. Han demostrado un gran esfuerzo y compromiso con su formación y </w:t>
      </w:r>
      <w:r w:rsidR="0007194D" w:rsidRPr="008816F9">
        <w:rPr>
          <w:sz w:val="22"/>
          <w:szCs w:val="18"/>
          <w:lang w:eastAsia="es-CL"/>
        </w:rPr>
        <w:lastRenderedPageBreak/>
        <w:t>este apoyo familiar es fundamental para enfrenten con determinación lo que viene” comentó el Capitán Corbeta Nicolás Romero Moya, Jefe del Departamento Ejecutivo.</w:t>
      </w:r>
      <w:r w:rsidR="00EB5FFE" w:rsidRPr="008816F9">
        <w:rPr>
          <w:sz w:val="22"/>
          <w:szCs w:val="18"/>
          <w:lang w:eastAsia="es-CL"/>
        </w:rPr>
        <w:t xml:space="preserve"> Conocer de cerca la exigente rutina de formación que se han  enfrentado sus hijos, así como evolución</w:t>
      </w:r>
      <w:r w:rsidRPr="008816F9">
        <w:rPr>
          <w:sz w:val="22"/>
          <w:szCs w:val="18"/>
          <w:lang w:eastAsia="es-CL"/>
        </w:rPr>
        <w:t xml:space="preserve"> que han experimentado en este tiempo. Como se puede observar en su disciplina, responsabilidad y en el fortalecimiento de su carácter.</w:t>
      </w:r>
    </w:p>
    <w:p w:rsidR="008816F9" w:rsidRPr="008816F9" w:rsidRDefault="008816F9" w:rsidP="008816F9">
      <w:pPr>
        <w:shd w:val="clear" w:color="auto" w:fill="FFFFFF"/>
        <w:spacing w:line="360" w:lineRule="auto"/>
        <w:jc w:val="both"/>
        <w:rPr>
          <w:sz w:val="22"/>
          <w:szCs w:val="18"/>
          <w:lang w:eastAsia="es-CL"/>
        </w:rPr>
        <w:sectPr w:rsidR="008816F9" w:rsidRPr="008816F9" w:rsidSect="008816F9">
          <w:type w:val="continuous"/>
          <w:pgSz w:w="11907" w:h="16839" w:code="9"/>
          <w:pgMar w:top="1418" w:right="1701" w:bottom="1418" w:left="1701" w:header="720" w:footer="720" w:gutter="0"/>
          <w:cols w:num="2" w:space="708"/>
          <w:docGrid w:linePitch="360"/>
        </w:sectPr>
      </w:pPr>
    </w:p>
    <w:p w:rsidR="008816F9" w:rsidRDefault="0007194D" w:rsidP="008816F9">
      <w:pPr>
        <w:shd w:val="clear" w:color="auto" w:fill="FFFFFF"/>
        <w:spacing w:line="360" w:lineRule="auto"/>
        <w:jc w:val="both"/>
        <w:rPr>
          <w:sz w:val="22"/>
          <w:szCs w:val="18"/>
          <w:lang w:eastAsia="es-CL"/>
        </w:rPr>
      </w:pPr>
      <w:r w:rsidRPr="008816F9">
        <w:rPr>
          <w:sz w:val="22"/>
          <w:szCs w:val="18"/>
          <w:lang w:eastAsia="es-CL"/>
        </w:rPr>
        <w:lastRenderedPageBreak/>
        <w:t>Con la cuenta regresiva en marcha hacia la Revista de Reclutas, el Batallón se prepara para cerrar esta primera etapa de su vida naval.</w:t>
      </w:r>
      <w:r w:rsidR="008816F9">
        <w:rPr>
          <w:rStyle w:val="Refdenotaalpie"/>
          <w:sz w:val="22"/>
          <w:szCs w:val="18"/>
          <w:lang w:eastAsia="es-CL"/>
        </w:rPr>
        <w:footnoteReference w:id="2"/>
      </w:r>
    </w:p>
    <w:p w:rsidR="008816F9" w:rsidRPr="008816F9" w:rsidRDefault="008816F9" w:rsidP="008816F9">
      <w:pPr>
        <w:shd w:val="clear" w:color="auto" w:fill="FFFFFF"/>
        <w:spacing w:line="360" w:lineRule="auto"/>
        <w:jc w:val="both"/>
        <w:rPr>
          <w:sz w:val="22"/>
          <w:szCs w:val="18"/>
          <w:lang w:eastAsia="es-CL"/>
        </w:rPr>
        <w:sectPr w:rsidR="008816F9" w:rsidRPr="008816F9" w:rsidSect="008816F9">
          <w:type w:val="continuous"/>
          <w:pgSz w:w="11907" w:h="16839" w:code="9"/>
          <w:pgMar w:top="1418" w:right="1701" w:bottom="1418" w:left="1701" w:header="720" w:footer="720" w:gutter="0"/>
          <w:cols w:space="708"/>
          <w:docGrid w:linePitch="360"/>
        </w:sectPr>
      </w:pPr>
    </w:p>
    <w:p w:rsidR="0007194D" w:rsidRPr="008816F9" w:rsidRDefault="009006E2" w:rsidP="008816F9">
      <w:pPr>
        <w:spacing w:line="360" w:lineRule="auto"/>
        <w:jc w:val="center"/>
        <w:rPr>
          <w:b/>
          <w:sz w:val="16"/>
          <w:szCs w:val="16"/>
        </w:rPr>
      </w:pPr>
      <w:r w:rsidRPr="008816F9">
        <w:rPr>
          <w:b/>
          <w:sz w:val="28"/>
          <w:szCs w:val="16"/>
        </w:rPr>
        <w:lastRenderedPageBreak/>
        <w:t>L</w:t>
      </w:r>
      <w:r w:rsidR="008816F9">
        <w:rPr>
          <w:b/>
          <w:sz w:val="28"/>
          <w:szCs w:val="16"/>
        </w:rPr>
        <w:t>A ARMADA Y LA NAVEGACIÓN</w:t>
      </w:r>
    </w:p>
    <w:p w:rsidR="0007194D" w:rsidRPr="0007194D" w:rsidRDefault="0007194D" w:rsidP="0007194D">
      <w:pPr>
        <w:spacing w:line="360" w:lineRule="auto"/>
        <w:jc w:val="center"/>
        <w:rPr>
          <w:sz w:val="16"/>
          <w:szCs w:val="16"/>
        </w:rPr>
      </w:pPr>
    </w:p>
    <w:p w:rsidR="009006E2" w:rsidRPr="008816F9" w:rsidRDefault="0007194D" w:rsidP="007656C2">
      <w:pPr>
        <w:pStyle w:val="NormalWeb"/>
        <w:numPr>
          <w:ilvl w:val="0"/>
          <w:numId w:val="4"/>
        </w:numPr>
        <w:spacing w:before="0" w:beforeAutospacing="0" w:after="0" w:afterAutospacing="0" w:line="360" w:lineRule="auto"/>
        <w:jc w:val="both"/>
        <w:rPr>
          <w:szCs w:val="18"/>
          <w:lang w:val="es-ES" w:eastAsia="es-CL"/>
        </w:rPr>
      </w:pPr>
      <w:r w:rsidRPr="008816F9">
        <w:rPr>
          <w:szCs w:val="18"/>
          <w:lang w:val="es-ES" w:eastAsia="es-CL"/>
        </w:rPr>
        <w:t>Tipos de barcos</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Barcos de guerra</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Portaviones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Submarinos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Destructor</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Barcos mercantes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Cargueros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Petroleros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Buques de carga refrigerada</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Barcos de investigación</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Barcos oceanográficos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Buques de investigación científica</w:t>
      </w:r>
    </w:p>
    <w:p w:rsidR="0007194D" w:rsidRPr="008816F9" w:rsidRDefault="0007194D" w:rsidP="007656C2">
      <w:pPr>
        <w:pStyle w:val="NormalWeb"/>
        <w:numPr>
          <w:ilvl w:val="0"/>
          <w:numId w:val="4"/>
        </w:numPr>
        <w:spacing w:before="0" w:beforeAutospacing="0" w:after="0" w:afterAutospacing="0" w:line="360" w:lineRule="auto"/>
        <w:jc w:val="both"/>
        <w:rPr>
          <w:szCs w:val="18"/>
          <w:lang w:val="es-ES" w:eastAsia="es-CL"/>
        </w:rPr>
      </w:pPr>
      <w:r w:rsidRPr="008816F9">
        <w:rPr>
          <w:szCs w:val="18"/>
          <w:lang w:val="es-ES" w:eastAsia="es-CL"/>
        </w:rPr>
        <w:t>Tácticas y estrategias navales</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Estrategias de combate</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Guerra de flotillas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Ataques aéreos coordinados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Asalto anfibio</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Defensa naval</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Defensa contra misiles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Sistemas de radar y vigilancia</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Defensa antiaérea</w:t>
      </w:r>
    </w:p>
    <w:p w:rsidR="0007194D" w:rsidRPr="008816F9" w:rsidRDefault="0007194D" w:rsidP="007656C2">
      <w:pPr>
        <w:pStyle w:val="NormalWeb"/>
        <w:numPr>
          <w:ilvl w:val="1"/>
          <w:numId w:val="4"/>
        </w:numPr>
        <w:spacing w:before="0" w:beforeAutospacing="0" w:after="0" w:afterAutospacing="0" w:line="360" w:lineRule="auto"/>
        <w:jc w:val="both"/>
        <w:rPr>
          <w:szCs w:val="18"/>
          <w:lang w:val="es-ES" w:eastAsia="es-CL"/>
        </w:rPr>
      </w:pPr>
      <w:r w:rsidRPr="008816F9">
        <w:rPr>
          <w:szCs w:val="18"/>
          <w:lang w:val="es-ES" w:eastAsia="es-CL"/>
        </w:rPr>
        <w:t>Operaciones submarinas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Patrullaje en zonas estratégicas</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Guerra submarina</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Rescate de submarinos</w:t>
      </w:r>
    </w:p>
    <w:p w:rsidR="0007194D" w:rsidRPr="008816F9" w:rsidRDefault="0007194D" w:rsidP="007656C2">
      <w:pPr>
        <w:pStyle w:val="NormalWeb"/>
        <w:numPr>
          <w:ilvl w:val="0"/>
          <w:numId w:val="4"/>
        </w:numPr>
        <w:spacing w:before="0" w:beforeAutospacing="0" w:after="0" w:afterAutospacing="0" w:line="360" w:lineRule="auto"/>
        <w:jc w:val="both"/>
        <w:rPr>
          <w:szCs w:val="18"/>
          <w:lang w:val="es-ES" w:eastAsia="es-CL"/>
        </w:rPr>
      </w:pPr>
      <w:r w:rsidRPr="008816F9">
        <w:rPr>
          <w:szCs w:val="18"/>
          <w:lang w:val="es-ES" w:eastAsia="es-CL"/>
        </w:rPr>
        <w:t>Comandos de la Armada</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Fuerza de Superficie</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t>Fuerza Submarina</w:t>
      </w:r>
    </w:p>
    <w:p w:rsidR="0007194D" w:rsidRPr="008816F9" w:rsidRDefault="0007194D" w:rsidP="007656C2">
      <w:pPr>
        <w:pStyle w:val="NormalWeb"/>
        <w:numPr>
          <w:ilvl w:val="2"/>
          <w:numId w:val="4"/>
        </w:numPr>
        <w:spacing w:before="0" w:beforeAutospacing="0" w:after="0" w:afterAutospacing="0" w:line="360" w:lineRule="auto"/>
        <w:jc w:val="both"/>
        <w:rPr>
          <w:szCs w:val="18"/>
          <w:lang w:val="es-ES" w:eastAsia="es-CL"/>
        </w:rPr>
      </w:pPr>
      <w:r w:rsidRPr="008816F9">
        <w:rPr>
          <w:szCs w:val="18"/>
          <w:lang w:val="es-ES" w:eastAsia="es-CL"/>
        </w:rPr>
        <w:lastRenderedPageBreak/>
        <w:t>Aviación Naval</w:t>
      </w:r>
    </w:p>
    <w:p w:rsidR="007656C2" w:rsidRDefault="007656C2">
      <w:pPr>
        <w:rPr>
          <w:rFonts w:ascii="Calibri" w:hAnsi="Calibri" w:cs="Calibri"/>
          <w:sz w:val="18"/>
          <w:szCs w:val="18"/>
        </w:rPr>
      </w:pPr>
      <w:r>
        <w:rPr>
          <w:rFonts w:ascii="Calibri" w:hAnsi="Calibri" w:cs="Calibri"/>
          <w:sz w:val="18"/>
          <w:szCs w:val="18"/>
        </w:rPr>
        <w:br w:type="page"/>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10"/>
        <w:gridCol w:w="1227"/>
        <w:gridCol w:w="1433"/>
        <w:gridCol w:w="1627"/>
        <w:gridCol w:w="3618"/>
      </w:tblGrid>
      <w:tr w:rsidR="007656C2" w:rsidRPr="007656C2" w:rsidTr="00B220CD">
        <w:tblPrEx>
          <w:tblCellMar>
            <w:top w:w="0" w:type="dxa"/>
            <w:bottom w:w="0" w:type="dxa"/>
          </w:tblCellMar>
        </w:tblPrEx>
        <w:trPr>
          <w:trHeight w:val="964"/>
          <w:jc w:val="center"/>
        </w:trPr>
        <w:tc>
          <w:tcPr>
            <w:tcW w:w="9315" w:type="dxa"/>
            <w:gridSpan w:val="5"/>
            <w:tcBorders>
              <w:top w:val="thinThickThinSmallGap" w:sz="24" w:space="0" w:color="auto"/>
              <w:left w:val="thinThickThinSmallGap" w:sz="24" w:space="0" w:color="auto"/>
              <w:right w:val="thinThickThinSmallGap" w:sz="24" w:space="0" w:color="auto"/>
            </w:tcBorders>
            <w:shd w:val="clear" w:color="auto" w:fill="595959" w:themeFill="text1" w:themeFillTint="A6"/>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lastRenderedPageBreak/>
              <w:t>ANTECEDENTES PERSONALES</w:t>
            </w:r>
          </w:p>
        </w:tc>
      </w:tr>
      <w:tr w:rsidR="007656C2" w:rsidRPr="007656C2" w:rsidTr="00B220CD">
        <w:tblPrEx>
          <w:tblCellMar>
            <w:top w:w="0" w:type="dxa"/>
            <w:bottom w:w="0" w:type="dxa"/>
          </w:tblCellMar>
        </w:tblPrEx>
        <w:trPr>
          <w:trHeight w:val="964"/>
          <w:jc w:val="center"/>
        </w:trPr>
        <w:tc>
          <w:tcPr>
            <w:tcW w:w="1410" w:type="dxa"/>
            <w:tcBorders>
              <w:left w:val="thinThickThinSmallGap" w:sz="24" w:space="0" w:color="auto"/>
            </w:tcBorders>
            <w:shd w:val="clear" w:color="auto" w:fill="ADADAD" w:themeFill="background2" w:themeFillShade="BF"/>
            <w:vAlign w:val="center"/>
          </w:tcPr>
          <w:p w:rsidR="007656C2" w:rsidRPr="00B220CD" w:rsidRDefault="007656C2" w:rsidP="00B220CD">
            <w:pPr>
              <w:pStyle w:val="Sangradetextonormal"/>
              <w:ind w:left="0"/>
              <w:jc w:val="center"/>
              <w:rPr>
                <w:rFonts w:ascii="Calibri" w:hAnsi="Calibri" w:cs="Calibri"/>
                <w:b/>
                <w:sz w:val="30"/>
                <w:szCs w:val="30"/>
              </w:rPr>
            </w:pPr>
          </w:p>
          <w:p w:rsidR="00B220CD"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Nombre:</w:t>
            </w:r>
          </w:p>
        </w:tc>
        <w:tc>
          <w:tcPr>
            <w:tcW w:w="7905" w:type="dxa"/>
            <w:gridSpan w:val="4"/>
            <w:tcBorders>
              <w:right w:val="thinThickThinSmallGap" w:sz="24" w:space="0" w:color="auto"/>
            </w:tcBorders>
            <w:vAlign w:val="center"/>
          </w:tcPr>
          <w:p w:rsidR="007656C2" w:rsidRPr="00B220CD" w:rsidRDefault="007656C2" w:rsidP="00B220CD">
            <w:pPr>
              <w:pStyle w:val="Sangradetextonormal"/>
              <w:ind w:left="0"/>
              <w:jc w:val="center"/>
              <w:rPr>
                <w:rFonts w:ascii="Calibri" w:hAnsi="Calibri" w:cs="Calibri"/>
                <w:b/>
                <w:sz w:val="30"/>
                <w:szCs w:val="30"/>
              </w:rPr>
            </w:pPr>
          </w:p>
        </w:tc>
      </w:tr>
      <w:tr w:rsidR="007656C2" w:rsidRPr="007656C2" w:rsidTr="00B220CD">
        <w:tblPrEx>
          <w:tblCellMar>
            <w:top w:w="0" w:type="dxa"/>
            <w:bottom w:w="0" w:type="dxa"/>
          </w:tblCellMar>
        </w:tblPrEx>
        <w:trPr>
          <w:trHeight w:val="964"/>
          <w:jc w:val="center"/>
        </w:trPr>
        <w:tc>
          <w:tcPr>
            <w:tcW w:w="1410" w:type="dxa"/>
            <w:tcBorders>
              <w:left w:val="thinThickThinSmallGap" w:sz="24" w:space="0" w:color="auto"/>
            </w:tcBorders>
            <w:shd w:val="clear" w:color="auto" w:fill="ADADAD" w:themeFill="background2" w:themeFillShade="BF"/>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RUT:</w:t>
            </w:r>
          </w:p>
        </w:tc>
        <w:tc>
          <w:tcPr>
            <w:tcW w:w="2700" w:type="dxa"/>
            <w:gridSpan w:val="2"/>
            <w:vAlign w:val="center"/>
          </w:tcPr>
          <w:p w:rsidR="007656C2" w:rsidRPr="00B220CD" w:rsidRDefault="007656C2" w:rsidP="00B220CD">
            <w:pPr>
              <w:pStyle w:val="Sangradetextonormal"/>
              <w:ind w:left="0"/>
              <w:jc w:val="center"/>
              <w:rPr>
                <w:rFonts w:ascii="Calibri" w:hAnsi="Calibri" w:cs="Calibri"/>
                <w:b/>
                <w:sz w:val="30"/>
                <w:szCs w:val="30"/>
              </w:rPr>
            </w:pPr>
          </w:p>
        </w:tc>
        <w:tc>
          <w:tcPr>
            <w:tcW w:w="1530" w:type="dxa"/>
            <w:shd w:val="clear" w:color="auto" w:fill="ADADAD" w:themeFill="background2" w:themeFillShade="BF"/>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Fecha de nacimiento</w:t>
            </w:r>
            <w:r>
              <w:rPr>
                <w:rFonts w:ascii="Calibri" w:hAnsi="Calibri" w:cs="Calibri"/>
                <w:b/>
                <w:sz w:val="30"/>
                <w:szCs w:val="30"/>
              </w:rPr>
              <w:t>:</w:t>
            </w:r>
          </w:p>
        </w:tc>
        <w:tc>
          <w:tcPr>
            <w:tcW w:w="3675" w:type="dxa"/>
            <w:tcBorders>
              <w:right w:val="thinThickThinSmallGap" w:sz="24" w:space="0" w:color="auto"/>
            </w:tcBorders>
            <w:vAlign w:val="center"/>
          </w:tcPr>
          <w:p w:rsidR="007656C2" w:rsidRPr="00B220CD" w:rsidRDefault="007656C2" w:rsidP="00B220CD">
            <w:pPr>
              <w:pStyle w:val="Sangradetextonormal"/>
              <w:ind w:left="0"/>
              <w:jc w:val="center"/>
              <w:rPr>
                <w:rFonts w:ascii="Calibri" w:hAnsi="Calibri" w:cs="Calibri"/>
                <w:b/>
                <w:sz w:val="30"/>
                <w:szCs w:val="30"/>
              </w:rPr>
            </w:pPr>
          </w:p>
        </w:tc>
      </w:tr>
      <w:tr w:rsidR="007656C2" w:rsidRPr="007656C2" w:rsidTr="00B220CD">
        <w:tblPrEx>
          <w:tblCellMar>
            <w:top w:w="0" w:type="dxa"/>
            <w:bottom w:w="0" w:type="dxa"/>
          </w:tblCellMar>
        </w:tblPrEx>
        <w:trPr>
          <w:trHeight w:val="964"/>
          <w:jc w:val="center"/>
        </w:trPr>
        <w:tc>
          <w:tcPr>
            <w:tcW w:w="2655" w:type="dxa"/>
            <w:gridSpan w:val="2"/>
            <w:tcBorders>
              <w:left w:val="thinThickThinSmallGap" w:sz="24" w:space="0" w:color="auto"/>
            </w:tcBorders>
            <w:shd w:val="clear" w:color="auto" w:fill="ADADAD" w:themeFill="background2" w:themeFillShade="BF"/>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Teléfono:</w:t>
            </w:r>
          </w:p>
        </w:tc>
        <w:tc>
          <w:tcPr>
            <w:tcW w:w="6660" w:type="dxa"/>
            <w:gridSpan w:val="3"/>
            <w:tcBorders>
              <w:right w:val="thinThickThinSmallGap" w:sz="24" w:space="0" w:color="auto"/>
            </w:tcBorders>
            <w:vAlign w:val="center"/>
          </w:tcPr>
          <w:p w:rsidR="007656C2" w:rsidRPr="00B220CD" w:rsidRDefault="007656C2" w:rsidP="00B220CD">
            <w:pPr>
              <w:pStyle w:val="Sangradetextonormal"/>
              <w:ind w:left="0"/>
              <w:jc w:val="center"/>
              <w:rPr>
                <w:rFonts w:ascii="Calibri" w:hAnsi="Calibri" w:cs="Calibri"/>
                <w:b/>
                <w:sz w:val="30"/>
                <w:szCs w:val="30"/>
              </w:rPr>
            </w:pPr>
          </w:p>
        </w:tc>
      </w:tr>
      <w:tr w:rsidR="007656C2" w:rsidRPr="007656C2" w:rsidTr="00B220CD">
        <w:tblPrEx>
          <w:tblCellMar>
            <w:top w:w="0" w:type="dxa"/>
            <w:bottom w:w="0" w:type="dxa"/>
          </w:tblCellMar>
        </w:tblPrEx>
        <w:trPr>
          <w:trHeight w:val="964"/>
          <w:jc w:val="center"/>
        </w:trPr>
        <w:tc>
          <w:tcPr>
            <w:tcW w:w="2655" w:type="dxa"/>
            <w:gridSpan w:val="2"/>
            <w:tcBorders>
              <w:left w:val="thinThickThinSmallGap" w:sz="24" w:space="0" w:color="auto"/>
            </w:tcBorders>
            <w:shd w:val="clear" w:color="auto" w:fill="ADADAD" w:themeFill="background2" w:themeFillShade="BF"/>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Correo electrónico</w:t>
            </w:r>
          </w:p>
        </w:tc>
        <w:tc>
          <w:tcPr>
            <w:tcW w:w="6660" w:type="dxa"/>
            <w:gridSpan w:val="3"/>
            <w:tcBorders>
              <w:right w:val="thinThickThinSmallGap" w:sz="24" w:space="0" w:color="auto"/>
            </w:tcBorders>
            <w:vAlign w:val="center"/>
          </w:tcPr>
          <w:p w:rsidR="007656C2" w:rsidRPr="00B220CD" w:rsidRDefault="007656C2" w:rsidP="00B220CD">
            <w:pPr>
              <w:pStyle w:val="Sangradetextonormal"/>
              <w:ind w:left="0"/>
              <w:jc w:val="center"/>
              <w:rPr>
                <w:rFonts w:ascii="Calibri" w:hAnsi="Calibri" w:cs="Calibri"/>
                <w:b/>
                <w:sz w:val="30"/>
                <w:szCs w:val="30"/>
              </w:rPr>
            </w:pPr>
          </w:p>
        </w:tc>
      </w:tr>
      <w:tr w:rsidR="007656C2" w:rsidRPr="007656C2" w:rsidTr="00B220CD">
        <w:tblPrEx>
          <w:tblCellMar>
            <w:top w:w="0" w:type="dxa"/>
            <w:bottom w:w="0" w:type="dxa"/>
          </w:tblCellMar>
        </w:tblPrEx>
        <w:trPr>
          <w:trHeight w:val="964"/>
          <w:jc w:val="center"/>
        </w:trPr>
        <w:tc>
          <w:tcPr>
            <w:tcW w:w="2655" w:type="dxa"/>
            <w:gridSpan w:val="2"/>
            <w:tcBorders>
              <w:left w:val="thinThickThinSmallGap" w:sz="24" w:space="0" w:color="auto"/>
              <w:bottom w:val="thinThickThinSmallGap" w:sz="24" w:space="0" w:color="auto"/>
            </w:tcBorders>
            <w:shd w:val="clear" w:color="auto" w:fill="ADADAD" w:themeFill="background2" w:themeFillShade="BF"/>
            <w:vAlign w:val="center"/>
          </w:tcPr>
          <w:p w:rsidR="007656C2" w:rsidRPr="00B220CD" w:rsidRDefault="00B220CD" w:rsidP="00B220CD">
            <w:pPr>
              <w:pStyle w:val="Sangradetextonormal"/>
              <w:ind w:left="0"/>
              <w:jc w:val="center"/>
              <w:rPr>
                <w:rFonts w:ascii="Calibri" w:hAnsi="Calibri" w:cs="Calibri"/>
                <w:b/>
                <w:sz w:val="30"/>
                <w:szCs w:val="30"/>
              </w:rPr>
            </w:pPr>
            <w:r w:rsidRPr="00B220CD">
              <w:rPr>
                <w:rFonts w:ascii="Calibri" w:hAnsi="Calibri" w:cs="Calibri"/>
                <w:b/>
                <w:sz w:val="30"/>
                <w:szCs w:val="30"/>
              </w:rPr>
              <w:t>Dirección</w:t>
            </w:r>
          </w:p>
        </w:tc>
        <w:tc>
          <w:tcPr>
            <w:tcW w:w="6660" w:type="dxa"/>
            <w:gridSpan w:val="3"/>
            <w:tcBorders>
              <w:bottom w:val="thinThickThinSmallGap" w:sz="24" w:space="0" w:color="auto"/>
              <w:right w:val="thinThickThinSmallGap" w:sz="24" w:space="0" w:color="auto"/>
            </w:tcBorders>
            <w:vAlign w:val="center"/>
          </w:tcPr>
          <w:p w:rsidR="007656C2" w:rsidRPr="00B220CD" w:rsidRDefault="007656C2" w:rsidP="00B220CD">
            <w:pPr>
              <w:pStyle w:val="Sangradetextonormal"/>
              <w:ind w:left="0"/>
              <w:jc w:val="center"/>
              <w:rPr>
                <w:rFonts w:ascii="Calibri" w:hAnsi="Calibri" w:cs="Calibri"/>
                <w:b/>
                <w:sz w:val="30"/>
                <w:szCs w:val="30"/>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853" w:rsidRDefault="00102853" w:rsidP="0007194D">
      <w:r>
        <w:separator/>
      </w:r>
    </w:p>
  </w:endnote>
  <w:endnote w:type="continuationSeparator" w:id="1">
    <w:p w:rsidR="00102853" w:rsidRDefault="00102853"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9135C">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1046"/>
      <w:docPartObj>
        <w:docPartGallery w:val="Page Numbers (Bottom of Page)"/>
        <w:docPartUnique/>
      </w:docPartObj>
    </w:sdtPr>
    <w:sdtContent>
      <w:p w:rsidR="0022505A" w:rsidRDefault="0022505A">
        <w:pPr>
          <w:pStyle w:val="Piedepgina"/>
        </w:pPr>
        <w:fldSimple w:instr=" PAGE   \* MERGEFORMAT ">
          <w:r w:rsidR="00803229">
            <w:rPr>
              <w:noProof/>
            </w:rPr>
            <w:t>2</w:t>
          </w:r>
        </w:fldSimple>
      </w:p>
    </w:sdtContent>
  </w:sdt>
  <w:p w:rsidR="0022505A" w:rsidRDefault="0022505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853" w:rsidRDefault="00102853" w:rsidP="0007194D">
      <w:r>
        <w:separator/>
      </w:r>
    </w:p>
  </w:footnote>
  <w:footnote w:type="continuationSeparator" w:id="1">
    <w:p w:rsidR="00102853" w:rsidRDefault="00102853" w:rsidP="0007194D">
      <w:r>
        <w:continuationSeparator/>
      </w:r>
    </w:p>
  </w:footnote>
  <w:footnote w:id="2">
    <w:p w:rsidR="008816F9" w:rsidRDefault="008816F9">
      <w:pPr>
        <w:pStyle w:val="Textonotapie"/>
      </w:pPr>
      <w:hyperlink r:id="rId1" w:history="1">
        <w:r w:rsidRPr="006169C4">
          <w:rPr>
            <w:rStyle w:val="Hipervnculo"/>
            <w:sz w:val="22"/>
            <w:szCs w:val="18"/>
            <w:lang w:eastAsia="es-CL"/>
          </w:rPr>
          <w:t>www.escuelanaval.cl</w:t>
        </w:r>
      </w:hyperlink>
      <w:r>
        <w:rPr>
          <w:sz w:val="22"/>
          <w:szCs w:val="18"/>
          <w:lang w:eastAsia="es-CL"/>
        </w:rPr>
        <w:t xml:space="preserve"> </w:t>
      </w:r>
      <w:r>
        <w:rPr>
          <w:rStyle w:val="Refdenotaalpie"/>
          <w:sz w:val="22"/>
          <w:szCs w:val="18"/>
          <w:lang w:eastAsia="es-CL"/>
        </w:rPr>
        <w:footnoteRef/>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913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FFE" w:rsidRPr="00EB5FFE" w:rsidRDefault="00EB5FFE">
    <w:pPr>
      <w:pStyle w:val="Encabezado"/>
      <w:rPr>
        <w:rFonts w:ascii="Arial" w:hAnsi="Arial" w:cs="Arial"/>
        <w:b/>
        <w:sz w:val="16"/>
        <w:szCs w:val="18"/>
      </w:rPr>
    </w:pPr>
    <w:r w:rsidRPr="00EB5FFE">
      <w:rPr>
        <w:rFonts w:ascii="Arial" w:hAnsi="Arial" w:cs="Arial"/>
        <w:b/>
        <w:sz w:val="16"/>
        <w:szCs w:val="18"/>
      </w:rPr>
      <w:t>ESCUELA NAVAL “ARTURO PRAT”</w:t>
    </w:r>
  </w:p>
  <w:p w:rsidR="00EB5FFE" w:rsidRPr="00EB5FFE" w:rsidRDefault="00EB5FFE">
    <w:pPr>
      <w:pStyle w:val="Encabezado"/>
      <w:rPr>
        <w:rFonts w:ascii="Arial" w:hAnsi="Arial" w:cs="Arial"/>
        <w:b/>
        <w:sz w:val="16"/>
        <w:szCs w:val="18"/>
      </w:rPr>
    </w:pPr>
    <w:r w:rsidRPr="00EB5FFE">
      <w:rPr>
        <w:rFonts w:ascii="Arial" w:hAnsi="Arial" w:cs="Arial"/>
        <w:b/>
        <w:sz w:val="16"/>
        <w:szCs w:val="18"/>
      </w:rPr>
      <w:t>DEPARTAMENTO DE EDUCACIÓN</w:t>
    </w:r>
  </w:p>
  <w:p w:rsidR="00EB5FFE" w:rsidRPr="00EB5FFE" w:rsidRDefault="00EB5FFE">
    <w:pPr>
      <w:pStyle w:val="Encabezado"/>
      <w:rPr>
        <w:rFonts w:ascii="Arial" w:hAnsi="Arial" w:cs="Arial"/>
        <w:b/>
        <w:sz w:val="16"/>
        <w:szCs w:val="18"/>
      </w:rPr>
    </w:pPr>
    <w:r w:rsidRPr="00EB5FFE">
      <w:rPr>
        <w:rFonts w:ascii="Arial" w:hAnsi="Arial" w:cs="Arial"/>
        <w:b/>
        <w:sz w:val="16"/>
        <w:szCs w:val="18"/>
      </w:rPr>
      <w:t xml:space="preserve">CATEDRA DE </w:t>
    </w:r>
    <w:r w:rsidR="008816F9">
      <w:rPr>
        <w:rFonts w:ascii="Arial" w:hAnsi="Arial" w:cs="Arial"/>
        <w:b/>
        <w:sz w:val="16"/>
        <w:szCs w:val="18"/>
      </w:rPr>
      <w:t>MATEMÁ</w:t>
    </w:r>
    <w:r w:rsidRPr="00EB5FFE">
      <w:rPr>
        <w:rFonts w:ascii="Arial" w:hAnsi="Arial" w:cs="Arial"/>
        <w:b/>
        <w:sz w:val="16"/>
        <w:szCs w:val="18"/>
      </w:rPr>
      <w:t xml:space="preserve">TICAS Y </w:t>
    </w:r>
  </w:p>
  <w:p w:rsidR="00EB5FFE" w:rsidRPr="00EB5FFE" w:rsidRDefault="008816F9">
    <w:pPr>
      <w:pStyle w:val="Encabezado"/>
      <w:pBdr>
        <w:bottom w:val="single" w:sz="6" w:space="1" w:color="auto"/>
      </w:pBdr>
      <w:rPr>
        <w:rFonts w:ascii="Arial" w:hAnsi="Arial" w:cs="Arial"/>
        <w:b/>
        <w:sz w:val="16"/>
        <w:szCs w:val="18"/>
      </w:rPr>
    </w:pPr>
    <w:r>
      <w:rPr>
        <w:rFonts w:ascii="Arial" w:hAnsi="Arial" w:cs="Arial"/>
        <w:b/>
        <w:sz w:val="16"/>
        <w:szCs w:val="18"/>
      </w:rPr>
      <w:t>HERRRAMIENTAS TECNOLÓ</w:t>
    </w:r>
    <w:r w:rsidR="00EB5FFE" w:rsidRPr="00EB5FFE">
      <w:rPr>
        <w:rFonts w:ascii="Arial" w:hAnsi="Arial" w:cs="Arial"/>
        <w:b/>
        <w:sz w:val="16"/>
        <w:szCs w:val="18"/>
      </w:rPr>
      <w:t>GICAS</w:t>
    </w:r>
  </w:p>
  <w:p w:rsidR="00EB5FFE" w:rsidRPr="00EB5FFE" w:rsidRDefault="00EB5FFE">
    <w:pPr>
      <w:pStyle w:val="Encabezado"/>
      <w:rPr>
        <w:rFonts w:ascii="Arial" w:hAnsi="Arial" w:cs="Arial"/>
        <w:sz w:val="16"/>
        <w:szCs w:val="18"/>
      </w:rPr>
    </w:pPr>
  </w:p>
  <w:p w:rsidR="00EB5FFE" w:rsidRDefault="00EB5FF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03ABD"/>
    <w:multiLevelType w:val="multilevel"/>
    <w:tmpl w:val="858477EA"/>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28D36965"/>
    <w:multiLevelType w:val="multilevel"/>
    <w:tmpl w:val="8D2692E2"/>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102853"/>
    <w:rsid w:val="0022505A"/>
    <w:rsid w:val="00225B6E"/>
    <w:rsid w:val="002F03FB"/>
    <w:rsid w:val="003E01B1"/>
    <w:rsid w:val="00583D5A"/>
    <w:rsid w:val="007466DF"/>
    <w:rsid w:val="007656C2"/>
    <w:rsid w:val="00803229"/>
    <w:rsid w:val="008816F9"/>
    <w:rsid w:val="009006E2"/>
    <w:rsid w:val="0094007B"/>
    <w:rsid w:val="009C452B"/>
    <w:rsid w:val="00B220CD"/>
    <w:rsid w:val="00DA09CA"/>
    <w:rsid w:val="00EB5FFE"/>
    <w:rsid w:val="00F9135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EB5FFE"/>
    <w:rPr>
      <w:rFonts w:ascii="Tahoma" w:hAnsi="Tahoma" w:cs="Tahoma"/>
      <w:sz w:val="16"/>
      <w:szCs w:val="16"/>
    </w:rPr>
  </w:style>
  <w:style w:type="character" w:customStyle="1" w:styleId="TextodegloboCar">
    <w:name w:val="Texto de globo Car"/>
    <w:basedOn w:val="Fuentedeprrafopredeter"/>
    <w:link w:val="Textodeglobo"/>
    <w:uiPriority w:val="99"/>
    <w:semiHidden/>
    <w:rsid w:val="00EB5FFE"/>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8816F9"/>
    <w:rPr>
      <w:color w:val="467886"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65870"/>
    <w:rsid w:val="00665870"/>
    <w:rsid w:val="008824C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FD296A7438A4CD38E65A1BB39BD637E">
    <w:name w:val="EFD296A7438A4CD38E65A1BB39BD637E"/>
    <w:rsid w:val="0066587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B30CE-B5CF-4893-BA11-29DA33817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2025-04-15T14:41:00Z</dcterms:created>
  <dcterms:modified xsi:type="dcterms:W3CDTF">2025-04-15T14:41:00Z</dcterms:modified>
</cp:coreProperties>
</file>