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3E7EF" w14:textId="77777777" w:rsidR="005A399A" w:rsidRPr="00BF077B" w:rsidRDefault="005A399A" w:rsidP="00BF077B">
      <w:pPr>
        <w:pStyle w:val="ATSNormal"/>
        <w:rPr>
          <w:rStyle w:val="Ttulodellibro"/>
        </w:rPr>
      </w:pPr>
    </w:p>
    <w:p w14:paraId="4AC59417" w14:textId="77777777" w:rsidR="005A399A" w:rsidRDefault="005A399A" w:rsidP="004B4A60">
      <w:pPr>
        <w:rPr>
          <w:b/>
          <w:u w:val="single"/>
          <w:lang w:val="es-ES_tradnl"/>
        </w:rPr>
      </w:pPr>
    </w:p>
    <w:p w14:paraId="18CF0F26" w14:textId="77777777" w:rsidR="005A399A" w:rsidRDefault="005A399A" w:rsidP="004B4A60">
      <w:pPr>
        <w:rPr>
          <w:b/>
          <w:u w:val="single"/>
          <w:lang w:val="es-ES_tradnl"/>
        </w:rPr>
      </w:pPr>
    </w:p>
    <w:p w14:paraId="5A84E1A5" w14:textId="77777777" w:rsidR="005A399A" w:rsidRDefault="005A399A" w:rsidP="004B4A60">
      <w:pPr>
        <w:rPr>
          <w:b/>
          <w:u w:val="single"/>
          <w:lang w:val="es-ES_tradnl"/>
        </w:rPr>
      </w:pPr>
    </w:p>
    <w:p w14:paraId="36D163AA" w14:textId="77777777" w:rsidR="005A399A" w:rsidRDefault="005A399A" w:rsidP="004B4A60">
      <w:pPr>
        <w:rPr>
          <w:b/>
          <w:u w:val="single"/>
          <w:lang w:val="es-ES_tradnl"/>
        </w:rPr>
      </w:pPr>
    </w:p>
    <w:p w14:paraId="19E939BE" w14:textId="77777777" w:rsidR="005A399A" w:rsidRDefault="005A399A" w:rsidP="004B4A60">
      <w:pPr>
        <w:rPr>
          <w:b/>
          <w:u w:val="single"/>
          <w:lang w:val="es-ES_tradnl"/>
        </w:rPr>
      </w:pPr>
    </w:p>
    <w:p w14:paraId="2358DE5B" w14:textId="77777777" w:rsidR="005A399A" w:rsidRPr="0057246E" w:rsidRDefault="005A399A" w:rsidP="001B789F">
      <w:pPr>
        <w:pStyle w:val="ATSTitle"/>
      </w:pPr>
      <w:bookmarkStart w:id="0" w:name="name"/>
      <w:r>
        <w:rPr>
          <w:lang w:val="es-ES" w:bidi="es-ES"/>
        </w:rPr>
        <w:t>Inmersión humana directa en las aguas antárticas: evaluación de las prácticas turísticas actuales y necesidad de establecer una mayor coherencia</w:t>
      </w:r>
      <w:bookmarkEnd w:id="0"/>
    </w:p>
    <w:p w14:paraId="2357029B" w14:textId="77777777" w:rsidR="005A399A" w:rsidRPr="0057246E" w:rsidRDefault="005A399A" w:rsidP="00F75424">
      <w:pPr>
        <w:jc w:val="center"/>
      </w:pPr>
    </w:p>
    <w:p w14:paraId="5C0BBAF7" w14:textId="77777777" w:rsidR="005A399A" w:rsidRPr="002F0A13" w:rsidRDefault="005A399A" w:rsidP="002F0A13"/>
    <w:p w14:paraId="49107A95" w14:textId="77777777" w:rsidR="005A399A" w:rsidRDefault="005A399A" w:rsidP="00F75424">
      <w:pPr>
        <w:jc w:val="center"/>
      </w:pPr>
      <w:bookmarkStart w:id="1" w:name="memo"/>
      <w:bookmarkEnd w:id="1"/>
    </w:p>
    <w:p w14:paraId="183B92B4" w14:textId="77777777" w:rsidR="005A399A" w:rsidRDefault="005A399A" w:rsidP="00F75424">
      <w:pPr>
        <w:jc w:val="center"/>
      </w:pPr>
    </w:p>
    <w:p w14:paraId="4077BE6F" w14:textId="77777777" w:rsidR="005A399A" w:rsidRDefault="005A399A" w:rsidP="00F75424">
      <w:pPr>
        <w:jc w:val="center"/>
      </w:pPr>
    </w:p>
    <w:p w14:paraId="4CD18742" w14:textId="77777777" w:rsidR="005A399A" w:rsidRDefault="005A399A" w:rsidP="00F75424">
      <w:pPr>
        <w:jc w:val="center"/>
      </w:pPr>
    </w:p>
    <w:p w14:paraId="1D3ECE23" w14:textId="77777777" w:rsidR="005A399A" w:rsidRPr="00C26F2D" w:rsidRDefault="005A399A" w:rsidP="00F75424">
      <w:pPr>
        <w:jc w:val="center"/>
      </w:pPr>
    </w:p>
    <w:p w14:paraId="0D76E26B" w14:textId="77777777" w:rsidR="005A399A" w:rsidRPr="0057246E" w:rsidRDefault="005A399A" w:rsidP="004B4A60"/>
    <w:p w14:paraId="24D8E436" w14:textId="77777777" w:rsidR="005A399A" w:rsidRDefault="005A399A" w:rsidP="00952E9F">
      <w:pPr>
        <w:sectPr w:rsidR="005A399A" w:rsidSect="00D5023C">
          <w:headerReference w:type="default" r:id="rId8"/>
          <w:footerReference w:type="even" r:id="rId9"/>
          <w:footerReference w:type="default" r:id="rId10"/>
          <w:pgSz w:w="11907" w:h="16840" w:code="9"/>
          <w:pgMar w:top="1134" w:right="1701" w:bottom="1134" w:left="1701" w:header="709" w:footer="709" w:gutter="0"/>
          <w:cols w:space="708"/>
          <w:docGrid w:linePitch="360"/>
        </w:sectPr>
      </w:pPr>
    </w:p>
    <w:p w14:paraId="473B7078" w14:textId="77777777" w:rsidR="005463FD" w:rsidRPr="003146A7" w:rsidRDefault="005463FD" w:rsidP="005463FD">
      <w:pPr>
        <w:jc w:val="center"/>
        <w:rPr>
          <w:rFonts w:ascii="Arial" w:hAnsi="Arial" w:cs="Arial"/>
          <w:sz w:val="32"/>
          <w:szCs w:val="32"/>
        </w:rPr>
      </w:pPr>
      <w:r w:rsidRPr="003146A7">
        <w:rPr>
          <w:rFonts w:ascii="Arial" w:eastAsia="Arial" w:hAnsi="Arial" w:cs="Arial"/>
          <w:b/>
          <w:sz w:val="32"/>
          <w:szCs w:val="32"/>
          <w:lang w:val="es-ES" w:bidi="es-ES"/>
        </w:rPr>
        <w:lastRenderedPageBreak/>
        <w:t>Inmersión humana directa en las aguas antárticas: evaluación de las prácticas turísticas actuales y necesidad de establecer una mayor coherencia</w:t>
      </w:r>
    </w:p>
    <w:p w14:paraId="4E56831C" w14:textId="77777777" w:rsidR="005463FD" w:rsidRPr="00E24D3A" w:rsidRDefault="005463FD" w:rsidP="005463FD">
      <w:pPr>
        <w:pStyle w:val="ATSHeading2"/>
        <w:spacing w:after="0"/>
        <w:rPr>
          <w:szCs w:val="24"/>
        </w:rPr>
      </w:pPr>
      <w:r w:rsidRPr="00E24D3A">
        <w:rPr>
          <w:szCs w:val="24"/>
          <w:lang w:val="es-ES" w:bidi="es-ES"/>
        </w:rPr>
        <w:t>Resumen</w:t>
      </w:r>
    </w:p>
    <w:p w14:paraId="67F0A901" w14:textId="77777777" w:rsidR="005463FD" w:rsidRPr="00E24D3A" w:rsidRDefault="005463FD" w:rsidP="005463FD">
      <w:pPr>
        <w:pStyle w:val="ATSNormal"/>
        <w:spacing w:after="0"/>
        <w:rPr>
          <w:sz w:val="24"/>
        </w:rPr>
      </w:pPr>
    </w:p>
    <w:p w14:paraId="1690716B" w14:textId="77777777" w:rsidR="005463FD" w:rsidRPr="00E24D3A" w:rsidRDefault="005463FD" w:rsidP="005463FD">
      <w:pPr>
        <w:pStyle w:val="Ttulo1"/>
        <w:spacing w:before="0" w:after="0"/>
        <w:jc w:val="left"/>
        <w:rPr>
          <w:rFonts w:ascii="Times New Roman" w:hAnsi="Times New Roman"/>
          <w:b w:val="0"/>
          <w:color w:val="000000" w:themeColor="text1"/>
          <w:sz w:val="24"/>
          <w:szCs w:val="24"/>
        </w:rPr>
      </w:pPr>
      <w:r w:rsidRPr="00E24D3A">
        <w:rPr>
          <w:rFonts w:ascii="Times New Roman" w:hAnsi="Times New Roman"/>
          <w:b w:val="0"/>
          <w:color w:val="000000" w:themeColor="text1"/>
          <w:sz w:val="24"/>
          <w:szCs w:val="24"/>
          <w:lang w:val="es-ES" w:bidi="es-ES"/>
        </w:rPr>
        <w:t>En este documento se analiza la creciente variedad de actividades turísticas que implican una inmersión directa de personas en las aguas antárticas, como los «baños polares», el esnórquel, el buceo recreativo, el buceo libre, la natación, el surf, el kitesurf, el esquí acuático y los eventos acuáticos de resistencia. El registro sistemático ha mejorado a lo largo de la última década, especialmente entre los operadores de la IAATO, y estas actividades parecen estar aumentando a medida que crece el número total de turistas. Dado que los operadores turísticos ahora ofrecen una mayor variedad de actividades acuáticas, que las realizan en una gama más amplia de lugares y que, en algunos casos, implican períodos más prolongados en el agua, este documento invita a las Partes a expresar su opinión sobre cualquier inquietud en materia medioambiental o de seguridad que pueda surgir. También solicita información sobre qué actividades están autorizadas en la actualidad y se pregunta si unas directrices de la RCTA contribuirían a adoptar un enfoque más coherente y cauto en todo el Sistema del Tratado.</w:t>
      </w:r>
    </w:p>
    <w:p w14:paraId="3E5BD87C" w14:textId="77777777" w:rsidR="005463FD" w:rsidRPr="00E24D3A" w:rsidRDefault="005463FD" w:rsidP="005463FD">
      <w:pPr>
        <w:rPr>
          <w:sz w:val="24"/>
        </w:rPr>
      </w:pPr>
    </w:p>
    <w:p w14:paraId="648CD2E1" w14:textId="77777777" w:rsidR="005463FD" w:rsidRPr="00E24D3A" w:rsidRDefault="005463FD" w:rsidP="005463FD">
      <w:pPr>
        <w:pStyle w:val="ATSNormal"/>
        <w:spacing w:before="0" w:after="0"/>
        <w:rPr>
          <w:rFonts w:ascii="Arial" w:hAnsi="Arial" w:cs="Arial"/>
          <w:b/>
          <w:bCs/>
          <w:sz w:val="24"/>
          <w:lang w:val="en-US"/>
        </w:rPr>
      </w:pPr>
      <w:r w:rsidRPr="00EB305C">
        <w:rPr>
          <w:rFonts w:ascii="Arial" w:eastAsia="Arial" w:hAnsi="Arial" w:cs="Arial"/>
          <w:b/>
          <w:sz w:val="24"/>
          <w:lang w:val="es-ES" w:bidi="es-ES"/>
        </w:rPr>
        <w:t>Introducción</w:t>
      </w:r>
    </w:p>
    <w:p w14:paraId="0982E6AC" w14:textId="77777777" w:rsidR="005463FD" w:rsidRPr="00EB305C" w:rsidRDefault="005463FD" w:rsidP="005463FD">
      <w:pPr>
        <w:pStyle w:val="ATSNormal"/>
        <w:spacing w:before="0" w:after="0"/>
        <w:rPr>
          <w:b/>
          <w:bCs/>
          <w:sz w:val="24"/>
          <w:lang w:val="en-US"/>
        </w:rPr>
      </w:pPr>
    </w:p>
    <w:p w14:paraId="7DD7FB4B" w14:textId="77777777" w:rsidR="005463FD" w:rsidRPr="00E24D3A" w:rsidRDefault="005463FD" w:rsidP="005463FD">
      <w:pPr>
        <w:pStyle w:val="ATSNormal"/>
        <w:spacing w:before="0" w:after="0"/>
        <w:rPr>
          <w:sz w:val="24"/>
          <w:lang w:val="en-US"/>
        </w:rPr>
      </w:pPr>
      <w:r w:rsidRPr="00EB305C">
        <w:rPr>
          <w:sz w:val="24"/>
          <w:lang w:val="es-ES" w:bidi="es-ES"/>
        </w:rPr>
        <w:t>El turismo en la Antártida continúa evolucionando a medida que los visitantes buscan experiencias más inmersivas. Si bien la oportunidad de participar en un baño polar ya es una ansiada experiencia dentro de los viajes a la Antártida, un número creciente de embarcaciones ofrece actividades adicionales que implican que los turistas se sumerjan directamente en las aguas antárticas. Estas actividades suelen tener lugar en entornos costeros o cercanos al hielo, donde hay presencia de fauna silvestre y las condiciones meteorológicas, del hielo y del estado del mar pueden cambiar rápidamente. Los acontecimientos recientes han puesto de manifiesto nuevos retos. Por ejemplo, recientemente, un yate privado ajeno a la IAATO navegó hasta la estación de investigaciones Rothera, Reino Unido, con la intención de realizar actividades de buceo.  Si bien Rothera cuenta con una cámara hiperbárica, esta se utiliza únicamente para dar soporte a las inmersiones científicas y a las operaciones de la estación. En la península Antártica existen muy pocas cámaras hiperbáricas y ninguna de ellas está destinada al uso de expediciones no gubernamentales.  También hemos tenido constancia de actividades de esquí acuático en las inmediaciones de Port Lockroy.  Podría decirse que existe la posibilidad de que aumenten las presiones operativas y ambientales derivadas de la creciente oferta de actividades turísticas acuáticas. Por lo tanto, en este documento se analiza si la magnitud y naturaleza cada vez mayores de estas actividades exigen la determinación de una mayor coherencia en la forma en la que las Partes las evalúan y gestionan.</w:t>
      </w:r>
    </w:p>
    <w:p w14:paraId="61D06FE5" w14:textId="77777777" w:rsidR="005463FD" w:rsidRPr="00EB305C" w:rsidRDefault="005463FD" w:rsidP="005463FD">
      <w:pPr>
        <w:pStyle w:val="ATSNormal"/>
        <w:spacing w:before="0" w:after="0"/>
        <w:rPr>
          <w:sz w:val="24"/>
          <w:lang w:val="en-US"/>
        </w:rPr>
      </w:pPr>
    </w:p>
    <w:p w14:paraId="14618394" w14:textId="77777777" w:rsidR="005463FD" w:rsidRPr="00E24D3A" w:rsidRDefault="005463FD" w:rsidP="005463FD">
      <w:pPr>
        <w:pStyle w:val="ATSNormal"/>
        <w:spacing w:before="0" w:after="0"/>
        <w:rPr>
          <w:rFonts w:ascii="Arial" w:hAnsi="Arial" w:cs="Arial"/>
          <w:b/>
          <w:bCs/>
          <w:sz w:val="24"/>
          <w:lang w:val="en-US"/>
        </w:rPr>
      </w:pPr>
      <w:r w:rsidRPr="00EB305C">
        <w:rPr>
          <w:rFonts w:ascii="Arial" w:eastAsia="Arial" w:hAnsi="Arial" w:cs="Arial"/>
          <w:b/>
          <w:sz w:val="24"/>
          <w:lang w:val="es-ES" w:bidi="es-ES"/>
        </w:rPr>
        <w:t>Actividades consideradas</w:t>
      </w:r>
    </w:p>
    <w:p w14:paraId="7C018101" w14:textId="77777777" w:rsidR="005463FD" w:rsidRPr="00EB305C" w:rsidRDefault="005463FD" w:rsidP="005463FD">
      <w:pPr>
        <w:pStyle w:val="ATSNormal"/>
        <w:spacing w:before="0" w:after="0"/>
        <w:rPr>
          <w:b/>
          <w:bCs/>
          <w:sz w:val="24"/>
          <w:lang w:val="en-US"/>
        </w:rPr>
      </w:pPr>
    </w:p>
    <w:p w14:paraId="60BF0510" w14:textId="77777777" w:rsidR="005463FD" w:rsidRPr="00E24D3A" w:rsidRDefault="005463FD" w:rsidP="005463FD">
      <w:pPr>
        <w:pStyle w:val="ATSNormal"/>
        <w:spacing w:before="0" w:after="0"/>
        <w:rPr>
          <w:sz w:val="24"/>
          <w:lang w:val="en-US"/>
        </w:rPr>
      </w:pPr>
      <w:r w:rsidRPr="00EB305C">
        <w:rPr>
          <w:sz w:val="24"/>
          <w:lang w:val="es-ES" w:bidi="es-ES"/>
        </w:rPr>
        <w:t xml:space="preserve">Este documento se centra específicamente en la inmersión humana directa como actividad turística. Las actividades abordadas incluyen: baños polares, esnórquel, buceo recreativo, apnea, natación en aguas libres, surf, esquí acuático y eventos de inmersión </w:t>
      </w:r>
      <w:r w:rsidRPr="00EB305C">
        <w:rPr>
          <w:sz w:val="24"/>
          <w:lang w:val="es-ES" w:bidi="es-ES"/>
        </w:rPr>
        <w:lastRenderedPageBreak/>
        <w:t>de resistencia. Estas prácticas abarcan desde inmersiones breves y controladas hasta períodos prolongados de inmersión (que pueden realizarse con o sin equipo de respiración). Pueden colocar a los visitantes muy cerca de la fauna salvaje y exponerlos a riesgos medioambientales y de seguridad que difieren sustancialmente de los asociados a los desembarques o a las excursiones en barco.  No existe ninguna base de datos publicada de forma centralizada que cuantifique cuántos turistas realizan estas actividades cada temporada, ni su ubicación específica.</w:t>
      </w:r>
    </w:p>
    <w:p w14:paraId="1B3220D7" w14:textId="77777777" w:rsidR="005463FD" w:rsidRPr="00EB305C" w:rsidRDefault="005463FD" w:rsidP="005463FD">
      <w:pPr>
        <w:pStyle w:val="ATSNormal"/>
        <w:spacing w:before="0" w:after="0"/>
        <w:rPr>
          <w:sz w:val="24"/>
          <w:lang w:val="en-US"/>
        </w:rPr>
      </w:pPr>
    </w:p>
    <w:p w14:paraId="6D228C67" w14:textId="77777777" w:rsidR="005463FD" w:rsidRPr="00E24D3A" w:rsidRDefault="005463FD" w:rsidP="005463FD">
      <w:pPr>
        <w:pStyle w:val="ATSNormal"/>
        <w:spacing w:before="0" w:after="0"/>
        <w:rPr>
          <w:rFonts w:ascii="Arial" w:hAnsi="Arial" w:cs="Arial"/>
          <w:b/>
          <w:bCs/>
          <w:sz w:val="24"/>
          <w:lang w:val="en-US"/>
        </w:rPr>
      </w:pPr>
      <w:r w:rsidRPr="00EB305C">
        <w:rPr>
          <w:rFonts w:ascii="Arial" w:eastAsia="Arial" w:hAnsi="Arial" w:cs="Arial"/>
          <w:b/>
          <w:sz w:val="24"/>
          <w:lang w:val="es-ES" w:bidi="es-ES"/>
        </w:rPr>
        <w:t>Consideraciones ambientales</w:t>
      </w:r>
    </w:p>
    <w:p w14:paraId="61714360" w14:textId="77777777" w:rsidR="005463FD" w:rsidRPr="00EB305C" w:rsidRDefault="005463FD" w:rsidP="005463FD">
      <w:pPr>
        <w:pStyle w:val="ATSNormal"/>
        <w:spacing w:before="0" w:after="0"/>
        <w:rPr>
          <w:b/>
          <w:bCs/>
          <w:sz w:val="24"/>
          <w:lang w:val="en-US"/>
        </w:rPr>
      </w:pPr>
    </w:p>
    <w:p w14:paraId="5132B2BC" w14:textId="77777777" w:rsidR="005463FD" w:rsidRPr="00E24D3A" w:rsidRDefault="005463FD" w:rsidP="005463FD">
      <w:pPr>
        <w:pStyle w:val="ATSNormal"/>
        <w:spacing w:before="0" w:after="0"/>
        <w:rPr>
          <w:sz w:val="24"/>
          <w:lang w:val="en-US"/>
        </w:rPr>
      </w:pPr>
      <w:r w:rsidRPr="00EB305C">
        <w:rPr>
          <w:sz w:val="24"/>
          <w:lang w:val="es-ES" w:bidi="es-ES"/>
        </w:rPr>
        <w:t>La presencia directa de personas en el agua aumenta la probabilidad de que se produzcan encuentros cercanos con pingüinos, focas y, ocasionalmente, ballenas, así como los impactos posibles sobre los hábitats bentónicos costeros y la introducción potencial de contaminantes (p. ej., protectores solares y microplásticos). Si bien las interacciones individuales pueden ser breves e insignificantes, la inmersión reiterada en lugares concurridos puede contribuir a generar una perturbación adicional y acumulativa. La fauna silvestre suele concentrarse en zonas cercanas a la costa y su sensibilidad varía según la estación, p. ej., durante la época de cría, nacimiento y muda. Entender estas dinámicas es fundamental para garantizar que ninguna perturbación sea, como máximo, leve o transitoria.</w:t>
      </w:r>
    </w:p>
    <w:p w14:paraId="20FFAF9D" w14:textId="77777777" w:rsidR="005463FD" w:rsidRPr="00EB305C" w:rsidRDefault="005463FD" w:rsidP="005463FD">
      <w:pPr>
        <w:pStyle w:val="ATSNormal"/>
        <w:spacing w:before="0" w:after="0"/>
        <w:rPr>
          <w:sz w:val="24"/>
          <w:lang w:val="en-US"/>
        </w:rPr>
      </w:pPr>
    </w:p>
    <w:p w14:paraId="0C00E14C" w14:textId="77777777" w:rsidR="005463FD" w:rsidRPr="00E24D3A" w:rsidRDefault="005463FD" w:rsidP="005463FD">
      <w:pPr>
        <w:pStyle w:val="ATSNormal"/>
        <w:spacing w:before="0" w:after="0"/>
        <w:rPr>
          <w:rFonts w:ascii="Arial" w:hAnsi="Arial" w:cs="Arial"/>
          <w:b/>
          <w:bCs/>
          <w:sz w:val="24"/>
          <w:lang w:val="en-US"/>
        </w:rPr>
      </w:pPr>
      <w:r w:rsidRPr="00EB305C">
        <w:rPr>
          <w:rFonts w:ascii="Arial" w:eastAsia="Arial" w:hAnsi="Arial" w:cs="Arial"/>
          <w:b/>
          <w:sz w:val="24"/>
          <w:lang w:val="es-ES" w:bidi="es-ES"/>
        </w:rPr>
        <w:t>Consideraciones de seguridad y operativas</w:t>
      </w:r>
    </w:p>
    <w:p w14:paraId="18CFCA1F" w14:textId="77777777" w:rsidR="005463FD" w:rsidRPr="00EB305C" w:rsidRDefault="005463FD" w:rsidP="005463FD">
      <w:pPr>
        <w:pStyle w:val="ATSNormal"/>
        <w:spacing w:before="0" w:after="0"/>
        <w:rPr>
          <w:b/>
          <w:bCs/>
          <w:sz w:val="24"/>
          <w:lang w:val="en-US"/>
        </w:rPr>
      </w:pPr>
    </w:p>
    <w:p w14:paraId="7689D2DD" w14:textId="77777777" w:rsidR="005463FD" w:rsidRPr="00E24D3A" w:rsidRDefault="005463FD" w:rsidP="005463FD">
      <w:pPr>
        <w:pStyle w:val="ATSNormal"/>
        <w:spacing w:before="0" w:after="0"/>
        <w:rPr>
          <w:sz w:val="24"/>
          <w:lang w:val="en-US"/>
        </w:rPr>
      </w:pPr>
      <w:r w:rsidRPr="00EB305C">
        <w:rPr>
          <w:sz w:val="24"/>
          <w:lang w:val="es-ES" w:bidi="es-ES"/>
        </w:rPr>
        <w:t>La inmersión en agua fría presenta riesgos bien conocidos para las personas, entre ellos, el choque térmico, la incapacitación rápida y el efecto de recaída. Estos riesgos difieren entre las inmersiones cortas y las actividades más exigentes, como el buceo o la natación de resistencia. Responder a una emergencia médica conlleva riesgos para los socorristas, quienes podrían verse obligados a introducirse en el agua para llevar a cabo un rescate, para lo cual algunos estarán mejor equipados que otros.</w:t>
      </w:r>
    </w:p>
    <w:p w14:paraId="206B4CB1" w14:textId="77777777" w:rsidR="005463FD" w:rsidRPr="00EB305C" w:rsidRDefault="005463FD" w:rsidP="005463FD">
      <w:pPr>
        <w:pStyle w:val="ATSNormal"/>
        <w:spacing w:before="0" w:after="0"/>
        <w:rPr>
          <w:sz w:val="24"/>
          <w:lang w:val="en-US"/>
        </w:rPr>
      </w:pPr>
    </w:p>
    <w:p w14:paraId="4F69E510" w14:textId="77777777" w:rsidR="005463FD" w:rsidRDefault="005463FD" w:rsidP="005463FD">
      <w:pPr>
        <w:pStyle w:val="ATSNormal"/>
        <w:spacing w:before="0" w:after="0"/>
        <w:rPr>
          <w:sz w:val="24"/>
          <w:lang w:val="en-US"/>
        </w:rPr>
      </w:pPr>
      <w:r w:rsidRPr="00EB305C">
        <w:rPr>
          <w:sz w:val="24"/>
          <w:lang w:val="es-ES" w:bidi="es-ES"/>
        </w:rPr>
        <w:t>Tal y como se ha mencionado antes, no existen instalaciones de recompresión de uso general en la Antártida. Esto es particularmente relevante para el buceo con equipo autónomo o cualquier otra actividad que pueda provocar enfermedades relacionadas con la descompresión, ya que los tiempos de evacuación pueden exceder los límites seguros a nivel médico.</w:t>
      </w:r>
    </w:p>
    <w:p w14:paraId="2C856A95" w14:textId="77777777" w:rsidR="005463FD" w:rsidRPr="00EB305C" w:rsidRDefault="005463FD" w:rsidP="005463FD">
      <w:pPr>
        <w:pStyle w:val="ATSNormal"/>
        <w:spacing w:before="0" w:after="0"/>
        <w:rPr>
          <w:sz w:val="24"/>
          <w:lang w:val="en-US"/>
        </w:rPr>
      </w:pPr>
    </w:p>
    <w:p w14:paraId="1556B2D1" w14:textId="77777777" w:rsidR="005463FD" w:rsidRPr="00E24D3A" w:rsidRDefault="005463FD" w:rsidP="005463FD">
      <w:pPr>
        <w:pStyle w:val="ATSNormal"/>
        <w:spacing w:before="0" w:after="0"/>
        <w:rPr>
          <w:sz w:val="24"/>
          <w:lang w:val="en-US"/>
        </w:rPr>
      </w:pPr>
      <w:r w:rsidRPr="00EB305C">
        <w:rPr>
          <w:sz w:val="24"/>
          <w:lang w:val="es-ES" w:bidi="es-ES"/>
        </w:rPr>
        <w:t>Las embarcaciones y yates más pequeños pueden tener equipos médicos limitados, tripulaciones más reducidas y menos recursos para afrontar un rescate inmediato, la vigilancia de la vida silvestre o la respuesta y recuperación en caso de emergencia. A medida que la participación aumenta, estas limitaciones generan inquietud tanto en lo que respecta a la seguridad de los visitantes como a la supervisión ambiental.</w:t>
      </w:r>
    </w:p>
    <w:p w14:paraId="3A16C9DA" w14:textId="77777777" w:rsidR="005463FD" w:rsidRPr="00EB305C" w:rsidRDefault="005463FD" w:rsidP="005463FD">
      <w:pPr>
        <w:pStyle w:val="ATSNormal"/>
        <w:spacing w:before="0" w:after="0"/>
        <w:rPr>
          <w:sz w:val="24"/>
          <w:lang w:val="en-US"/>
        </w:rPr>
      </w:pPr>
    </w:p>
    <w:p w14:paraId="174A8671" w14:textId="77777777" w:rsidR="005463FD" w:rsidRPr="00E24D3A" w:rsidRDefault="005463FD" w:rsidP="005463FD">
      <w:pPr>
        <w:pStyle w:val="ATSNormal"/>
        <w:spacing w:before="0" w:after="0"/>
        <w:rPr>
          <w:sz w:val="24"/>
          <w:lang w:val="en-US"/>
        </w:rPr>
      </w:pPr>
      <w:r w:rsidRPr="00EB305C">
        <w:rPr>
          <w:sz w:val="24"/>
          <w:lang w:val="es-ES" w:bidi="es-ES"/>
        </w:rPr>
        <w:t>En las zonas donde abundan los mamíferos marinos también aumenta el riesgo de establecer contacto accidental o de provocar comportamientos defensivos, o incluso ataques. La experiencia científica en buceo indica que, en ocasiones, las focas leopardo pueden impedir que los buceadores salgan a la superficie directamente, lo que requiere ascensos alternativos controlados.  Los riesgos asociados a los encuentros con animales marinos son especialmente relevantes para los nadadores, los practicantes de esnórquel y los buceadores en apnea, que puedan pasar mucho tiempo en la superficie o bajo de ella.</w:t>
      </w:r>
    </w:p>
    <w:p w14:paraId="21145327" w14:textId="77777777" w:rsidR="005463FD" w:rsidRPr="00EB305C" w:rsidRDefault="005463FD" w:rsidP="005463FD">
      <w:pPr>
        <w:pStyle w:val="ATSNormal"/>
        <w:spacing w:before="0" w:after="0"/>
        <w:rPr>
          <w:sz w:val="24"/>
          <w:lang w:val="en-US"/>
        </w:rPr>
      </w:pPr>
    </w:p>
    <w:p w14:paraId="23C6B831" w14:textId="77777777" w:rsidR="005463FD" w:rsidRPr="00E24D3A" w:rsidRDefault="005463FD" w:rsidP="005463FD">
      <w:pPr>
        <w:pStyle w:val="ATSNormal"/>
        <w:spacing w:before="0" w:after="0"/>
        <w:rPr>
          <w:rFonts w:ascii="Arial" w:hAnsi="Arial" w:cs="Arial"/>
          <w:b/>
          <w:bCs/>
          <w:sz w:val="24"/>
          <w:lang w:val="en-US"/>
        </w:rPr>
      </w:pPr>
      <w:r w:rsidRPr="00EB305C">
        <w:rPr>
          <w:rFonts w:ascii="Arial" w:eastAsia="Arial" w:hAnsi="Arial" w:cs="Arial"/>
          <w:b/>
          <w:sz w:val="24"/>
          <w:lang w:val="es-ES" w:bidi="es-ES"/>
        </w:rPr>
        <w:t>Panorama actual de las autorizaciones</w:t>
      </w:r>
    </w:p>
    <w:p w14:paraId="1994EC0C" w14:textId="77777777" w:rsidR="005463FD" w:rsidRPr="00EB305C" w:rsidRDefault="005463FD" w:rsidP="005463FD">
      <w:pPr>
        <w:pStyle w:val="ATSNormal"/>
        <w:spacing w:before="0" w:after="0"/>
        <w:rPr>
          <w:b/>
          <w:bCs/>
          <w:sz w:val="24"/>
          <w:lang w:val="en-US"/>
        </w:rPr>
      </w:pPr>
    </w:p>
    <w:p w14:paraId="01303D56" w14:textId="77777777" w:rsidR="005463FD" w:rsidRPr="00E24D3A" w:rsidRDefault="005463FD" w:rsidP="005463FD">
      <w:pPr>
        <w:pStyle w:val="ATSNormal"/>
        <w:spacing w:before="0" w:after="0"/>
        <w:rPr>
          <w:sz w:val="24"/>
          <w:lang w:val="en-US"/>
        </w:rPr>
      </w:pPr>
      <w:r w:rsidRPr="00EB305C">
        <w:rPr>
          <w:sz w:val="24"/>
          <w:lang w:val="es-ES" w:bidi="es-ES"/>
        </w:rPr>
        <w:t>Las actividades de inmersión directa en el agua suelen contemplarse en las Evaluaciones Medioambientales Iniciales (EMI), pero no siempre está clara la coherencia con la que las evalúan las distintas Partes. Se pueden tener en cuenta diferentes factores, como los riesgos de interacción con la vida silvestre, la experiencia del operador, la preparación médica, la idoneidad del emplazamiento y la sensibilidad estacional, pero el grado de aplicación de estos factores puede variar o no estar documentado de forma explícita. Las actividades más recientes, como el buceo libre o la natación de larga distancia también pueden quedar fuera del ámbito de aplicación de los marcos normativos existentes. Además, en la actualidad no existe un sistema de presentación de informes normalizado y de acceso público que indique cuántas personas participan en estas actividades acuáticas ni qué incidentes se producen, lo que supone una dificultad a la hora de comprender las presiones acumulativas o comparar los enfoques entre las Partes.</w:t>
      </w:r>
    </w:p>
    <w:p w14:paraId="32ADCFD4" w14:textId="77777777" w:rsidR="005463FD" w:rsidRPr="00EB305C" w:rsidRDefault="005463FD" w:rsidP="005463FD">
      <w:pPr>
        <w:pStyle w:val="ATSNormal"/>
        <w:spacing w:before="0" w:after="0"/>
        <w:rPr>
          <w:sz w:val="24"/>
          <w:lang w:val="en-US"/>
        </w:rPr>
      </w:pPr>
    </w:p>
    <w:p w14:paraId="510ACBB6" w14:textId="77777777" w:rsidR="005463FD" w:rsidRPr="00E24D3A" w:rsidRDefault="005463FD" w:rsidP="005463FD">
      <w:pPr>
        <w:pStyle w:val="ATSNormal"/>
        <w:spacing w:before="0" w:after="0"/>
        <w:rPr>
          <w:rFonts w:ascii="Arial" w:hAnsi="Arial" w:cs="Arial"/>
          <w:b/>
          <w:bCs/>
          <w:sz w:val="24"/>
          <w:lang w:val="en-US"/>
        </w:rPr>
      </w:pPr>
      <w:r w:rsidRPr="00EB305C">
        <w:rPr>
          <w:rFonts w:ascii="Arial" w:eastAsia="Arial" w:hAnsi="Arial" w:cs="Arial"/>
          <w:b/>
          <w:sz w:val="24"/>
          <w:lang w:val="es-ES" w:bidi="es-ES"/>
        </w:rPr>
        <w:t>Cuestiones objeto de consideración</w:t>
      </w:r>
    </w:p>
    <w:p w14:paraId="2635E657" w14:textId="77777777" w:rsidR="005463FD" w:rsidRPr="00EB305C" w:rsidRDefault="005463FD" w:rsidP="005463FD">
      <w:pPr>
        <w:pStyle w:val="ATSNormal"/>
        <w:spacing w:before="0" w:after="0"/>
        <w:rPr>
          <w:b/>
          <w:bCs/>
          <w:sz w:val="24"/>
          <w:lang w:val="en-US"/>
        </w:rPr>
      </w:pPr>
    </w:p>
    <w:p w14:paraId="7CD251E5" w14:textId="77777777" w:rsidR="005463FD" w:rsidRPr="00E24D3A" w:rsidRDefault="005463FD" w:rsidP="005463FD">
      <w:pPr>
        <w:pStyle w:val="ATSNormal"/>
        <w:spacing w:before="0" w:after="0"/>
        <w:rPr>
          <w:sz w:val="24"/>
          <w:lang w:val="en-US"/>
        </w:rPr>
      </w:pPr>
      <w:r w:rsidRPr="00EB305C">
        <w:rPr>
          <w:sz w:val="24"/>
          <w:lang w:val="es-ES" w:bidi="es-ES"/>
        </w:rPr>
        <w:t>Las Partes podrían reflexionar acerca de si el aumento actual y potencial de la magnitud y diversidad de las actividades de inmersión directa en el agua plantean problemas operativos, medioambientales o de seguridad. El ejemplo de un yate que elige las proximidades de la estación de investigaciones Rothera para llevar a cabo sus actividades de buceo ilustra cómo incluso una única embarcación que realice dichas actividades puede generar presiones operativas inesperadas. A medida que el turismo se diversifica, puede resultar beneficioso mejorar la previsibilidad y la transparencia de las expectativas tanto para los operadores como para los programas nacionales. Una mayor coherencia entre las Partes permitiría mejorar las decisiones precautorias y ayudar a garantizar que las actividades turísticas de inmersión directa contemplen los riesgos de seguridad y las obligaciones medioambientales.</w:t>
      </w:r>
    </w:p>
    <w:p w14:paraId="2B9CCA89" w14:textId="77777777" w:rsidR="005463FD" w:rsidRPr="00EB305C" w:rsidRDefault="005463FD" w:rsidP="005463FD">
      <w:pPr>
        <w:pStyle w:val="ATSNormal"/>
        <w:spacing w:before="0" w:after="0"/>
        <w:rPr>
          <w:sz w:val="24"/>
          <w:lang w:val="en-US"/>
        </w:rPr>
      </w:pPr>
    </w:p>
    <w:p w14:paraId="3912A57D" w14:textId="77777777" w:rsidR="005463FD" w:rsidRPr="00E24D3A" w:rsidRDefault="005463FD" w:rsidP="005463FD">
      <w:pPr>
        <w:pStyle w:val="ATSNormal"/>
        <w:spacing w:before="0" w:after="0"/>
        <w:rPr>
          <w:rFonts w:ascii="Arial" w:hAnsi="Arial" w:cs="Arial"/>
          <w:b/>
          <w:bCs/>
          <w:sz w:val="24"/>
          <w:lang w:val="en-US"/>
        </w:rPr>
      </w:pPr>
      <w:r w:rsidRPr="00EB305C">
        <w:rPr>
          <w:rFonts w:ascii="Arial" w:eastAsia="Arial" w:hAnsi="Arial" w:cs="Arial"/>
          <w:b/>
          <w:sz w:val="24"/>
          <w:lang w:val="es-ES" w:bidi="es-ES"/>
        </w:rPr>
        <w:t>Práctica actual</w:t>
      </w:r>
    </w:p>
    <w:p w14:paraId="1B637D56" w14:textId="77777777" w:rsidR="005463FD" w:rsidRPr="00EB305C" w:rsidRDefault="005463FD" w:rsidP="005463FD">
      <w:pPr>
        <w:pStyle w:val="ATSNormal"/>
        <w:spacing w:before="0" w:after="0"/>
        <w:rPr>
          <w:b/>
          <w:bCs/>
          <w:sz w:val="24"/>
          <w:lang w:val="en-US"/>
        </w:rPr>
      </w:pPr>
    </w:p>
    <w:p w14:paraId="52CC0650" w14:textId="77777777" w:rsidR="005463FD" w:rsidRPr="00E24D3A" w:rsidRDefault="005463FD" w:rsidP="005463FD">
      <w:pPr>
        <w:pStyle w:val="ATSNormal"/>
        <w:spacing w:before="0" w:after="0"/>
        <w:rPr>
          <w:sz w:val="24"/>
          <w:lang w:val="en-US"/>
        </w:rPr>
      </w:pPr>
      <w:r w:rsidRPr="00EB305C">
        <w:rPr>
          <w:sz w:val="24"/>
          <w:lang w:val="es-ES" w:bidi="es-ES"/>
        </w:rPr>
        <w:t xml:space="preserve">Las Partes podrían compartir información sobre: </w:t>
      </w:r>
    </w:p>
    <w:p w14:paraId="781AFC22" w14:textId="77777777" w:rsidR="005463FD" w:rsidRPr="00EB305C" w:rsidRDefault="005463FD" w:rsidP="005463FD">
      <w:pPr>
        <w:pStyle w:val="ATSNormal"/>
        <w:spacing w:before="0" w:after="0"/>
        <w:rPr>
          <w:sz w:val="24"/>
          <w:lang w:val="en-US"/>
        </w:rPr>
      </w:pPr>
    </w:p>
    <w:p w14:paraId="3E4792B9" w14:textId="77777777" w:rsidR="005463FD" w:rsidRPr="00E24D3A" w:rsidRDefault="005463FD" w:rsidP="005463FD">
      <w:pPr>
        <w:pStyle w:val="ATSNormal"/>
        <w:numPr>
          <w:ilvl w:val="0"/>
          <w:numId w:val="22"/>
        </w:numPr>
        <w:spacing w:before="0" w:after="0"/>
        <w:rPr>
          <w:sz w:val="24"/>
          <w:lang w:val="en-US"/>
        </w:rPr>
      </w:pPr>
      <w:r w:rsidRPr="00EB305C">
        <w:rPr>
          <w:sz w:val="24"/>
          <w:lang w:val="es-ES" w:bidi="es-ES"/>
        </w:rPr>
        <w:t xml:space="preserve">qué actividades de inmersión directa están autorizadas actualmente y con qué condiciones; </w:t>
      </w:r>
    </w:p>
    <w:p w14:paraId="5AD48C1C" w14:textId="77777777" w:rsidR="005463FD" w:rsidRPr="00E24D3A" w:rsidRDefault="005463FD" w:rsidP="005463FD">
      <w:pPr>
        <w:pStyle w:val="ATSNormal"/>
        <w:numPr>
          <w:ilvl w:val="0"/>
          <w:numId w:val="22"/>
        </w:numPr>
        <w:spacing w:before="0" w:after="0"/>
        <w:rPr>
          <w:sz w:val="24"/>
          <w:lang w:val="en-US"/>
        </w:rPr>
      </w:pPr>
      <w:r w:rsidRPr="00EB305C">
        <w:rPr>
          <w:sz w:val="24"/>
          <w:lang w:val="es-ES" w:bidi="es-ES"/>
        </w:rPr>
        <w:t xml:space="preserve">toda inquietud operativa, medioambiental o de seguridad que se identifique, incluidas las relacionadas con el aumento de la participación; </w:t>
      </w:r>
    </w:p>
    <w:p w14:paraId="27100443" w14:textId="77777777" w:rsidR="005463FD" w:rsidRPr="00E24D3A" w:rsidRDefault="005463FD" w:rsidP="005463FD">
      <w:pPr>
        <w:pStyle w:val="ATSNormal"/>
        <w:numPr>
          <w:ilvl w:val="0"/>
          <w:numId w:val="22"/>
        </w:numPr>
        <w:spacing w:before="0" w:after="0"/>
        <w:rPr>
          <w:sz w:val="24"/>
          <w:lang w:val="en-US"/>
        </w:rPr>
      </w:pPr>
      <w:r w:rsidRPr="00EB305C">
        <w:rPr>
          <w:sz w:val="24"/>
          <w:lang w:val="es-ES" w:bidi="es-ES"/>
        </w:rPr>
        <w:t xml:space="preserve">cómo se evalúa la capacidad del operador, en particular, para embarcaciones pequeñas o yates; </w:t>
      </w:r>
    </w:p>
    <w:p w14:paraId="2C803C02" w14:textId="77777777" w:rsidR="005463FD" w:rsidRPr="00E24D3A" w:rsidRDefault="005463FD" w:rsidP="005463FD">
      <w:pPr>
        <w:pStyle w:val="ATSNormal"/>
        <w:numPr>
          <w:ilvl w:val="0"/>
          <w:numId w:val="22"/>
        </w:numPr>
        <w:spacing w:before="0" w:after="0"/>
        <w:rPr>
          <w:sz w:val="24"/>
          <w:lang w:val="en-US"/>
        </w:rPr>
      </w:pPr>
      <w:r w:rsidRPr="00EB305C">
        <w:rPr>
          <w:sz w:val="24"/>
          <w:lang w:val="es-ES" w:bidi="es-ES"/>
        </w:rPr>
        <w:t xml:space="preserve">toda alteración de la vida silvestre registrada; y </w:t>
      </w:r>
    </w:p>
    <w:p w14:paraId="4E8ADF02" w14:textId="77777777" w:rsidR="005463FD" w:rsidRPr="00E24D3A" w:rsidRDefault="005463FD" w:rsidP="005463FD">
      <w:pPr>
        <w:pStyle w:val="ATSNormal"/>
        <w:numPr>
          <w:ilvl w:val="0"/>
          <w:numId w:val="22"/>
        </w:numPr>
        <w:spacing w:before="0" w:after="0"/>
        <w:rPr>
          <w:sz w:val="24"/>
          <w:lang w:val="en-US"/>
        </w:rPr>
      </w:pPr>
      <w:r w:rsidRPr="00EB305C">
        <w:rPr>
          <w:sz w:val="24"/>
          <w:lang w:val="es-ES" w:bidi="es-ES"/>
        </w:rPr>
        <w:t>si unas directrices no vinculantes de la RCTA o el CPA podrían contribuir a mejorar la coherencia.</w:t>
      </w:r>
    </w:p>
    <w:p w14:paraId="409A381A" w14:textId="77777777" w:rsidR="005463FD" w:rsidRPr="00EB305C" w:rsidRDefault="005463FD" w:rsidP="005463FD">
      <w:pPr>
        <w:pStyle w:val="ATSNormal"/>
        <w:spacing w:before="0" w:after="0"/>
        <w:ind w:left="360"/>
        <w:rPr>
          <w:sz w:val="24"/>
          <w:lang w:val="en-US"/>
        </w:rPr>
      </w:pPr>
    </w:p>
    <w:p w14:paraId="77671841" w14:textId="77777777" w:rsidR="005463FD" w:rsidRPr="00E24D3A" w:rsidRDefault="005463FD" w:rsidP="005463FD">
      <w:pPr>
        <w:pStyle w:val="ATSNormal"/>
        <w:spacing w:before="0" w:after="0"/>
        <w:rPr>
          <w:rFonts w:ascii="Arial" w:hAnsi="Arial" w:cs="Arial"/>
          <w:b/>
          <w:bCs/>
          <w:sz w:val="24"/>
          <w:lang w:val="en-US"/>
        </w:rPr>
      </w:pPr>
      <w:r w:rsidRPr="00EB305C">
        <w:rPr>
          <w:rFonts w:ascii="Arial" w:eastAsia="Arial" w:hAnsi="Arial" w:cs="Arial"/>
          <w:b/>
          <w:sz w:val="24"/>
          <w:lang w:val="es-ES" w:bidi="es-ES"/>
        </w:rPr>
        <w:t>Recomendaciones</w:t>
      </w:r>
    </w:p>
    <w:p w14:paraId="491A7B83" w14:textId="77777777" w:rsidR="005463FD" w:rsidRPr="00EB305C" w:rsidRDefault="005463FD" w:rsidP="005463FD">
      <w:pPr>
        <w:pStyle w:val="ATSNormal"/>
        <w:spacing w:before="0" w:after="0"/>
        <w:rPr>
          <w:b/>
          <w:bCs/>
          <w:sz w:val="24"/>
          <w:lang w:val="en-US"/>
        </w:rPr>
      </w:pPr>
    </w:p>
    <w:p w14:paraId="18011AD9" w14:textId="77777777" w:rsidR="005463FD" w:rsidRPr="00E24D3A" w:rsidRDefault="005463FD" w:rsidP="005463FD">
      <w:pPr>
        <w:pStyle w:val="ATSNormal"/>
        <w:spacing w:before="0" w:after="0"/>
        <w:rPr>
          <w:sz w:val="24"/>
          <w:lang w:val="en-US"/>
        </w:rPr>
      </w:pPr>
      <w:r w:rsidRPr="00EB305C">
        <w:rPr>
          <w:sz w:val="24"/>
          <w:lang w:val="es-ES" w:bidi="es-ES"/>
        </w:rPr>
        <w:t>Se invita a la RCTA a:</w:t>
      </w:r>
    </w:p>
    <w:p w14:paraId="7D6FAA87" w14:textId="77777777" w:rsidR="005463FD" w:rsidRPr="00EB305C" w:rsidRDefault="005463FD" w:rsidP="005463FD">
      <w:pPr>
        <w:pStyle w:val="ATSNormal"/>
        <w:spacing w:before="0" w:after="0"/>
        <w:rPr>
          <w:sz w:val="24"/>
          <w:lang w:val="en-US"/>
        </w:rPr>
      </w:pPr>
    </w:p>
    <w:p w14:paraId="3FEE09FC" w14:textId="77777777" w:rsidR="005463FD" w:rsidRPr="00E24D3A" w:rsidRDefault="005463FD" w:rsidP="005463FD">
      <w:pPr>
        <w:pStyle w:val="ATSNormal"/>
        <w:numPr>
          <w:ilvl w:val="0"/>
          <w:numId w:val="21"/>
        </w:numPr>
        <w:spacing w:before="0" w:after="0"/>
        <w:rPr>
          <w:sz w:val="24"/>
          <w:lang w:val="en-US"/>
        </w:rPr>
      </w:pPr>
      <w:r w:rsidRPr="00EB305C">
        <w:rPr>
          <w:sz w:val="24"/>
          <w:lang w:val="es-ES" w:bidi="es-ES"/>
        </w:rPr>
        <w:t xml:space="preserve">alentar a las Partes a compartir información sobre sus experiencias a la hora de autorizar actividades turísticas que impliquen la inmersión humana directa en las aguas antárticas, a fin de contribuir a la comprensión de las prácticas actuales y las inquietudes que vayan surgiendo; </w:t>
      </w:r>
    </w:p>
    <w:p w14:paraId="2A01D5A6" w14:textId="77777777" w:rsidR="005463FD" w:rsidRPr="00EB305C" w:rsidRDefault="005463FD" w:rsidP="005463FD">
      <w:pPr>
        <w:pStyle w:val="ATSNormal"/>
        <w:spacing w:before="0" w:after="0"/>
        <w:ind w:left="360"/>
        <w:rPr>
          <w:sz w:val="24"/>
          <w:lang w:val="en-US"/>
        </w:rPr>
      </w:pPr>
    </w:p>
    <w:p w14:paraId="236E17A0" w14:textId="77777777" w:rsidR="005463FD" w:rsidRPr="00E24D3A" w:rsidRDefault="005463FD" w:rsidP="005463FD">
      <w:pPr>
        <w:pStyle w:val="ATSNormal"/>
        <w:numPr>
          <w:ilvl w:val="0"/>
          <w:numId w:val="21"/>
        </w:numPr>
        <w:spacing w:before="0" w:after="0"/>
        <w:rPr>
          <w:sz w:val="24"/>
          <w:lang w:val="en-US"/>
        </w:rPr>
      </w:pPr>
      <w:r w:rsidRPr="00EB305C">
        <w:rPr>
          <w:sz w:val="24"/>
          <w:lang w:val="es-ES" w:bidi="es-ES"/>
        </w:rPr>
        <w:lastRenderedPageBreak/>
        <w:t>invitar a las Partes a expresar sus opiniones acerca de si el aumento del número de turistas y la diversificación de las formas de actividades de inmersión directa plantean problemas operativos, medioambientales o de seguridad a los que merece prestar atención; y</w:t>
      </w:r>
    </w:p>
    <w:p w14:paraId="518D1231" w14:textId="77777777" w:rsidR="005463FD" w:rsidRPr="00EB305C" w:rsidRDefault="005463FD" w:rsidP="005463FD">
      <w:pPr>
        <w:pStyle w:val="ATSNormal"/>
        <w:spacing w:before="0" w:after="0"/>
        <w:rPr>
          <w:sz w:val="24"/>
          <w:lang w:val="en-US"/>
        </w:rPr>
      </w:pPr>
    </w:p>
    <w:p w14:paraId="2BFFBD11" w14:textId="77777777" w:rsidR="005463FD" w:rsidRPr="00E24D3A" w:rsidRDefault="005463FD" w:rsidP="005463FD">
      <w:pPr>
        <w:pStyle w:val="ATSNormal"/>
        <w:numPr>
          <w:ilvl w:val="0"/>
          <w:numId w:val="21"/>
        </w:numPr>
        <w:spacing w:before="0" w:after="0"/>
        <w:rPr>
          <w:sz w:val="24"/>
          <w:lang w:val="en-US"/>
        </w:rPr>
      </w:pPr>
      <w:r w:rsidRPr="00EB305C">
        <w:rPr>
          <w:sz w:val="24"/>
          <w:lang w:val="es-ES" w:bidi="es-ES"/>
        </w:rPr>
        <w:t>considerar si la RCTA debería procurar elaborar directrices (ya sean operativas o específicas de cada ubicación), basadas en las mejores prácticas y con la colaboración de la IAATO, a fin de aportar claridad y coherencia en la futura autorización de estas actividades.</w:t>
      </w:r>
    </w:p>
    <w:p w14:paraId="2FB7AE14" w14:textId="77777777" w:rsidR="005A399A" w:rsidRPr="005463FD" w:rsidRDefault="005A399A" w:rsidP="00952E9F">
      <w:pPr>
        <w:rPr>
          <w:lang w:val="en-US"/>
        </w:rPr>
      </w:pPr>
    </w:p>
    <w:sectPr w:rsidR="005A399A" w:rsidRPr="005463FD" w:rsidSect="00283F0F">
      <w:headerReference w:type="default" r:id="rId11"/>
      <w:footerReference w:type="default" r:id="rId12"/>
      <w:type w:val="oddPage"/>
      <w:pgSz w:w="11907" w:h="16840"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B6859" w14:textId="77777777" w:rsidR="00320856" w:rsidRDefault="00320856">
      <w:r>
        <w:separator/>
      </w:r>
    </w:p>
  </w:endnote>
  <w:endnote w:type="continuationSeparator" w:id="0">
    <w:p w14:paraId="4FCD2ED5" w14:textId="77777777" w:rsidR="00320856" w:rsidRDefault="00320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47091" w14:textId="5F32F65D" w:rsidR="005A399A" w:rsidRDefault="005A399A" w:rsidP="00CF5C82">
    <w:pPr>
      <w:framePr w:wrap="around" w:vAnchor="text" w:hAnchor="margin" w:xAlign="right" w:y="1"/>
    </w:pPr>
    <w:r>
      <w:rPr>
        <w:lang w:val="es-ES" w:bidi="es-ES"/>
      </w:rPr>
      <w:fldChar w:fldCharType="begin"/>
    </w:r>
    <w:r>
      <w:rPr>
        <w:lang w:val="es-ES" w:bidi="es-ES"/>
      </w:rPr>
      <w:instrText xml:space="preserve">PAGE  </w:instrText>
    </w:r>
    <w:r>
      <w:rPr>
        <w:lang w:val="es-ES" w:bidi="es-ES"/>
      </w:rPr>
      <w:fldChar w:fldCharType="separate"/>
    </w:r>
    <w:r w:rsidR="008E68A5">
      <w:rPr>
        <w:noProof/>
        <w:lang w:val="es-ES" w:bidi="es-ES"/>
      </w:rPr>
      <w:t>0</w:t>
    </w:r>
    <w:r>
      <w:rPr>
        <w:lang w:val="es-ES" w:bidi="es-ES"/>
      </w:rPr>
      <w:fldChar w:fldCharType="end"/>
    </w:r>
  </w:p>
  <w:p w14:paraId="68AF59CB" w14:textId="77777777" w:rsidR="005A399A" w:rsidRDefault="005A399A" w:rsidP="00FA0B9F">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04576" w14:textId="77777777" w:rsidR="005A399A" w:rsidRDefault="005A399A" w:rsidP="00CF5C82">
    <w:pPr>
      <w:framePr w:wrap="around" w:vAnchor="text" w:hAnchor="margin" w:xAlign="right" w:y="1"/>
    </w:pPr>
    <w:r>
      <w:rPr>
        <w:lang w:val="es-ES" w:bidi="es-ES"/>
      </w:rPr>
      <w:fldChar w:fldCharType="begin"/>
    </w:r>
    <w:r>
      <w:rPr>
        <w:lang w:val="es-ES" w:bidi="es-ES"/>
      </w:rPr>
      <w:instrText xml:space="preserve">PAGE  </w:instrText>
    </w:r>
    <w:r>
      <w:rPr>
        <w:lang w:val="es-ES" w:bidi="es-ES"/>
      </w:rPr>
      <w:fldChar w:fldCharType="separate"/>
    </w:r>
    <w:r>
      <w:rPr>
        <w:noProof/>
        <w:lang w:val="es-ES" w:bidi="es-ES"/>
      </w:rPr>
      <w:t>1</w:t>
    </w:r>
    <w:r>
      <w:rPr>
        <w:lang w:val="es-ES" w:bidi="es-ES"/>
      </w:rPr>
      <w:fldChar w:fldCharType="end"/>
    </w:r>
  </w:p>
  <w:p w14:paraId="2095ABC4" w14:textId="54CBA1E5" w:rsidR="005A399A" w:rsidRDefault="005A399A" w:rsidP="005463FD">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B8594" w14:textId="77777777" w:rsidR="005A399A" w:rsidRDefault="005A399A" w:rsidP="00CF5C82">
    <w:pPr>
      <w:framePr w:wrap="around" w:vAnchor="text" w:hAnchor="margin" w:xAlign="right" w:y="1"/>
    </w:pPr>
    <w:r>
      <w:rPr>
        <w:lang w:val="es-ES" w:bidi="es-ES"/>
      </w:rPr>
      <w:fldChar w:fldCharType="begin"/>
    </w:r>
    <w:r>
      <w:rPr>
        <w:lang w:val="es-ES" w:bidi="es-ES"/>
      </w:rPr>
      <w:instrText xml:space="preserve">PAGE  </w:instrText>
    </w:r>
    <w:r>
      <w:rPr>
        <w:lang w:val="es-ES" w:bidi="es-ES"/>
      </w:rPr>
      <w:fldChar w:fldCharType="separate"/>
    </w:r>
    <w:r>
      <w:rPr>
        <w:noProof/>
        <w:lang w:val="es-ES" w:bidi="es-ES"/>
      </w:rPr>
      <w:t>3</w:t>
    </w:r>
    <w:r>
      <w:rPr>
        <w:lang w:val="es-ES" w:bidi="es-ES"/>
      </w:rPr>
      <w:fldChar w:fldCharType="end"/>
    </w:r>
  </w:p>
  <w:p w14:paraId="02607694" w14:textId="77777777" w:rsidR="005A399A" w:rsidRDefault="005A399A" w:rsidP="00E311C9">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63C7E" w14:textId="77777777" w:rsidR="00320856" w:rsidRDefault="00320856">
      <w:r>
        <w:separator/>
      </w:r>
    </w:p>
  </w:footnote>
  <w:footnote w:type="continuationSeparator" w:id="0">
    <w:p w14:paraId="6996194A" w14:textId="77777777" w:rsidR="00320856" w:rsidRDefault="003208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272" w:type="dxa"/>
      <w:jc w:val="center"/>
      <w:tblLook w:val="01E0" w:firstRow="1" w:lastRow="1" w:firstColumn="1" w:lastColumn="1" w:noHBand="0" w:noVBand="0"/>
    </w:tblPr>
    <w:tblGrid>
      <w:gridCol w:w="5495"/>
      <w:gridCol w:w="3005"/>
      <w:gridCol w:w="1248"/>
      <w:gridCol w:w="1134"/>
      <w:gridCol w:w="390"/>
    </w:tblGrid>
    <w:tr w:rsidR="005424A5" w14:paraId="61D79062" w14:textId="77777777" w:rsidTr="002E12EC">
      <w:trPr>
        <w:trHeight w:val="344"/>
        <w:jc w:val="center"/>
      </w:trPr>
      <w:tc>
        <w:tcPr>
          <w:tcW w:w="5495" w:type="dxa"/>
        </w:tcPr>
        <w:p w14:paraId="21A32140" w14:textId="77777777" w:rsidR="005A399A" w:rsidRDefault="005A399A" w:rsidP="00F968D4">
          <w:bookmarkStart w:id="2" w:name="_Hlk218605822"/>
        </w:p>
      </w:tc>
      <w:tc>
        <w:tcPr>
          <w:tcW w:w="4253" w:type="dxa"/>
          <w:gridSpan w:val="2"/>
        </w:tcPr>
        <w:p w14:paraId="0A3F69AC" w14:textId="77777777" w:rsidR="005A399A" w:rsidRPr="00BD47E4" w:rsidRDefault="005A399A" w:rsidP="002A07BC">
          <w:pPr>
            <w:jc w:val="right"/>
            <w:rPr>
              <w:b/>
              <w:sz w:val="32"/>
              <w:szCs w:val="32"/>
            </w:rPr>
          </w:pPr>
          <w:bookmarkStart w:id="3" w:name="type"/>
          <w:r w:rsidRPr="00BD47E4">
            <w:rPr>
              <w:b/>
              <w:sz w:val="32"/>
              <w:szCs w:val="32"/>
              <w:lang w:val="es-ES" w:bidi="es-ES"/>
            </w:rPr>
            <w:t>WP</w:t>
          </w:r>
          <w:bookmarkEnd w:id="3"/>
        </w:p>
      </w:tc>
      <w:tc>
        <w:tcPr>
          <w:tcW w:w="1524" w:type="dxa"/>
          <w:gridSpan w:val="2"/>
        </w:tcPr>
        <w:p w14:paraId="3DC5A1A8" w14:textId="77777777" w:rsidR="005A399A" w:rsidRPr="00BD47E4" w:rsidRDefault="005A399A" w:rsidP="00DB7C09">
          <w:pPr>
            <w:rPr>
              <w:b/>
              <w:sz w:val="32"/>
              <w:szCs w:val="32"/>
            </w:rPr>
          </w:pPr>
          <w:bookmarkStart w:id="4" w:name="number"/>
          <w:r w:rsidRPr="00BD47E4">
            <w:rPr>
              <w:b/>
              <w:sz w:val="32"/>
              <w:szCs w:val="32"/>
              <w:lang w:val="es-ES" w:bidi="es-ES"/>
            </w:rPr>
            <w:t>4</w:t>
          </w:r>
          <w:bookmarkEnd w:id="4"/>
        </w:p>
      </w:tc>
    </w:tr>
    <w:tr w:rsidR="005424A5" w14:paraId="69FE58D1" w14:textId="77777777" w:rsidTr="002E12EC">
      <w:trPr>
        <w:trHeight w:val="2165"/>
        <w:jc w:val="center"/>
      </w:trPr>
      <w:tc>
        <w:tcPr>
          <w:tcW w:w="5495" w:type="dxa"/>
        </w:tcPr>
        <w:p w14:paraId="25CADE17" w14:textId="77777777" w:rsidR="005A399A" w:rsidRPr="00EE4D48" w:rsidRDefault="005A399A" w:rsidP="002A07BC">
          <w:pPr>
            <w:rPr>
              <w:b/>
              <w:sz w:val="28"/>
              <w:szCs w:val="28"/>
            </w:rPr>
          </w:pPr>
          <w:r>
            <w:rPr>
              <w:b/>
              <w:noProof/>
              <w:sz w:val="28"/>
              <w:szCs w:val="28"/>
              <w:lang w:val="es-ES" w:bidi="es-ES"/>
            </w:rPr>
            <w:drawing>
              <wp:anchor distT="0" distB="0" distL="114300" distR="114300" simplePos="0" relativeHeight="251658240" behindDoc="1" locked="0" layoutInCell="1" allowOverlap="1" wp14:anchorId="088CE0A2" wp14:editId="1F924E57">
                <wp:simplePos x="0" y="0"/>
                <wp:positionH relativeFrom="column">
                  <wp:posOffset>0</wp:posOffset>
                </wp:positionH>
                <wp:positionV relativeFrom="paragraph">
                  <wp:posOffset>3810</wp:posOffset>
                </wp:positionV>
                <wp:extent cx="3218688" cy="1839250"/>
                <wp:effectExtent l="0" t="0" r="1270" b="8890"/>
                <wp:wrapNone/>
                <wp:docPr id="203257775"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054543" name="Imagen 1" descr="Imagen que contiene 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242528" cy="1852873"/>
                        </a:xfrm>
                        <a:prstGeom prst="rect">
                          <a:avLst/>
                        </a:prstGeom>
                      </pic:spPr>
                    </pic:pic>
                  </a:graphicData>
                </a:graphic>
                <wp14:sizeRelH relativeFrom="margin">
                  <wp14:pctWidth>0</wp14:pctWidth>
                </wp14:sizeRelH>
                <wp14:sizeRelV relativeFrom="margin">
                  <wp14:pctHeight>0</wp14:pctHeight>
                </wp14:sizeRelV>
              </wp:anchor>
            </w:drawing>
          </w:r>
        </w:p>
      </w:tc>
      <w:tc>
        <w:tcPr>
          <w:tcW w:w="5777" w:type="dxa"/>
          <w:gridSpan w:val="4"/>
          <w:vAlign w:val="center"/>
        </w:tcPr>
        <w:p w14:paraId="72B6CDB4" w14:textId="77777777" w:rsidR="005A399A" w:rsidRPr="00FE5146" w:rsidRDefault="005A399A" w:rsidP="00490760">
          <w:pPr>
            <w:jc w:val="right"/>
            <w:rPr>
              <w:sz w:val="144"/>
              <w:szCs w:val="144"/>
            </w:rPr>
          </w:pPr>
          <w:r w:rsidRPr="00FE5146">
            <w:rPr>
              <w:sz w:val="144"/>
              <w:szCs w:val="144"/>
              <w:lang w:val="es-ES" w:bidi="es-ES"/>
            </w:rPr>
            <w:t>ESP</w:t>
          </w:r>
        </w:p>
      </w:tc>
    </w:tr>
    <w:tr w:rsidR="005424A5" w14:paraId="0355EE10" w14:textId="77777777" w:rsidTr="002E12EC">
      <w:trPr>
        <w:trHeight w:val="409"/>
        <w:jc w:val="center"/>
      </w:trPr>
      <w:tc>
        <w:tcPr>
          <w:tcW w:w="8500" w:type="dxa"/>
          <w:gridSpan w:val="2"/>
        </w:tcPr>
        <w:p w14:paraId="5DA22F74" w14:textId="77777777" w:rsidR="005A399A" w:rsidRDefault="005A399A" w:rsidP="002C30DA">
          <w:pPr>
            <w:jc w:val="right"/>
          </w:pPr>
          <w:r>
            <w:rPr>
              <w:lang w:val="es-ES" w:bidi="es-ES"/>
            </w:rPr>
            <w:t>Tema del programa:</w:t>
          </w:r>
        </w:p>
      </w:tc>
      <w:tc>
        <w:tcPr>
          <w:tcW w:w="2382" w:type="dxa"/>
          <w:gridSpan w:val="2"/>
        </w:tcPr>
        <w:p w14:paraId="320353B4" w14:textId="77777777" w:rsidR="005A399A" w:rsidRDefault="005A399A" w:rsidP="002C30DA">
          <w:pPr>
            <w:jc w:val="right"/>
          </w:pPr>
          <w:bookmarkStart w:id="5" w:name="agenda"/>
          <w:r>
            <w:rPr>
              <w:lang w:val="es-ES" w:bidi="es-ES"/>
            </w:rPr>
            <w:t>RCTA 17</w:t>
          </w:r>
          <w:bookmarkEnd w:id="5"/>
        </w:p>
      </w:tc>
      <w:tc>
        <w:tcPr>
          <w:tcW w:w="390" w:type="dxa"/>
        </w:tcPr>
        <w:p w14:paraId="44AEDCB5" w14:textId="77777777" w:rsidR="005A399A" w:rsidRDefault="005A399A" w:rsidP="00387A65">
          <w:pPr>
            <w:jc w:val="right"/>
          </w:pPr>
        </w:p>
      </w:tc>
    </w:tr>
    <w:tr w:rsidR="005424A5" w14:paraId="14D3F87E" w14:textId="77777777" w:rsidTr="002E12EC">
      <w:trPr>
        <w:trHeight w:val="397"/>
        <w:jc w:val="center"/>
      </w:trPr>
      <w:tc>
        <w:tcPr>
          <w:tcW w:w="8500" w:type="dxa"/>
          <w:gridSpan w:val="2"/>
        </w:tcPr>
        <w:p w14:paraId="129A9B48" w14:textId="77777777" w:rsidR="005A399A" w:rsidRDefault="005A399A" w:rsidP="002C30DA">
          <w:pPr>
            <w:jc w:val="right"/>
          </w:pPr>
          <w:r>
            <w:rPr>
              <w:lang w:val="es-ES" w:bidi="es-ES"/>
            </w:rPr>
            <w:t>Presentado por:</w:t>
          </w:r>
        </w:p>
      </w:tc>
      <w:tc>
        <w:tcPr>
          <w:tcW w:w="2382" w:type="dxa"/>
          <w:gridSpan w:val="2"/>
        </w:tcPr>
        <w:p w14:paraId="5043C6DD" w14:textId="77777777" w:rsidR="005A399A" w:rsidRDefault="005A399A" w:rsidP="002C30DA">
          <w:pPr>
            <w:jc w:val="right"/>
          </w:pPr>
          <w:bookmarkStart w:id="6" w:name="party"/>
          <w:r>
            <w:rPr>
              <w:lang w:val="es-ES" w:bidi="es-ES"/>
            </w:rPr>
            <w:t>Reino Unido</w:t>
          </w:r>
          <w:bookmarkEnd w:id="6"/>
        </w:p>
      </w:tc>
      <w:tc>
        <w:tcPr>
          <w:tcW w:w="390" w:type="dxa"/>
        </w:tcPr>
        <w:p w14:paraId="5330DE7B" w14:textId="77777777" w:rsidR="005A399A" w:rsidRDefault="005A399A" w:rsidP="00387A65">
          <w:pPr>
            <w:jc w:val="right"/>
          </w:pPr>
        </w:p>
      </w:tc>
    </w:tr>
    <w:tr w:rsidR="005424A5" w14:paraId="7BA1D82B" w14:textId="77777777" w:rsidTr="002E12EC">
      <w:trPr>
        <w:trHeight w:val="409"/>
        <w:jc w:val="center"/>
      </w:trPr>
      <w:tc>
        <w:tcPr>
          <w:tcW w:w="8500" w:type="dxa"/>
          <w:gridSpan w:val="2"/>
        </w:tcPr>
        <w:p w14:paraId="22F0AB27" w14:textId="77777777" w:rsidR="005A399A" w:rsidRDefault="005A399A" w:rsidP="002C30DA">
          <w:pPr>
            <w:jc w:val="right"/>
          </w:pPr>
          <w:r>
            <w:rPr>
              <w:lang w:val="es-ES" w:bidi="es-ES"/>
            </w:rPr>
            <w:t>Original:</w:t>
          </w:r>
        </w:p>
      </w:tc>
      <w:tc>
        <w:tcPr>
          <w:tcW w:w="2382" w:type="dxa"/>
          <w:gridSpan w:val="2"/>
        </w:tcPr>
        <w:p w14:paraId="05E2C58C" w14:textId="77777777" w:rsidR="005A399A" w:rsidRDefault="005A399A" w:rsidP="002C30DA">
          <w:pPr>
            <w:jc w:val="right"/>
          </w:pPr>
          <w:bookmarkStart w:id="7" w:name="language"/>
          <w:r>
            <w:rPr>
              <w:lang w:val="es-ES" w:bidi="es-ES"/>
            </w:rPr>
            <w:t>Inglés</w:t>
          </w:r>
          <w:bookmarkEnd w:id="7"/>
        </w:p>
      </w:tc>
      <w:tc>
        <w:tcPr>
          <w:tcW w:w="390" w:type="dxa"/>
        </w:tcPr>
        <w:p w14:paraId="67C13F2F" w14:textId="77777777" w:rsidR="005A399A" w:rsidRDefault="005A399A" w:rsidP="00387A65">
          <w:pPr>
            <w:jc w:val="right"/>
          </w:pPr>
        </w:p>
      </w:tc>
    </w:tr>
    <w:tr w:rsidR="005424A5" w14:paraId="15B4A3B4" w14:textId="77777777" w:rsidTr="002E12EC">
      <w:trPr>
        <w:trHeight w:val="409"/>
        <w:jc w:val="center"/>
      </w:trPr>
      <w:tc>
        <w:tcPr>
          <w:tcW w:w="8500" w:type="dxa"/>
          <w:gridSpan w:val="2"/>
        </w:tcPr>
        <w:p w14:paraId="0AEEF19F" w14:textId="77777777" w:rsidR="005A399A" w:rsidRDefault="005A399A" w:rsidP="0002555C">
          <w:pPr>
            <w:jc w:val="right"/>
          </w:pPr>
          <w:r>
            <w:rPr>
              <w:lang w:val="es-ES" w:bidi="es-ES"/>
            </w:rPr>
            <w:t>Enviado:</w:t>
          </w:r>
        </w:p>
      </w:tc>
      <w:tc>
        <w:tcPr>
          <w:tcW w:w="2382" w:type="dxa"/>
          <w:gridSpan w:val="2"/>
        </w:tcPr>
        <w:p w14:paraId="0BB807F4" w14:textId="77777777" w:rsidR="005A399A" w:rsidRDefault="005A399A" w:rsidP="0002555C">
          <w:pPr>
            <w:jc w:val="right"/>
          </w:pPr>
          <w:bookmarkStart w:id="8" w:name="date_submission"/>
          <w:r>
            <w:rPr>
              <w:lang w:val="es-ES" w:bidi="es-ES"/>
            </w:rPr>
            <w:t>23 de marzo de 2026</w:t>
          </w:r>
          <w:bookmarkEnd w:id="8"/>
        </w:p>
      </w:tc>
      <w:tc>
        <w:tcPr>
          <w:tcW w:w="390" w:type="dxa"/>
        </w:tcPr>
        <w:p w14:paraId="2E15CF0B" w14:textId="77777777" w:rsidR="005A399A" w:rsidRDefault="005A399A" w:rsidP="0002555C">
          <w:pPr>
            <w:jc w:val="right"/>
          </w:pPr>
        </w:p>
      </w:tc>
    </w:tr>
    <w:tr w:rsidR="005424A5" w14:paraId="27A478E0" w14:textId="77777777" w:rsidTr="0002555C">
      <w:trPr>
        <w:trHeight w:val="409"/>
        <w:jc w:val="center"/>
      </w:trPr>
      <w:tc>
        <w:tcPr>
          <w:tcW w:w="8500" w:type="dxa"/>
          <w:gridSpan w:val="2"/>
        </w:tcPr>
        <w:p w14:paraId="4DF8E78A" w14:textId="77777777" w:rsidR="005A399A" w:rsidRDefault="005A399A" w:rsidP="0002555C">
          <w:pPr>
            <w:jc w:val="right"/>
          </w:pPr>
          <w:r>
            <w:rPr>
              <w:lang w:val="es-ES" w:bidi="es-ES"/>
            </w:rPr>
            <w:t>Revisión:</w:t>
          </w:r>
        </w:p>
      </w:tc>
      <w:tc>
        <w:tcPr>
          <w:tcW w:w="2382" w:type="dxa"/>
          <w:gridSpan w:val="2"/>
        </w:tcPr>
        <w:p w14:paraId="60D766FB" w14:textId="77777777" w:rsidR="005A399A" w:rsidRDefault="005A399A" w:rsidP="0002555C">
          <w:pPr>
            <w:jc w:val="right"/>
          </w:pPr>
          <w:bookmarkStart w:id="9" w:name="date_revision"/>
          <w:r>
            <w:rPr>
              <w:lang w:val="es-ES" w:bidi="es-ES"/>
            </w:rPr>
            <w:t>---</w:t>
          </w:r>
          <w:bookmarkEnd w:id="9"/>
        </w:p>
      </w:tc>
      <w:tc>
        <w:tcPr>
          <w:tcW w:w="390" w:type="dxa"/>
        </w:tcPr>
        <w:p w14:paraId="4296A0D2" w14:textId="77777777" w:rsidR="005A399A" w:rsidRDefault="005A399A" w:rsidP="0002555C">
          <w:pPr>
            <w:jc w:val="right"/>
          </w:pPr>
        </w:p>
      </w:tc>
    </w:tr>
    <w:bookmarkEnd w:id="2"/>
  </w:tbl>
  <w:p w14:paraId="6BBDE205" w14:textId="77777777" w:rsidR="005A399A" w:rsidRDefault="005A399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6" w:type="dxa"/>
      <w:jc w:val="center"/>
      <w:tblLook w:val="01E0" w:firstRow="1" w:lastRow="1" w:firstColumn="1" w:lastColumn="1" w:noHBand="0" w:noVBand="0"/>
    </w:tblPr>
    <w:tblGrid>
      <w:gridCol w:w="9694"/>
      <w:gridCol w:w="1332"/>
    </w:tblGrid>
    <w:tr w:rsidR="005424A5" w14:paraId="70383C46" w14:textId="77777777">
      <w:trPr>
        <w:trHeight w:val="354"/>
        <w:jc w:val="center"/>
      </w:trPr>
      <w:tc>
        <w:tcPr>
          <w:tcW w:w="9694" w:type="dxa"/>
        </w:tcPr>
        <w:p w14:paraId="5CE40025" w14:textId="4C27FCC7" w:rsidR="005A399A" w:rsidRPr="00BD47E4" w:rsidRDefault="005463FD" w:rsidP="00C26F2D">
          <w:pPr>
            <w:jc w:val="right"/>
            <w:rPr>
              <w:b/>
              <w:sz w:val="32"/>
              <w:szCs w:val="32"/>
            </w:rPr>
          </w:pPr>
          <w:r>
            <w:rPr>
              <w:b/>
              <w:sz w:val="32"/>
              <w:szCs w:val="32"/>
              <w:lang w:val="es-ES" w:bidi="es-ES"/>
            </w:rPr>
            <w:t>WP</w:t>
          </w:r>
        </w:p>
      </w:tc>
      <w:tc>
        <w:tcPr>
          <w:tcW w:w="1332" w:type="dxa"/>
        </w:tcPr>
        <w:p w14:paraId="31E66EDF" w14:textId="229CC3C3" w:rsidR="005A399A" w:rsidRPr="00BD47E4" w:rsidRDefault="005463FD" w:rsidP="00080F4C">
          <w:pPr>
            <w:rPr>
              <w:b/>
              <w:sz w:val="32"/>
              <w:szCs w:val="32"/>
            </w:rPr>
          </w:pPr>
          <w:r>
            <w:rPr>
              <w:b/>
              <w:sz w:val="32"/>
              <w:szCs w:val="32"/>
              <w:lang w:val="es-ES" w:bidi="es-ES"/>
            </w:rPr>
            <w:t>4</w:t>
          </w:r>
        </w:p>
      </w:tc>
    </w:tr>
  </w:tbl>
  <w:p w14:paraId="386D2C69" w14:textId="77777777" w:rsidR="005A399A" w:rsidRDefault="005A399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044987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E0EC73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EB63ED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9D2F98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114CC6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E141F9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0DA27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982BAE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A6C13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DCC03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F9465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86577EA"/>
    <w:multiLevelType w:val="hybridMultilevel"/>
    <w:tmpl w:val="21A63D98"/>
    <w:lvl w:ilvl="0" w:tplc="5D366C98">
      <w:start w:val="1"/>
      <w:numFmt w:val="bullet"/>
      <w:pStyle w:val="ATSBullet1"/>
      <w:lvlText w:val=""/>
      <w:lvlJc w:val="left"/>
      <w:pPr>
        <w:tabs>
          <w:tab w:val="num" w:pos="360"/>
        </w:tabs>
        <w:ind w:left="360" w:hanging="360"/>
      </w:pPr>
      <w:rPr>
        <w:rFonts w:ascii="Symbol" w:hAnsi="Symbol" w:hint="default"/>
        <w:color w:val="auto"/>
      </w:rPr>
    </w:lvl>
    <w:lvl w:ilvl="1" w:tplc="876E23E0" w:tentative="1">
      <w:start w:val="1"/>
      <w:numFmt w:val="bullet"/>
      <w:lvlText w:val="o"/>
      <w:lvlJc w:val="left"/>
      <w:pPr>
        <w:tabs>
          <w:tab w:val="num" w:pos="1440"/>
        </w:tabs>
        <w:ind w:left="1440" w:hanging="360"/>
      </w:pPr>
      <w:rPr>
        <w:rFonts w:ascii="Courier New" w:hAnsi="Courier New" w:cs="Courier New" w:hint="default"/>
      </w:rPr>
    </w:lvl>
    <w:lvl w:ilvl="2" w:tplc="A894B428" w:tentative="1">
      <w:start w:val="1"/>
      <w:numFmt w:val="bullet"/>
      <w:lvlText w:val=""/>
      <w:lvlJc w:val="left"/>
      <w:pPr>
        <w:tabs>
          <w:tab w:val="num" w:pos="2160"/>
        </w:tabs>
        <w:ind w:left="2160" w:hanging="360"/>
      </w:pPr>
      <w:rPr>
        <w:rFonts w:ascii="Wingdings" w:hAnsi="Wingdings" w:hint="default"/>
      </w:rPr>
    </w:lvl>
    <w:lvl w:ilvl="3" w:tplc="ECDAFA02" w:tentative="1">
      <w:start w:val="1"/>
      <w:numFmt w:val="bullet"/>
      <w:lvlText w:val=""/>
      <w:lvlJc w:val="left"/>
      <w:pPr>
        <w:tabs>
          <w:tab w:val="num" w:pos="2880"/>
        </w:tabs>
        <w:ind w:left="2880" w:hanging="360"/>
      </w:pPr>
      <w:rPr>
        <w:rFonts w:ascii="Symbol" w:hAnsi="Symbol" w:hint="default"/>
      </w:rPr>
    </w:lvl>
    <w:lvl w:ilvl="4" w:tplc="CB8EAA6E" w:tentative="1">
      <w:start w:val="1"/>
      <w:numFmt w:val="bullet"/>
      <w:lvlText w:val="o"/>
      <w:lvlJc w:val="left"/>
      <w:pPr>
        <w:tabs>
          <w:tab w:val="num" w:pos="3600"/>
        </w:tabs>
        <w:ind w:left="3600" w:hanging="360"/>
      </w:pPr>
      <w:rPr>
        <w:rFonts w:ascii="Courier New" w:hAnsi="Courier New" w:cs="Courier New" w:hint="default"/>
      </w:rPr>
    </w:lvl>
    <w:lvl w:ilvl="5" w:tplc="CFA0AFB2" w:tentative="1">
      <w:start w:val="1"/>
      <w:numFmt w:val="bullet"/>
      <w:lvlText w:val=""/>
      <w:lvlJc w:val="left"/>
      <w:pPr>
        <w:tabs>
          <w:tab w:val="num" w:pos="4320"/>
        </w:tabs>
        <w:ind w:left="4320" w:hanging="360"/>
      </w:pPr>
      <w:rPr>
        <w:rFonts w:ascii="Wingdings" w:hAnsi="Wingdings" w:hint="default"/>
      </w:rPr>
    </w:lvl>
    <w:lvl w:ilvl="6" w:tplc="DD84B91A" w:tentative="1">
      <w:start w:val="1"/>
      <w:numFmt w:val="bullet"/>
      <w:lvlText w:val=""/>
      <w:lvlJc w:val="left"/>
      <w:pPr>
        <w:tabs>
          <w:tab w:val="num" w:pos="5040"/>
        </w:tabs>
        <w:ind w:left="5040" w:hanging="360"/>
      </w:pPr>
      <w:rPr>
        <w:rFonts w:ascii="Symbol" w:hAnsi="Symbol" w:hint="default"/>
      </w:rPr>
    </w:lvl>
    <w:lvl w:ilvl="7" w:tplc="D34CBADA" w:tentative="1">
      <w:start w:val="1"/>
      <w:numFmt w:val="bullet"/>
      <w:lvlText w:val="o"/>
      <w:lvlJc w:val="left"/>
      <w:pPr>
        <w:tabs>
          <w:tab w:val="num" w:pos="5760"/>
        </w:tabs>
        <w:ind w:left="5760" w:hanging="360"/>
      </w:pPr>
      <w:rPr>
        <w:rFonts w:ascii="Courier New" w:hAnsi="Courier New" w:cs="Courier New" w:hint="default"/>
      </w:rPr>
    </w:lvl>
    <w:lvl w:ilvl="8" w:tplc="C8423E0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D35C15"/>
    <w:multiLevelType w:val="hybridMultilevel"/>
    <w:tmpl w:val="A8A2E45C"/>
    <w:lvl w:ilvl="0" w:tplc="9D88E15E">
      <w:start w:val="1"/>
      <w:numFmt w:val="decimal"/>
      <w:lvlText w:val="%1)"/>
      <w:lvlJc w:val="left"/>
      <w:pPr>
        <w:tabs>
          <w:tab w:val="num" w:pos="340"/>
        </w:tabs>
        <w:ind w:left="340" w:hanging="340"/>
      </w:pPr>
      <w:rPr>
        <w:rFonts w:hint="default"/>
      </w:rPr>
    </w:lvl>
    <w:lvl w:ilvl="1" w:tplc="56E4DA9E" w:tentative="1">
      <w:start w:val="1"/>
      <w:numFmt w:val="lowerLetter"/>
      <w:lvlText w:val="%2."/>
      <w:lvlJc w:val="left"/>
      <w:pPr>
        <w:tabs>
          <w:tab w:val="num" w:pos="1440"/>
        </w:tabs>
        <w:ind w:left="1440" w:hanging="360"/>
      </w:pPr>
    </w:lvl>
    <w:lvl w:ilvl="2" w:tplc="8EA0158A" w:tentative="1">
      <w:start w:val="1"/>
      <w:numFmt w:val="lowerRoman"/>
      <w:lvlText w:val="%3."/>
      <w:lvlJc w:val="right"/>
      <w:pPr>
        <w:tabs>
          <w:tab w:val="num" w:pos="2160"/>
        </w:tabs>
        <w:ind w:left="2160" w:hanging="180"/>
      </w:pPr>
    </w:lvl>
    <w:lvl w:ilvl="3" w:tplc="A1CA51EE" w:tentative="1">
      <w:start w:val="1"/>
      <w:numFmt w:val="decimal"/>
      <w:lvlText w:val="%4."/>
      <w:lvlJc w:val="left"/>
      <w:pPr>
        <w:tabs>
          <w:tab w:val="num" w:pos="2880"/>
        </w:tabs>
        <w:ind w:left="2880" w:hanging="360"/>
      </w:pPr>
    </w:lvl>
    <w:lvl w:ilvl="4" w:tplc="AA9A4D36" w:tentative="1">
      <w:start w:val="1"/>
      <w:numFmt w:val="lowerLetter"/>
      <w:lvlText w:val="%5."/>
      <w:lvlJc w:val="left"/>
      <w:pPr>
        <w:tabs>
          <w:tab w:val="num" w:pos="3600"/>
        </w:tabs>
        <w:ind w:left="3600" w:hanging="360"/>
      </w:pPr>
    </w:lvl>
    <w:lvl w:ilvl="5" w:tplc="9E745392" w:tentative="1">
      <w:start w:val="1"/>
      <w:numFmt w:val="lowerRoman"/>
      <w:lvlText w:val="%6."/>
      <w:lvlJc w:val="right"/>
      <w:pPr>
        <w:tabs>
          <w:tab w:val="num" w:pos="4320"/>
        </w:tabs>
        <w:ind w:left="4320" w:hanging="180"/>
      </w:pPr>
    </w:lvl>
    <w:lvl w:ilvl="6" w:tplc="5C22D6A0" w:tentative="1">
      <w:start w:val="1"/>
      <w:numFmt w:val="decimal"/>
      <w:lvlText w:val="%7."/>
      <w:lvlJc w:val="left"/>
      <w:pPr>
        <w:tabs>
          <w:tab w:val="num" w:pos="5040"/>
        </w:tabs>
        <w:ind w:left="5040" w:hanging="360"/>
      </w:pPr>
    </w:lvl>
    <w:lvl w:ilvl="7" w:tplc="4EBC0552" w:tentative="1">
      <w:start w:val="1"/>
      <w:numFmt w:val="lowerLetter"/>
      <w:lvlText w:val="%8."/>
      <w:lvlJc w:val="left"/>
      <w:pPr>
        <w:tabs>
          <w:tab w:val="num" w:pos="5760"/>
        </w:tabs>
        <w:ind w:left="5760" w:hanging="360"/>
      </w:pPr>
    </w:lvl>
    <w:lvl w:ilvl="8" w:tplc="8D545A42" w:tentative="1">
      <w:start w:val="1"/>
      <w:numFmt w:val="lowerRoman"/>
      <w:lvlText w:val="%9."/>
      <w:lvlJc w:val="right"/>
      <w:pPr>
        <w:tabs>
          <w:tab w:val="num" w:pos="6480"/>
        </w:tabs>
        <w:ind w:left="6480" w:hanging="180"/>
      </w:pPr>
    </w:lvl>
  </w:abstractNum>
  <w:abstractNum w:abstractNumId="13" w15:restartNumberingAfterBreak="0">
    <w:nsid w:val="51E33040"/>
    <w:multiLevelType w:val="hybridMultilevel"/>
    <w:tmpl w:val="DEC6D5C0"/>
    <w:lvl w:ilvl="0" w:tplc="239A2D82">
      <w:numFmt w:val="bullet"/>
      <w:lvlText w:val="•"/>
      <w:lvlJc w:val="left"/>
      <w:pPr>
        <w:ind w:left="360" w:hanging="360"/>
      </w:pPr>
      <w:rPr>
        <w:rFonts w:ascii="Times New Roman" w:eastAsiaTheme="minorEastAsia"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642F3AFA"/>
    <w:multiLevelType w:val="hybridMultilevel"/>
    <w:tmpl w:val="9DF09BE6"/>
    <w:lvl w:ilvl="0" w:tplc="5704BD94">
      <w:start w:val="1"/>
      <w:numFmt w:val="decimal"/>
      <w:lvlText w:val="%1."/>
      <w:lvlJc w:val="left"/>
      <w:pPr>
        <w:tabs>
          <w:tab w:val="num" w:pos="1057"/>
        </w:tabs>
        <w:ind w:left="1057" w:hanging="360"/>
      </w:pPr>
      <w:rPr>
        <w:rFonts w:hint="default"/>
      </w:rPr>
    </w:lvl>
    <w:lvl w:ilvl="1" w:tplc="758C1062" w:tentative="1">
      <w:start w:val="1"/>
      <w:numFmt w:val="lowerLetter"/>
      <w:lvlText w:val="%2."/>
      <w:lvlJc w:val="left"/>
      <w:pPr>
        <w:tabs>
          <w:tab w:val="num" w:pos="2137"/>
        </w:tabs>
        <w:ind w:left="2137" w:hanging="360"/>
      </w:pPr>
    </w:lvl>
    <w:lvl w:ilvl="2" w:tplc="BF7C724C" w:tentative="1">
      <w:start w:val="1"/>
      <w:numFmt w:val="lowerRoman"/>
      <w:lvlText w:val="%3."/>
      <w:lvlJc w:val="right"/>
      <w:pPr>
        <w:tabs>
          <w:tab w:val="num" w:pos="2857"/>
        </w:tabs>
        <w:ind w:left="2857" w:hanging="180"/>
      </w:pPr>
    </w:lvl>
    <w:lvl w:ilvl="3" w:tplc="5AAE1BDC" w:tentative="1">
      <w:start w:val="1"/>
      <w:numFmt w:val="decimal"/>
      <w:lvlText w:val="%4."/>
      <w:lvlJc w:val="left"/>
      <w:pPr>
        <w:tabs>
          <w:tab w:val="num" w:pos="3577"/>
        </w:tabs>
        <w:ind w:left="3577" w:hanging="360"/>
      </w:pPr>
    </w:lvl>
    <w:lvl w:ilvl="4" w:tplc="3E4A217A" w:tentative="1">
      <w:start w:val="1"/>
      <w:numFmt w:val="lowerLetter"/>
      <w:lvlText w:val="%5."/>
      <w:lvlJc w:val="left"/>
      <w:pPr>
        <w:tabs>
          <w:tab w:val="num" w:pos="4297"/>
        </w:tabs>
        <w:ind w:left="4297" w:hanging="360"/>
      </w:pPr>
    </w:lvl>
    <w:lvl w:ilvl="5" w:tplc="98BE3418" w:tentative="1">
      <w:start w:val="1"/>
      <w:numFmt w:val="lowerRoman"/>
      <w:lvlText w:val="%6."/>
      <w:lvlJc w:val="right"/>
      <w:pPr>
        <w:tabs>
          <w:tab w:val="num" w:pos="5017"/>
        </w:tabs>
        <w:ind w:left="5017" w:hanging="180"/>
      </w:pPr>
    </w:lvl>
    <w:lvl w:ilvl="6" w:tplc="D6F291B8" w:tentative="1">
      <w:start w:val="1"/>
      <w:numFmt w:val="decimal"/>
      <w:lvlText w:val="%7."/>
      <w:lvlJc w:val="left"/>
      <w:pPr>
        <w:tabs>
          <w:tab w:val="num" w:pos="5737"/>
        </w:tabs>
        <w:ind w:left="5737" w:hanging="360"/>
      </w:pPr>
    </w:lvl>
    <w:lvl w:ilvl="7" w:tplc="A3661CC6" w:tentative="1">
      <w:start w:val="1"/>
      <w:numFmt w:val="lowerLetter"/>
      <w:lvlText w:val="%8."/>
      <w:lvlJc w:val="left"/>
      <w:pPr>
        <w:tabs>
          <w:tab w:val="num" w:pos="6457"/>
        </w:tabs>
        <w:ind w:left="6457" w:hanging="360"/>
      </w:pPr>
    </w:lvl>
    <w:lvl w:ilvl="8" w:tplc="57F4B826" w:tentative="1">
      <w:start w:val="1"/>
      <w:numFmt w:val="lowerRoman"/>
      <w:lvlText w:val="%9."/>
      <w:lvlJc w:val="right"/>
      <w:pPr>
        <w:tabs>
          <w:tab w:val="num" w:pos="7177"/>
        </w:tabs>
        <w:ind w:left="7177" w:hanging="180"/>
      </w:pPr>
    </w:lvl>
  </w:abstractNum>
  <w:abstractNum w:abstractNumId="15" w15:restartNumberingAfterBreak="0">
    <w:nsid w:val="6EA1787D"/>
    <w:multiLevelType w:val="hybridMultilevel"/>
    <w:tmpl w:val="8E84FA08"/>
    <w:lvl w:ilvl="0" w:tplc="239A2D82">
      <w:numFmt w:val="bullet"/>
      <w:lvlText w:val="•"/>
      <w:lvlJc w:val="left"/>
      <w:pPr>
        <w:ind w:left="360" w:hanging="360"/>
      </w:pPr>
      <w:rPr>
        <w:rFonts w:ascii="Times New Roman" w:eastAsiaTheme="minorEastAsia"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212657C"/>
    <w:multiLevelType w:val="hybridMultilevel"/>
    <w:tmpl w:val="0A8E2A84"/>
    <w:lvl w:ilvl="0" w:tplc="E3C8F89C">
      <w:start w:val="1"/>
      <w:numFmt w:val="decimal"/>
      <w:pStyle w:val="ATSNumber1"/>
      <w:lvlText w:val="%1)"/>
      <w:lvlJc w:val="left"/>
      <w:pPr>
        <w:tabs>
          <w:tab w:val="num" w:pos="720"/>
        </w:tabs>
        <w:ind w:left="720" w:hanging="360"/>
      </w:pPr>
    </w:lvl>
    <w:lvl w:ilvl="1" w:tplc="1B0E577C" w:tentative="1">
      <w:start w:val="1"/>
      <w:numFmt w:val="lowerLetter"/>
      <w:lvlText w:val="%2."/>
      <w:lvlJc w:val="left"/>
      <w:pPr>
        <w:tabs>
          <w:tab w:val="num" w:pos="1440"/>
        </w:tabs>
        <w:ind w:left="1440" w:hanging="360"/>
      </w:pPr>
    </w:lvl>
    <w:lvl w:ilvl="2" w:tplc="C84491AC" w:tentative="1">
      <w:start w:val="1"/>
      <w:numFmt w:val="lowerRoman"/>
      <w:lvlText w:val="%3."/>
      <w:lvlJc w:val="right"/>
      <w:pPr>
        <w:tabs>
          <w:tab w:val="num" w:pos="2160"/>
        </w:tabs>
        <w:ind w:left="2160" w:hanging="180"/>
      </w:pPr>
    </w:lvl>
    <w:lvl w:ilvl="3" w:tplc="0AEA24A0" w:tentative="1">
      <w:start w:val="1"/>
      <w:numFmt w:val="decimal"/>
      <w:lvlText w:val="%4."/>
      <w:lvlJc w:val="left"/>
      <w:pPr>
        <w:tabs>
          <w:tab w:val="num" w:pos="2880"/>
        </w:tabs>
        <w:ind w:left="2880" w:hanging="360"/>
      </w:pPr>
    </w:lvl>
    <w:lvl w:ilvl="4" w:tplc="8D0EB59E" w:tentative="1">
      <w:start w:val="1"/>
      <w:numFmt w:val="lowerLetter"/>
      <w:lvlText w:val="%5."/>
      <w:lvlJc w:val="left"/>
      <w:pPr>
        <w:tabs>
          <w:tab w:val="num" w:pos="3600"/>
        </w:tabs>
        <w:ind w:left="3600" w:hanging="360"/>
      </w:pPr>
    </w:lvl>
    <w:lvl w:ilvl="5" w:tplc="DD12B252" w:tentative="1">
      <w:start w:val="1"/>
      <w:numFmt w:val="lowerRoman"/>
      <w:lvlText w:val="%6."/>
      <w:lvlJc w:val="right"/>
      <w:pPr>
        <w:tabs>
          <w:tab w:val="num" w:pos="4320"/>
        </w:tabs>
        <w:ind w:left="4320" w:hanging="180"/>
      </w:pPr>
    </w:lvl>
    <w:lvl w:ilvl="6" w:tplc="96221DB8" w:tentative="1">
      <w:start w:val="1"/>
      <w:numFmt w:val="decimal"/>
      <w:lvlText w:val="%7."/>
      <w:lvlJc w:val="left"/>
      <w:pPr>
        <w:tabs>
          <w:tab w:val="num" w:pos="5040"/>
        </w:tabs>
        <w:ind w:left="5040" w:hanging="360"/>
      </w:pPr>
    </w:lvl>
    <w:lvl w:ilvl="7" w:tplc="6E4CE002" w:tentative="1">
      <w:start w:val="1"/>
      <w:numFmt w:val="lowerLetter"/>
      <w:lvlText w:val="%8."/>
      <w:lvlJc w:val="left"/>
      <w:pPr>
        <w:tabs>
          <w:tab w:val="num" w:pos="5760"/>
        </w:tabs>
        <w:ind w:left="5760" w:hanging="360"/>
      </w:pPr>
    </w:lvl>
    <w:lvl w:ilvl="8" w:tplc="3C8C1EB2" w:tentative="1">
      <w:start w:val="1"/>
      <w:numFmt w:val="lowerRoman"/>
      <w:lvlText w:val="%9."/>
      <w:lvlJc w:val="right"/>
      <w:pPr>
        <w:tabs>
          <w:tab w:val="num" w:pos="6480"/>
        </w:tabs>
        <w:ind w:left="6480" w:hanging="180"/>
      </w:pPr>
    </w:lvl>
  </w:abstractNum>
  <w:abstractNum w:abstractNumId="17" w15:restartNumberingAfterBreak="0">
    <w:nsid w:val="743D2161"/>
    <w:multiLevelType w:val="hybridMultilevel"/>
    <w:tmpl w:val="B0868D9E"/>
    <w:lvl w:ilvl="0" w:tplc="BC36024A">
      <w:start w:val="1"/>
      <w:numFmt w:val="bullet"/>
      <w:pStyle w:val="ATSBullet2"/>
      <w:lvlText w:val="-"/>
      <w:lvlJc w:val="left"/>
      <w:pPr>
        <w:tabs>
          <w:tab w:val="num" w:pos="1080"/>
        </w:tabs>
        <w:ind w:left="1080" w:hanging="360"/>
      </w:pPr>
      <w:rPr>
        <w:rFonts w:ascii="Times New Roman" w:hAnsi="Times New Roman" w:cs="Times New Roman" w:hint="default"/>
        <w:color w:val="auto"/>
      </w:rPr>
    </w:lvl>
    <w:lvl w:ilvl="1" w:tplc="175A37C8" w:tentative="1">
      <w:start w:val="1"/>
      <w:numFmt w:val="bullet"/>
      <w:lvlText w:val="o"/>
      <w:lvlJc w:val="left"/>
      <w:pPr>
        <w:tabs>
          <w:tab w:val="num" w:pos="2517"/>
        </w:tabs>
        <w:ind w:left="2517" w:hanging="360"/>
      </w:pPr>
      <w:rPr>
        <w:rFonts w:ascii="Courier New" w:hAnsi="Courier New" w:cs="Courier New" w:hint="default"/>
      </w:rPr>
    </w:lvl>
    <w:lvl w:ilvl="2" w:tplc="7CDA29E0" w:tentative="1">
      <w:start w:val="1"/>
      <w:numFmt w:val="bullet"/>
      <w:lvlText w:val=""/>
      <w:lvlJc w:val="left"/>
      <w:pPr>
        <w:tabs>
          <w:tab w:val="num" w:pos="3237"/>
        </w:tabs>
        <w:ind w:left="3237" w:hanging="360"/>
      </w:pPr>
      <w:rPr>
        <w:rFonts w:ascii="Wingdings" w:hAnsi="Wingdings" w:hint="default"/>
      </w:rPr>
    </w:lvl>
    <w:lvl w:ilvl="3" w:tplc="F94A4E5C" w:tentative="1">
      <w:start w:val="1"/>
      <w:numFmt w:val="bullet"/>
      <w:lvlText w:val=""/>
      <w:lvlJc w:val="left"/>
      <w:pPr>
        <w:tabs>
          <w:tab w:val="num" w:pos="3957"/>
        </w:tabs>
        <w:ind w:left="3957" w:hanging="360"/>
      </w:pPr>
      <w:rPr>
        <w:rFonts w:ascii="Symbol" w:hAnsi="Symbol" w:hint="default"/>
      </w:rPr>
    </w:lvl>
    <w:lvl w:ilvl="4" w:tplc="8318BE5A" w:tentative="1">
      <w:start w:val="1"/>
      <w:numFmt w:val="bullet"/>
      <w:lvlText w:val="o"/>
      <w:lvlJc w:val="left"/>
      <w:pPr>
        <w:tabs>
          <w:tab w:val="num" w:pos="4677"/>
        </w:tabs>
        <w:ind w:left="4677" w:hanging="360"/>
      </w:pPr>
      <w:rPr>
        <w:rFonts w:ascii="Courier New" w:hAnsi="Courier New" w:cs="Courier New" w:hint="default"/>
      </w:rPr>
    </w:lvl>
    <w:lvl w:ilvl="5" w:tplc="36A60EC2" w:tentative="1">
      <w:start w:val="1"/>
      <w:numFmt w:val="bullet"/>
      <w:lvlText w:val=""/>
      <w:lvlJc w:val="left"/>
      <w:pPr>
        <w:tabs>
          <w:tab w:val="num" w:pos="5397"/>
        </w:tabs>
        <w:ind w:left="5397" w:hanging="360"/>
      </w:pPr>
      <w:rPr>
        <w:rFonts w:ascii="Wingdings" w:hAnsi="Wingdings" w:hint="default"/>
      </w:rPr>
    </w:lvl>
    <w:lvl w:ilvl="6" w:tplc="ACF6CFCE" w:tentative="1">
      <w:start w:val="1"/>
      <w:numFmt w:val="bullet"/>
      <w:lvlText w:val=""/>
      <w:lvlJc w:val="left"/>
      <w:pPr>
        <w:tabs>
          <w:tab w:val="num" w:pos="6117"/>
        </w:tabs>
        <w:ind w:left="6117" w:hanging="360"/>
      </w:pPr>
      <w:rPr>
        <w:rFonts w:ascii="Symbol" w:hAnsi="Symbol" w:hint="default"/>
      </w:rPr>
    </w:lvl>
    <w:lvl w:ilvl="7" w:tplc="BB5A0712" w:tentative="1">
      <w:start w:val="1"/>
      <w:numFmt w:val="bullet"/>
      <w:lvlText w:val="o"/>
      <w:lvlJc w:val="left"/>
      <w:pPr>
        <w:tabs>
          <w:tab w:val="num" w:pos="6837"/>
        </w:tabs>
        <w:ind w:left="6837" w:hanging="360"/>
      </w:pPr>
      <w:rPr>
        <w:rFonts w:ascii="Courier New" w:hAnsi="Courier New" w:cs="Courier New" w:hint="default"/>
      </w:rPr>
    </w:lvl>
    <w:lvl w:ilvl="8" w:tplc="836E86D8" w:tentative="1">
      <w:start w:val="1"/>
      <w:numFmt w:val="bullet"/>
      <w:lvlText w:val=""/>
      <w:lvlJc w:val="left"/>
      <w:pPr>
        <w:tabs>
          <w:tab w:val="num" w:pos="7557"/>
        </w:tabs>
        <w:ind w:left="7557" w:hanging="360"/>
      </w:pPr>
      <w:rPr>
        <w:rFonts w:ascii="Wingdings" w:hAnsi="Wingdings" w:hint="default"/>
      </w:rPr>
    </w:lvl>
  </w:abstractNum>
  <w:abstractNum w:abstractNumId="18" w15:restartNumberingAfterBreak="0">
    <w:nsid w:val="7C866FC0"/>
    <w:multiLevelType w:val="hybridMultilevel"/>
    <w:tmpl w:val="57EA2900"/>
    <w:lvl w:ilvl="0" w:tplc="60307192">
      <w:start w:val="1"/>
      <w:numFmt w:val="decimal"/>
      <w:pStyle w:val="ATSNumber2"/>
      <w:lvlText w:val="%1."/>
      <w:lvlJc w:val="left"/>
      <w:pPr>
        <w:tabs>
          <w:tab w:val="num" w:pos="720"/>
        </w:tabs>
        <w:ind w:left="720" w:hanging="360"/>
      </w:pPr>
      <w:rPr>
        <w:rFonts w:hint="default"/>
      </w:rPr>
    </w:lvl>
    <w:lvl w:ilvl="1" w:tplc="79764A40" w:tentative="1">
      <w:start w:val="1"/>
      <w:numFmt w:val="lowerLetter"/>
      <w:lvlText w:val="%2."/>
      <w:lvlJc w:val="left"/>
      <w:pPr>
        <w:tabs>
          <w:tab w:val="num" w:pos="1440"/>
        </w:tabs>
        <w:ind w:left="1440" w:hanging="360"/>
      </w:pPr>
    </w:lvl>
    <w:lvl w:ilvl="2" w:tplc="0EA42016" w:tentative="1">
      <w:start w:val="1"/>
      <w:numFmt w:val="lowerRoman"/>
      <w:lvlText w:val="%3."/>
      <w:lvlJc w:val="right"/>
      <w:pPr>
        <w:tabs>
          <w:tab w:val="num" w:pos="2160"/>
        </w:tabs>
        <w:ind w:left="2160" w:hanging="180"/>
      </w:pPr>
    </w:lvl>
    <w:lvl w:ilvl="3" w:tplc="57BAD158" w:tentative="1">
      <w:start w:val="1"/>
      <w:numFmt w:val="decimal"/>
      <w:lvlText w:val="%4."/>
      <w:lvlJc w:val="left"/>
      <w:pPr>
        <w:tabs>
          <w:tab w:val="num" w:pos="2880"/>
        </w:tabs>
        <w:ind w:left="2880" w:hanging="360"/>
      </w:pPr>
    </w:lvl>
    <w:lvl w:ilvl="4" w:tplc="ACD29272" w:tentative="1">
      <w:start w:val="1"/>
      <w:numFmt w:val="lowerLetter"/>
      <w:lvlText w:val="%5."/>
      <w:lvlJc w:val="left"/>
      <w:pPr>
        <w:tabs>
          <w:tab w:val="num" w:pos="3600"/>
        </w:tabs>
        <w:ind w:left="3600" w:hanging="360"/>
      </w:pPr>
    </w:lvl>
    <w:lvl w:ilvl="5" w:tplc="A52285A8" w:tentative="1">
      <w:start w:val="1"/>
      <w:numFmt w:val="lowerRoman"/>
      <w:lvlText w:val="%6."/>
      <w:lvlJc w:val="right"/>
      <w:pPr>
        <w:tabs>
          <w:tab w:val="num" w:pos="4320"/>
        </w:tabs>
        <w:ind w:left="4320" w:hanging="180"/>
      </w:pPr>
    </w:lvl>
    <w:lvl w:ilvl="6" w:tplc="0D885E88" w:tentative="1">
      <w:start w:val="1"/>
      <w:numFmt w:val="decimal"/>
      <w:lvlText w:val="%7."/>
      <w:lvlJc w:val="left"/>
      <w:pPr>
        <w:tabs>
          <w:tab w:val="num" w:pos="5040"/>
        </w:tabs>
        <w:ind w:left="5040" w:hanging="360"/>
      </w:pPr>
    </w:lvl>
    <w:lvl w:ilvl="7" w:tplc="1C181D3A" w:tentative="1">
      <w:start w:val="1"/>
      <w:numFmt w:val="lowerLetter"/>
      <w:lvlText w:val="%8."/>
      <w:lvlJc w:val="left"/>
      <w:pPr>
        <w:tabs>
          <w:tab w:val="num" w:pos="5760"/>
        </w:tabs>
        <w:ind w:left="5760" w:hanging="360"/>
      </w:pPr>
    </w:lvl>
    <w:lvl w:ilvl="8" w:tplc="93BAE86C"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7"/>
  </w:num>
  <w:num w:numId="13">
    <w:abstractNumId w:val="16"/>
  </w:num>
  <w:num w:numId="14">
    <w:abstractNumId w:val="12"/>
  </w:num>
  <w:num w:numId="15">
    <w:abstractNumId w:val="14"/>
  </w:num>
  <w:num w:numId="16">
    <w:abstractNumId w:val="10"/>
  </w:num>
  <w:num w:numId="17">
    <w:abstractNumId w:val="11"/>
  </w:num>
  <w:num w:numId="18">
    <w:abstractNumId w:val="17"/>
  </w:num>
  <w:num w:numId="19">
    <w:abstractNumId w:val="16"/>
  </w:num>
  <w:num w:numId="20">
    <w:abstractNumId w:val="18"/>
  </w:num>
  <w:num w:numId="21">
    <w:abstractNumId w:val="15"/>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4A5"/>
    <w:rsid w:val="0006172D"/>
    <w:rsid w:val="00320856"/>
    <w:rsid w:val="005424A5"/>
    <w:rsid w:val="005463FD"/>
    <w:rsid w:val="005A399A"/>
    <w:rsid w:val="008A44BB"/>
    <w:rsid w:val="008E68A5"/>
    <w:rsid w:val="00C848DE"/>
    <w:rsid w:val="00DD6A1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174E52"/>
  <w15:chartTrackingRefBased/>
  <w15:docId w15:val="{30B46A76-2450-4F15-BC0A-D0EB4CE2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AR" w:bidi="ar-SA"/>
      </w:rPr>
    </w:rPrDefault>
    <w:pPrDefault/>
  </w:docDefaults>
  <w:latentStyles w:defLockedState="0" w:defUIPriority="0" w:defSemiHidden="0" w:defUnhideWhenUsed="0" w:defQFormat="0" w:count="376">
    <w:lsdException w:name="Normal" w:qFormat="1"/>
    <w:lsdException w:name="heading 1" w:uiPriority="9" w:qFormat="1"/>
    <w:lsdException w:name="caption" w:semiHidden="1" w:unhideWhenUs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89F"/>
    <w:rPr>
      <w:sz w:val="22"/>
      <w:szCs w:val="24"/>
      <w:lang w:val="en-GB" w:eastAsia="en-US"/>
    </w:rPr>
  </w:style>
  <w:style w:type="paragraph" w:styleId="Ttulo1">
    <w:name w:val="heading 1"/>
    <w:basedOn w:val="Normal"/>
    <w:next w:val="Normal"/>
    <w:uiPriority w:val="9"/>
    <w:qFormat/>
    <w:rsid w:val="001B789F"/>
    <w:pPr>
      <w:keepNext/>
      <w:spacing w:before="180" w:after="360"/>
      <w:jc w:val="center"/>
      <w:outlineLvl w:val="0"/>
    </w:pPr>
    <w:rPr>
      <w:rFonts w:ascii="Arial" w:hAnsi="Arial"/>
      <w:b/>
      <w:kern w:val="28"/>
      <w:sz w:val="32"/>
      <w:szCs w:val="20"/>
    </w:rPr>
  </w:style>
  <w:style w:type="paragraph" w:styleId="Ttulo2">
    <w:name w:val="heading 2"/>
    <w:basedOn w:val="Normal"/>
    <w:next w:val="Normal"/>
    <w:rsid w:val="001B789F"/>
    <w:pPr>
      <w:keepNext/>
      <w:spacing w:before="120" w:after="240"/>
      <w:outlineLvl w:val="1"/>
    </w:pPr>
    <w:rPr>
      <w:b/>
      <w:i/>
      <w:sz w:val="28"/>
      <w:szCs w:val="20"/>
    </w:rPr>
  </w:style>
  <w:style w:type="paragraph" w:styleId="Ttulo3">
    <w:name w:val="heading 3"/>
    <w:basedOn w:val="Normal"/>
    <w:next w:val="Normal"/>
    <w:rsid w:val="001B789F"/>
    <w:pPr>
      <w:keepNext/>
      <w:spacing w:before="120" w:after="180"/>
      <w:outlineLvl w:val="2"/>
    </w:pPr>
    <w:rPr>
      <w:rFonts w:eastAsia="SimSun"/>
      <w:b/>
      <w:sz w:val="24"/>
      <w:szCs w:val="20"/>
      <w:lang w:eastAsia="zh-CN"/>
    </w:rPr>
  </w:style>
  <w:style w:type="paragraph" w:styleId="Ttulo4">
    <w:name w:val="heading 4"/>
    <w:basedOn w:val="Normal"/>
    <w:next w:val="Normal"/>
    <w:rsid w:val="001B789F"/>
    <w:pPr>
      <w:keepNext/>
      <w:spacing w:before="60" w:after="120"/>
      <w:outlineLvl w:val="3"/>
    </w:pPr>
    <w:rPr>
      <w:b/>
      <w:bCs/>
      <w:i/>
      <w:szCs w:val="28"/>
    </w:rPr>
  </w:style>
  <w:style w:type="paragraph" w:styleId="Ttulo5">
    <w:name w:val="heading 5"/>
    <w:basedOn w:val="Normal"/>
    <w:next w:val="Normal"/>
    <w:rsid w:val="001B789F"/>
    <w:pPr>
      <w:spacing w:before="240" w:after="60"/>
      <w:outlineLvl w:val="4"/>
    </w:pPr>
    <w:rPr>
      <w:b/>
      <w:bCs/>
      <w:i/>
      <w:iCs/>
      <w:sz w:val="26"/>
      <w:szCs w:val="26"/>
    </w:rPr>
  </w:style>
  <w:style w:type="paragraph" w:styleId="Ttulo6">
    <w:name w:val="heading 6"/>
    <w:basedOn w:val="Normal"/>
    <w:next w:val="Normal"/>
    <w:rsid w:val="001B789F"/>
    <w:pPr>
      <w:spacing w:before="240" w:after="60"/>
      <w:outlineLvl w:val="5"/>
    </w:pPr>
    <w:rPr>
      <w:b/>
      <w:bCs/>
      <w:szCs w:val="22"/>
    </w:rPr>
  </w:style>
  <w:style w:type="paragraph" w:styleId="Ttulo7">
    <w:name w:val="heading 7"/>
    <w:basedOn w:val="Normal"/>
    <w:next w:val="Normal"/>
    <w:rsid w:val="001B789F"/>
    <w:pPr>
      <w:spacing w:before="240" w:after="60"/>
      <w:outlineLvl w:val="6"/>
    </w:pPr>
    <w:rPr>
      <w:sz w:val="24"/>
    </w:rPr>
  </w:style>
  <w:style w:type="paragraph" w:styleId="Ttulo8">
    <w:name w:val="heading 8"/>
    <w:basedOn w:val="Normal"/>
    <w:next w:val="Normal"/>
    <w:rsid w:val="001B789F"/>
    <w:pPr>
      <w:spacing w:before="240" w:after="60"/>
      <w:outlineLvl w:val="7"/>
    </w:pPr>
    <w:rPr>
      <w:i/>
      <w:iCs/>
      <w:sz w:val="24"/>
    </w:rPr>
  </w:style>
  <w:style w:type="paragraph" w:styleId="Ttulo9">
    <w:name w:val="heading 9"/>
    <w:basedOn w:val="Normal"/>
    <w:next w:val="Normal"/>
    <w:rsid w:val="001B789F"/>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TSNormal">
    <w:name w:val="ATS Normal"/>
    <w:basedOn w:val="Normal"/>
    <w:qFormat/>
    <w:rsid w:val="001B789F"/>
    <w:pPr>
      <w:spacing w:before="120" w:after="120"/>
    </w:pPr>
    <w:rPr>
      <w:lang w:eastAsia="en-GB"/>
    </w:rPr>
  </w:style>
  <w:style w:type="paragraph" w:customStyle="1" w:styleId="ATSBullet1">
    <w:name w:val="ATS Bullet 1"/>
    <w:basedOn w:val="ATSNormal"/>
    <w:qFormat/>
    <w:rsid w:val="001B789F"/>
    <w:pPr>
      <w:numPr>
        <w:numId w:val="17"/>
      </w:numPr>
      <w:spacing w:before="60" w:after="0"/>
    </w:pPr>
  </w:style>
  <w:style w:type="paragraph" w:customStyle="1" w:styleId="ATSBullet2">
    <w:name w:val="ATS Bullet 2"/>
    <w:basedOn w:val="ATSNormal"/>
    <w:qFormat/>
    <w:rsid w:val="001B789F"/>
    <w:pPr>
      <w:numPr>
        <w:numId w:val="18"/>
      </w:numPr>
      <w:tabs>
        <w:tab w:val="left" w:pos="720"/>
      </w:tabs>
      <w:spacing w:before="60" w:after="0"/>
    </w:pPr>
  </w:style>
  <w:style w:type="paragraph" w:customStyle="1" w:styleId="ATSCompact">
    <w:name w:val="ATS Compact"/>
    <w:basedOn w:val="ATSNormal"/>
    <w:qFormat/>
    <w:rsid w:val="001B789F"/>
    <w:pPr>
      <w:spacing w:before="0" w:after="0"/>
    </w:pPr>
  </w:style>
  <w:style w:type="paragraph" w:customStyle="1" w:styleId="ATSHeading1">
    <w:name w:val="ATS Heading 1"/>
    <w:basedOn w:val="ATSNormal"/>
    <w:next w:val="ATSNormal"/>
    <w:qFormat/>
    <w:rsid w:val="001B789F"/>
    <w:pPr>
      <w:spacing w:before="360" w:after="360"/>
      <w:jc w:val="center"/>
    </w:pPr>
    <w:rPr>
      <w:rFonts w:ascii="Arial" w:hAnsi="Arial"/>
      <w:b/>
      <w:sz w:val="32"/>
    </w:rPr>
  </w:style>
  <w:style w:type="paragraph" w:customStyle="1" w:styleId="ATSHeading2">
    <w:name w:val="ATS Heading 2"/>
    <w:basedOn w:val="ATSNormal"/>
    <w:next w:val="ATSNormal"/>
    <w:link w:val="ATSHeading2Char"/>
    <w:qFormat/>
    <w:rsid w:val="001B789F"/>
    <w:pPr>
      <w:spacing w:before="480"/>
      <w:jc w:val="both"/>
    </w:pPr>
    <w:rPr>
      <w:rFonts w:ascii="Arial" w:hAnsi="Arial"/>
      <w:b/>
      <w:i/>
      <w:sz w:val="24"/>
      <w:szCs w:val="22"/>
    </w:rPr>
  </w:style>
  <w:style w:type="paragraph" w:customStyle="1" w:styleId="ATSHeading3">
    <w:name w:val="ATS Heading 3"/>
    <w:basedOn w:val="ATSNormal"/>
    <w:next w:val="ATSNormal"/>
    <w:qFormat/>
    <w:rsid w:val="001B789F"/>
    <w:pPr>
      <w:spacing w:before="240" w:after="60"/>
    </w:pPr>
    <w:rPr>
      <w:b/>
    </w:rPr>
  </w:style>
  <w:style w:type="paragraph" w:customStyle="1" w:styleId="ATSHeading4">
    <w:name w:val="ATS Heading 4"/>
    <w:basedOn w:val="ATSNormal"/>
    <w:next w:val="ATSNormal"/>
    <w:qFormat/>
    <w:rsid w:val="001B789F"/>
    <w:pPr>
      <w:spacing w:before="240" w:after="60"/>
    </w:pPr>
    <w:rPr>
      <w:i/>
    </w:rPr>
  </w:style>
  <w:style w:type="paragraph" w:customStyle="1" w:styleId="AtsNumber">
    <w:name w:val="Ats Number"/>
    <w:basedOn w:val="ATSNormal"/>
    <w:qFormat/>
    <w:rsid w:val="001B789F"/>
    <w:pPr>
      <w:spacing w:before="60" w:after="0"/>
    </w:pPr>
  </w:style>
  <w:style w:type="paragraph" w:customStyle="1" w:styleId="ATSNumber1">
    <w:name w:val="ATS Number 1"/>
    <w:basedOn w:val="ATSNormal"/>
    <w:qFormat/>
    <w:rsid w:val="001B789F"/>
    <w:pPr>
      <w:numPr>
        <w:numId w:val="19"/>
      </w:numPr>
      <w:spacing w:before="60" w:after="0"/>
    </w:pPr>
  </w:style>
  <w:style w:type="paragraph" w:customStyle="1" w:styleId="ATSNumber2">
    <w:name w:val="ATS Number 2"/>
    <w:basedOn w:val="ATSNormal"/>
    <w:autoRedefine/>
    <w:qFormat/>
    <w:rsid w:val="001B789F"/>
    <w:pPr>
      <w:numPr>
        <w:numId w:val="20"/>
      </w:numPr>
      <w:spacing w:after="0"/>
      <w:jc w:val="both"/>
    </w:pPr>
  </w:style>
  <w:style w:type="paragraph" w:customStyle="1" w:styleId="ATSQuote">
    <w:name w:val="ATS Quote"/>
    <w:basedOn w:val="Normal"/>
    <w:qFormat/>
    <w:rsid w:val="001B789F"/>
    <w:pPr>
      <w:ind w:left="357"/>
    </w:pPr>
    <w:rPr>
      <w:i/>
      <w:szCs w:val="18"/>
    </w:rPr>
  </w:style>
  <w:style w:type="paragraph" w:customStyle="1" w:styleId="ATSTitle">
    <w:name w:val="ATS Title"/>
    <w:basedOn w:val="Normal"/>
    <w:qFormat/>
    <w:rsid w:val="001B789F"/>
    <w:pPr>
      <w:spacing w:before="360" w:after="360"/>
      <w:contextualSpacing/>
      <w:jc w:val="center"/>
    </w:pPr>
    <w:rPr>
      <w:rFonts w:ascii="Arial" w:hAnsi="Arial"/>
      <w:b/>
      <w:sz w:val="48"/>
    </w:rPr>
  </w:style>
  <w:style w:type="paragraph" w:styleId="Textodeglobo">
    <w:name w:val="Balloon Text"/>
    <w:basedOn w:val="Normal"/>
    <w:semiHidden/>
    <w:rsid w:val="001B789F"/>
    <w:rPr>
      <w:rFonts w:ascii="Tahoma" w:hAnsi="Tahoma" w:cs="Tahoma"/>
      <w:sz w:val="16"/>
      <w:szCs w:val="16"/>
    </w:rPr>
  </w:style>
  <w:style w:type="character" w:customStyle="1" w:styleId="BodyTextChar">
    <w:name w:val="Body Text Char"/>
    <w:semiHidden/>
    <w:rsid w:val="001B789F"/>
    <w:rPr>
      <w:sz w:val="24"/>
      <w:szCs w:val="22"/>
      <w:lang w:val="en-US" w:eastAsia="zh-CN" w:bidi="ar-SA"/>
    </w:rPr>
  </w:style>
  <w:style w:type="character" w:customStyle="1" w:styleId="CharacterStyle1">
    <w:name w:val="Character Style 1"/>
    <w:semiHidden/>
    <w:rsid w:val="001B789F"/>
    <w:rPr>
      <w:sz w:val="22"/>
      <w:szCs w:val="22"/>
    </w:rPr>
  </w:style>
  <w:style w:type="character" w:customStyle="1" w:styleId="descriptions1">
    <w:name w:val="descriptions1"/>
    <w:semiHidden/>
    <w:rsid w:val="001B789F"/>
    <w:rPr>
      <w:rFonts w:ascii="Verdana" w:hAnsi="Verdana" w:hint="default"/>
      <w:b/>
      <w:bCs/>
      <w:i w:val="0"/>
      <w:iCs w:val="0"/>
      <w:caps w:val="0"/>
      <w:smallCaps w:val="0"/>
      <w:color w:val="585858"/>
      <w:sz w:val="12"/>
      <w:szCs w:val="12"/>
    </w:rPr>
  </w:style>
  <w:style w:type="paragraph" w:styleId="Mapadeldocumento">
    <w:name w:val="Document Map"/>
    <w:basedOn w:val="Normal"/>
    <w:semiHidden/>
    <w:rsid w:val="001B789F"/>
    <w:pPr>
      <w:shd w:val="clear" w:color="auto" w:fill="000080"/>
    </w:pPr>
    <w:rPr>
      <w:rFonts w:ascii="Tahoma" w:hAnsi="Tahoma" w:cs="Tahoma"/>
      <w:sz w:val="20"/>
      <w:szCs w:val="20"/>
    </w:rPr>
  </w:style>
  <w:style w:type="character" w:styleId="Refdenotaalfinal">
    <w:name w:val="endnote reference"/>
    <w:semiHidden/>
    <w:rsid w:val="001B789F"/>
    <w:rPr>
      <w:vertAlign w:val="superscript"/>
    </w:rPr>
  </w:style>
  <w:style w:type="paragraph" w:styleId="Textonotaalfinal">
    <w:name w:val="endnote text"/>
    <w:basedOn w:val="Normal"/>
    <w:semiHidden/>
    <w:rsid w:val="001B789F"/>
    <w:rPr>
      <w:sz w:val="20"/>
      <w:szCs w:val="20"/>
    </w:rPr>
  </w:style>
  <w:style w:type="character" w:styleId="Hipervnculovisitado">
    <w:name w:val="FollowedHyperlink"/>
    <w:semiHidden/>
    <w:rsid w:val="001B789F"/>
    <w:rPr>
      <w:color w:val="800080"/>
      <w:u w:val="single"/>
    </w:rPr>
  </w:style>
  <w:style w:type="paragraph" w:styleId="Piedepgina">
    <w:name w:val="footer"/>
    <w:basedOn w:val="Normal"/>
    <w:semiHidden/>
    <w:rsid w:val="001B789F"/>
    <w:pPr>
      <w:tabs>
        <w:tab w:val="center" w:pos="4419"/>
        <w:tab w:val="right" w:pos="8838"/>
      </w:tabs>
    </w:pPr>
  </w:style>
  <w:style w:type="character" w:styleId="Refdenotaalpie">
    <w:name w:val="footnote reference"/>
    <w:rsid w:val="001B789F"/>
    <w:rPr>
      <w:vertAlign w:val="superscript"/>
    </w:rPr>
  </w:style>
  <w:style w:type="paragraph" w:styleId="Textonotapie">
    <w:name w:val="footnote text"/>
    <w:basedOn w:val="Normal"/>
    <w:rsid w:val="001B789F"/>
    <w:rPr>
      <w:szCs w:val="22"/>
    </w:rPr>
  </w:style>
  <w:style w:type="paragraph" w:styleId="Encabezado">
    <w:name w:val="header"/>
    <w:basedOn w:val="Normal"/>
    <w:semiHidden/>
    <w:rsid w:val="001B789F"/>
    <w:pPr>
      <w:tabs>
        <w:tab w:val="center" w:pos="4419"/>
        <w:tab w:val="right" w:pos="8838"/>
      </w:tabs>
    </w:pPr>
  </w:style>
  <w:style w:type="character" w:styleId="Hipervnculo">
    <w:name w:val="Hyperlink"/>
    <w:semiHidden/>
    <w:rsid w:val="001B789F"/>
    <w:rPr>
      <w:color w:val="660000"/>
      <w:u w:val="single"/>
    </w:rPr>
  </w:style>
  <w:style w:type="paragraph" w:styleId="NormalWeb">
    <w:name w:val="Normal (Web)"/>
    <w:basedOn w:val="Normal"/>
    <w:semiHidden/>
    <w:rsid w:val="001B789F"/>
    <w:pPr>
      <w:spacing w:before="100" w:beforeAutospacing="1" w:after="100" w:afterAutospacing="1"/>
      <w:jc w:val="both"/>
    </w:pPr>
    <w:rPr>
      <w:sz w:val="24"/>
      <w:lang w:val="en-AU" w:eastAsia="en-AU"/>
    </w:rPr>
  </w:style>
  <w:style w:type="character" w:styleId="Nmerodepgina">
    <w:name w:val="page number"/>
    <w:basedOn w:val="Fuentedeprrafopredeter"/>
    <w:semiHidden/>
    <w:rsid w:val="001B789F"/>
  </w:style>
  <w:style w:type="character" w:styleId="Textoennegrita">
    <w:name w:val="Strong"/>
    <w:rsid w:val="001B789F"/>
    <w:rPr>
      <w:b/>
      <w:bCs/>
    </w:rPr>
  </w:style>
  <w:style w:type="table" w:styleId="Tablaconcuadrcula">
    <w:name w:val="Table Grid"/>
    <w:basedOn w:val="Tablanormal"/>
    <w:semiHidden/>
    <w:rsid w:val="001B7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1">
    <w:name w:val="tag1"/>
    <w:semiHidden/>
    <w:rsid w:val="001B789F"/>
    <w:rPr>
      <w:rFonts w:ascii="Verdana" w:hAnsi="Verdana" w:hint="default"/>
      <w:b w:val="0"/>
      <w:bCs w:val="0"/>
      <w:i w:val="0"/>
      <w:iCs w:val="0"/>
      <w:caps w:val="0"/>
      <w:smallCaps w:val="0"/>
      <w:strike w:val="0"/>
      <w:dstrike w:val="0"/>
      <w:color w:val="585858"/>
      <w:sz w:val="12"/>
      <w:szCs w:val="12"/>
      <w:u w:val="none"/>
      <w:effect w:val="none"/>
    </w:rPr>
  </w:style>
  <w:style w:type="paragraph" w:customStyle="1" w:styleId="TexteFr">
    <w:name w:val="TexteFr"/>
    <w:basedOn w:val="Normal"/>
    <w:semiHidden/>
    <w:rsid w:val="001B789F"/>
    <w:pPr>
      <w:pBdr>
        <w:top w:val="single" w:sz="4" w:space="1" w:color="auto"/>
        <w:left w:val="single" w:sz="4" w:space="4" w:color="auto"/>
        <w:bottom w:val="single" w:sz="4" w:space="1" w:color="auto"/>
        <w:right w:val="single" w:sz="4" w:space="4" w:color="auto"/>
      </w:pBdr>
      <w:shd w:val="pct10" w:color="000000" w:fill="auto"/>
      <w:tabs>
        <w:tab w:val="left" w:pos="1711"/>
        <w:tab w:val="left" w:pos="2209"/>
        <w:tab w:val="left" w:pos="2760"/>
        <w:tab w:val="left" w:pos="5101"/>
        <w:tab w:val="left" w:pos="5886"/>
        <w:tab w:val="left" w:pos="7128"/>
      </w:tabs>
      <w:ind w:left="272" w:hanging="272"/>
      <w:jc w:val="both"/>
    </w:pPr>
    <w:rPr>
      <w:szCs w:val="22"/>
      <w:lang w:val="fr-FR" w:eastAsia="en-AU"/>
    </w:rPr>
  </w:style>
  <w:style w:type="paragraph" w:customStyle="1" w:styleId="TextEn">
    <w:name w:val="TextEn"/>
    <w:basedOn w:val="Normal"/>
    <w:semiHidden/>
    <w:rsid w:val="001B789F"/>
    <w:pPr>
      <w:spacing w:after="120"/>
    </w:pPr>
    <w:rPr>
      <w:szCs w:val="22"/>
    </w:rPr>
  </w:style>
  <w:style w:type="paragraph" w:customStyle="1" w:styleId="TextEnSingle">
    <w:name w:val="TextEnSingle"/>
    <w:basedOn w:val="TextEn"/>
    <w:semiHidden/>
    <w:rsid w:val="001B789F"/>
    <w:pPr>
      <w:spacing w:after="0"/>
    </w:pPr>
  </w:style>
  <w:style w:type="paragraph" w:customStyle="1" w:styleId="TextSp">
    <w:name w:val="TextSp"/>
    <w:basedOn w:val="Normal"/>
    <w:semiHidden/>
    <w:rsid w:val="001B789F"/>
    <w:pPr>
      <w:spacing w:after="120"/>
    </w:pPr>
    <w:rPr>
      <w:szCs w:val="22"/>
      <w:lang w:val="es-AR" w:eastAsia="es-ES"/>
    </w:rPr>
  </w:style>
  <w:style w:type="paragraph" w:styleId="TDC1">
    <w:name w:val="toc 1"/>
    <w:basedOn w:val="Normal"/>
    <w:next w:val="Normal"/>
    <w:autoRedefine/>
    <w:semiHidden/>
    <w:rsid w:val="001B789F"/>
    <w:rPr>
      <w:b/>
      <w:bCs/>
      <w:i/>
      <w:iCs/>
      <w:sz w:val="24"/>
    </w:rPr>
  </w:style>
  <w:style w:type="paragraph" w:styleId="TDC2">
    <w:name w:val="toc 2"/>
    <w:basedOn w:val="Normal"/>
    <w:next w:val="Normal"/>
    <w:autoRedefine/>
    <w:semiHidden/>
    <w:rsid w:val="001B789F"/>
    <w:pPr>
      <w:ind w:left="220"/>
    </w:pPr>
    <w:rPr>
      <w:b/>
      <w:bCs/>
      <w:szCs w:val="22"/>
    </w:rPr>
  </w:style>
  <w:style w:type="paragraph" w:styleId="TDC3">
    <w:name w:val="toc 3"/>
    <w:basedOn w:val="Normal"/>
    <w:next w:val="Normal"/>
    <w:autoRedefine/>
    <w:semiHidden/>
    <w:rsid w:val="001B789F"/>
    <w:pPr>
      <w:ind w:left="440"/>
    </w:pPr>
    <w:rPr>
      <w:sz w:val="20"/>
      <w:szCs w:val="20"/>
    </w:rPr>
  </w:style>
  <w:style w:type="paragraph" w:styleId="TDC4">
    <w:name w:val="toc 4"/>
    <w:basedOn w:val="Normal"/>
    <w:next w:val="Normal"/>
    <w:autoRedefine/>
    <w:semiHidden/>
    <w:rsid w:val="001B789F"/>
    <w:pPr>
      <w:ind w:left="660"/>
    </w:pPr>
    <w:rPr>
      <w:sz w:val="20"/>
      <w:szCs w:val="20"/>
    </w:rPr>
  </w:style>
  <w:style w:type="paragraph" w:styleId="TDC5">
    <w:name w:val="toc 5"/>
    <w:basedOn w:val="Normal"/>
    <w:next w:val="Normal"/>
    <w:autoRedefine/>
    <w:semiHidden/>
    <w:rsid w:val="001B789F"/>
    <w:pPr>
      <w:ind w:left="880"/>
    </w:pPr>
    <w:rPr>
      <w:sz w:val="20"/>
      <w:szCs w:val="20"/>
    </w:rPr>
  </w:style>
  <w:style w:type="paragraph" w:styleId="TDC6">
    <w:name w:val="toc 6"/>
    <w:basedOn w:val="Normal"/>
    <w:next w:val="Normal"/>
    <w:autoRedefine/>
    <w:semiHidden/>
    <w:rsid w:val="001B789F"/>
    <w:pPr>
      <w:ind w:left="1100"/>
    </w:pPr>
    <w:rPr>
      <w:sz w:val="20"/>
      <w:szCs w:val="20"/>
    </w:rPr>
  </w:style>
  <w:style w:type="paragraph" w:styleId="TDC7">
    <w:name w:val="toc 7"/>
    <w:basedOn w:val="Normal"/>
    <w:next w:val="Normal"/>
    <w:autoRedefine/>
    <w:semiHidden/>
    <w:rsid w:val="001B789F"/>
    <w:pPr>
      <w:ind w:left="1320"/>
    </w:pPr>
    <w:rPr>
      <w:sz w:val="20"/>
      <w:szCs w:val="20"/>
    </w:rPr>
  </w:style>
  <w:style w:type="paragraph" w:styleId="TDC8">
    <w:name w:val="toc 8"/>
    <w:basedOn w:val="Normal"/>
    <w:next w:val="Normal"/>
    <w:autoRedefine/>
    <w:semiHidden/>
    <w:rsid w:val="001B789F"/>
    <w:pPr>
      <w:ind w:left="1540"/>
    </w:pPr>
    <w:rPr>
      <w:sz w:val="20"/>
      <w:szCs w:val="20"/>
    </w:rPr>
  </w:style>
  <w:style w:type="paragraph" w:styleId="TDC9">
    <w:name w:val="toc 9"/>
    <w:basedOn w:val="Normal"/>
    <w:next w:val="Normal"/>
    <w:autoRedefine/>
    <w:semiHidden/>
    <w:rsid w:val="001B789F"/>
    <w:pPr>
      <w:ind w:left="1760"/>
    </w:pPr>
    <w:rPr>
      <w:sz w:val="20"/>
      <w:szCs w:val="20"/>
    </w:rPr>
  </w:style>
  <w:style w:type="paragraph" w:customStyle="1" w:styleId="TytApp">
    <w:name w:val="Tyt. App."/>
    <w:basedOn w:val="Normal"/>
    <w:autoRedefine/>
    <w:semiHidden/>
    <w:rsid w:val="001B789F"/>
    <w:pPr>
      <w:widowControl w:val="0"/>
      <w:numPr>
        <w:ilvl w:val="12"/>
      </w:numPr>
      <w:tabs>
        <w:tab w:val="left" w:pos="90"/>
        <w:tab w:val="left" w:pos="737"/>
        <w:tab w:val="left" w:pos="2835"/>
      </w:tabs>
      <w:spacing w:before="180" w:after="40" w:line="260" w:lineRule="exact"/>
      <w:jc w:val="center"/>
    </w:pPr>
    <w:rPr>
      <w:b/>
      <w:snapToGrid w:val="0"/>
      <w:color w:val="000000"/>
      <w:sz w:val="24"/>
      <w:szCs w:val="20"/>
      <w:lang w:eastAsia="es-ES"/>
    </w:rPr>
  </w:style>
  <w:style w:type="paragraph" w:styleId="Prrafodelista">
    <w:name w:val="List Paragraph"/>
    <w:basedOn w:val="Normal"/>
    <w:uiPriority w:val="34"/>
    <w:rsid w:val="00BF077B"/>
    <w:pPr>
      <w:ind w:left="720"/>
    </w:pPr>
  </w:style>
  <w:style w:type="character" w:styleId="Ttulodellibro">
    <w:name w:val="Book Title"/>
    <w:uiPriority w:val="33"/>
    <w:rsid w:val="00BF077B"/>
    <w:rPr>
      <w:b/>
      <w:bCs/>
      <w:smallCaps/>
      <w:spacing w:val="5"/>
    </w:rPr>
  </w:style>
  <w:style w:type="paragraph" w:customStyle="1" w:styleId="ATSMeasureEmphasis">
    <w:name w:val="ATS Measure Emphasis"/>
    <w:basedOn w:val="Normal"/>
    <w:qFormat/>
    <w:rsid w:val="009E64FE"/>
    <w:pPr>
      <w:spacing w:before="120" w:after="360"/>
    </w:pPr>
    <w:rPr>
      <w:b/>
      <w:sz w:val="24"/>
      <w:lang w:eastAsia="en-GB"/>
    </w:rPr>
  </w:style>
  <w:style w:type="character" w:customStyle="1" w:styleId="ATSHeading2Char">
    <w:name w:val="ATS Heading 2 Char"/>
    <w:link w:val="ATSHeading2"/>
    <w:locked/>
    <w:rsid w:val="005463FD"/>
    <w:rPr>
      <w:rFonts w:ascii="Arial" w:hAnsi="Arial"/>
      <w:b/>
      <w:i/>
      <w:sz w:val="24"/>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7D6A62-F981-4292-A123-1E093CC7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1548</Words>
  <Characters>8517</Characters>
  <Application>Microsoft Office Word</Application>
  <DocSecurity>0</DocSecurity>
  <Lines>70</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(Paper title:)</vt:lpstr>
      <vt:lpstr>(Paper title:)</vt:lpstr>
    </vt:vector>
  </TitlesOfParts>
  <Company>ATS</Company>
  <LinksUpToDate>false</LinksUpToDate>
  <CharactersWithSpaces>10045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dc:title>
  <dc:creator>Mauro</dc:creator>
  <cp:lastModifiedBy>Lepe Zamora Rodrigo</cp:lastModifiedBy>
  <cp:revision>2</cp:revision>
  <cp:lastPrinted>2008-01-22T18:20:00Z</cp:lastPrinted>
  <dcterms:created xsi:type="dcterms:W3CDTF">2026-04-24T11:52:00Z</dcterms:created>
  <dcterms:modified xsi:type="dcterms:W3CDTF">2026-04-24T11:52:00Z</dcterms:modified>
</cp:coreProperties>
</file>