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90658" w14:textId="77777777" w:rsidR="00F24B0D" w:rsidRPr="00BF077B" w:rsidRDefault="00F24B0D" w:rsidP="00BF077B">
      <w:pPr>
        <w:pStyle w:val="ATSNormal"/>
        <w:rPr>
          <w:rStyle w:val="Ttulodellibro"/>
        </w:rPr>
      </w:pPr>
    </w:p>
    <w:p w14:paraId="7E954F7B" w14:textId="77777777" w:rsidR="00F24B0D" w:rsidRDefault="00F24B0D" w:rsidP="004B4A60">
      <w:pPr>
        <w:rPr>
          <w:b/>
          <w:u w:val="single"/>
          <w:lang w:val="es-ES_tradnl"/>
        </w:rPr>
      </w:pPr>
    </w:p>
    <w:p w14:paraId="41172914" w14:textId="77777777" w:rsidR="00F24B0D" w:rsidRDefault="00F24B0D" w:rsidP="004B4A60">
      <w:pPr>
        <w:rPr>
          <w:b/>
          <w:u w:val="single"/>
          <w:lang w:val="es-ES_tradnl"/>
        </w:rPr>
      </w:pPr>
    </w:p>
    <w:p w14:paraId="308FC6CC" w14:textId="77777777" w:rsidR="00F24B0D" w:rsidRDefault="00F24B0D" w:rsidP="004B4A60">
      <w:pPr>
        <w:rPr>
          <w:b/>
          <w:u w:val="single"/>
          <w:lang w:val="es-ES_tradnl"/>
        </w:rPr>
      </w:pPr>
    </w:p>
    <w:p w14:paraId="16CA547B" w14:textId="77777777" w:rsidR="00F24B0D" w:rsidRDefault="00F24B0D" w:rsidP="004B4A60">
      <w:pPr>
        <w:rPr>
          <w:b/>
          <w:u w:val="single"/>
          <w:lang w:val="es-ES_tradnl"/>
        </w:rPr>
      </w:pPr>
    </w:p>
    <w:p w14:paraId="6B17BA63" w14:textId="77777777" w:rsidR="00F24B0D" w:rsidRDefault="00F24B0D" w:rsidP="004B4A60">
      <w:pPr>
        <w:rPr>
          <w:b/>
          <w:u w:val="single"/>
          <w:lang w:val="es-ES_tradnl"/>
        </w:rPr>
      </w:pPr>
    </w:p>
    <w:p w14:paraId="085661A7" w14:textId="77777777" w:rsidR="00F24B0D" w:rsidRPr="0057246E" w:rsidRDefault="00F24B0D" w:rsidP="001B789F">
      <w:pPr>
        <w:pStyle w:val="ATSTitle"/>
      </w:pPr>
      <w:bookmarkStart w:id="0" w:name="name"/>
      <w:r>
        <w:t>Antarctic Climate Change and The Environment: 2026 Update</w:t>
      </w:r>
      <w:bookmarkEnd w:id="0"/>
    </w:p>
    <w:p w14:paraId="74ECF68B" w14:textId="77777777" w:rsidR="00F24B0D" w:rsidRPr="0057246E" w:rsidRDefault="00F24B0D" w:rsidP="00F75424">
      <w:pPr>
        <w:jc w:val="center"/>
      </w:pPr>
    </w:p>
    <w:p w14:paraId="41BB1926" w14:textId="77777777" w:rsidR="00F24B0D" w:rsidRPr="002F0A13" w:rsidRDefault="00F24B0D" w:rsidP="002F0A13"/>
    <w:p w14:paraId="41C09AF3" w14:textId="77777777" w:rsidR="00F24B0D" w:rsidRDefault="00F24B0D" w:rsidP="00F75424">
      <w:pPr>
        <w:jc w:val="center"/>
      </w:pPr>
      <w:bookmarkStart w:id="1" w:name="memo"/>
      <w:bookmarkEnd w:id="1"/>
    </w:p>
    <w:p w14:paraId="15053572" w14:textId="77777777" w:rsidR="00F24B0D" w:rsidRDefault="00F24B0D" w:rsidP="00F75424">
      <w:pPr>
        <w:jc w:val="center"/>
      </w:pPr>
    </w:p>
    <w:p w14:paraId="03E00FBD" w14:textId="77777777" w:rsidR="00F24B0D" w:rsidRDefault="00F24B0D" w:rsidP="00F75424">
      <w:pPr>
        <w:jc w:val="center"/>
      </w:pPr>
    </w:p>
    <w:p w14:paraId="45C8776A" w14:textId="77777777" w:rsidR="00F24B0D" w:rsidRDefault="00F24B0D" w:rsidP="00F75424">
      <w:pPr>
        <w:jc w:val="center"/>
      </w:pPr>
    </w:p>
    <w:p w14:paraId="3699E85D" w14:textId="77777777" w:rsidR="00F24B0D" w:rsidRPr="00C26F2D" w:rsidRDefault="00F24B0D" w:rsidP="00F75424">
      <w:pPr>
        <w:jc w:val="center"/>
      </w:pPr>
    </w:p>
    <w:p w14:paraId="4973FCDE" w14:textId="77777777" w:rsidR="00F24B0D" w:rsidRPr="0057246E" w:rsidRDefault="00F24B0D" w:rsidP="004B4A60"/>
    <w:p w14:paraId="01B8BCA0" w14:textId="77777777" w:rsidR="00F24B0D" w:rsidRDefault="00F24B0D" w:rsidP="00952E9F">
      <w:pPr>
        <w:sectPr w:rsidR="00F24B0D" w:rsidSect="00D5023C">
          <w:headerReference w:type="default" r:id="rId8"/>
          <w:footerReference w:type="even" r:id="rId9"/>
          <w:footerReference w:type="default" r:id="rId10"/>
          <w:pgSz w:w="11907" w:h="16840" w:code="9"/>
          <w:pgMar w:top="1134" w:right="1701" w:bottom="1134" w:left="1701" w:header="709" w:footer="709" w:gutter="0"/>
          <w:cols w:space="708"/>
          <w:docGrid w:linePitch="360"/>
        </w:sectPr>
      </w:pPr>
    </w:p>
    <w:p w14:paraId="36F566B4" w14:textId="77777777" w:rsidR="00314F93" w:rsidRPr="00184930" w:rsidRDefault="00314F93" w:rsidP="00314F93">
      <w:pPr>
        <w:pStyle w:val="ATSHeading1"/>
        <w:rPr>
          <w:lang w:val="en-AU"/>
        </w:rPr>
      </w:pPr>
      <w:r w:rsidRPr="00184930">
        <w:rPr>
          <w:bCs/>
          <w:lang w:val="en-AU"/>
        </w:rPr>
        <w:lastRenderedPageBreak/>
        <w:t xml:space="preserve">Antarctic Climate Change and The Environment: </w:t>
      </w:r>
      <w:r>
        <w:rPr>
          <w:bCs/>
          <w:lang w:val="en-AU"/>
        </w:rPr>
        <w:t xml:space="preserve">      </w:t>
      </w:r>
      <w:r w:rsidRPr="00184930">
        <w:rPr>
          <w:bCs/>
          <w:lang w:val="en-AU"/>
        </w:rPr>
        <w:t>2026 Update</w:t>
      </w:r>
    </w:p>
    <w:p w14:paraId="7F71DFF4" w14:textId="77777777" w:rsidR="00314F93" w:rsidRPr="00DE77E5" w:rsidRDefault="00314F93" w:rsidP="00314F93">
      <w:pPr>
        <w:pStyle w:val="ATSHeading2"/>
      </w:pPr>
      <w:r w:rsidRPr="00DE77E5">
        <w:t>Sum</w:t>
      </w:r>
      <w:r>
        <w:t>mary</w:t>
      </w:r>
    </w:p>
    <w:p w14:paraId="4EA9884E" w14:textId="77777777" w:rsidR="00314F93" w:rsidRPr="00341490" w:rsidRDefault="00314F93" w:rsidP="00314F93">
      <w:pPr>
        <w:pStyle w:val="ATSNormal"/>
        <w:rPr>
          <w:lang w:val="en-AU"/>
        </w:rPr>
      </w:pPr>
      <w:r w:rsidRPr="00341490">
        <w:rPr>
          <w:lang w:val="en-AU"/>
        </w:rPr>
        <w:t xml:space="preserve">This paper provides an update on climate change related developments since ATCM47–CEP27. </w:t>
      </w:r>
      <w:r w:rsidRPr="00341490">
        <w:rPr>
          <w:bCs/>
          <w:lang w:val="en-AU"/>
        </w:rPr>
        <w:t xml:space="preserve">Themes emerging from recent research are: (1) increasingly detailed understanding of regional differences in the way change in the Antarctic will occur; (2) without a reduction in emissions, Antarctic environments will continue along a pathway of substantial changes, where it is increasingly likely that these changes will be unable to be reversed even within centuries.  </w:t>
      </w:r>
      <w:r w:rsidRPr="00341490">
        <w:rPr>
          <w:lang w:val="en-AU"/>
        </w:rPr>
        <w:t>SCAR encourages Antarctic Treaty Parties to widely communicate the need for emissions reductions to maintain Antarctic values, and to continue to support research to understand the future of the Antarctic in an Earth System context.</w:t>
      </w:r>
    </w:p>
    <w:p w14:paraId="58DEEB21" w14:textId="77777777" w:rsidR="00314F93" w:rsidRPr="002B60DF" w:rsidRDefault="00314F93" w:rsidP="00314F93">
      <w:pPr>
        <w:pStyle w:val="ATSHeading2"/>
      </w:pPr>
      <w:r w:rsidRPr="002B60DF">
        <w:t>Introduction</w:t>
      </w:r>
    </w:p>
    <w:p w14:paraId="7AEF462C" w14:textId="5877A19C" w:rsidR="00314F93" w:rsidRPr="003268B4" w:rsidRDefault="00314F93" w:rsidP="00314F93">
      <w:pPr>
        <w:pStyle w:val="ATSNormal"/>
        <w:rPr>
          <w:bCs/>
          <w:lang w:val="en-AU"/>
        </w:rPr>
      </w:pPr>
      <w:r w:rsidRPr="003268B4">
        <w:rPr>
          <w:lang w:val="en-AU"/>
        </w:rPr>
        <w:t>In keeping with the requests by the Parties, SCAR delivers annual updates on Antarctic climate change and its implications between its major, decadal, reports</w:t>
      </w:r>
      <w:r>
        <w:rPr>
          <w:lang w:val="en-AU"/>
        </w:rPr>
        <w:t>.</w:t>
      </w:r>
      <w:r w:rsidRPr="003268B4">
        <w:rPr>
          <w:vertAlign w:val="superscript"/>
          <w:lang w:val="en-AU"/>
        </w:rPr>
        <w:footnoteReference w:id="1"/>
      </w:r>
      <w:r w:rsidRPr="003268B4">
        <w:rPr>
          <w:lang w:val="en-AU"/>
        </w:rPr>
        <w:t xml:space="preserve"> The update provided here is not a comprehensive synthesis. Rather, it reports key developments in understanding of climate change in the Antarctic, its drivers and implications for the region and/or for the globe, and their </w:t>
      </w:r>
      <w:r w:rsidRPr="00585688">
        <w:rPr>
          <w:lang w:val="en-AU"/>
        </w:rPr>
        <w:t xml:space="preserve">relevance to the work of the ATCM and the CEP. </w:t>
      </w:r>
      <w:r w:rsidRPr="00585688">
        <w:rPr>
          <w:bCs/>
          <w:lang w:val="en-AU"/>
        </w:rPr>
        <w:t xml:space="preserve">A separate paper considers sea ice in detail </w:t>
      </w:r>
      <w:sdt>
        <w:sdtPr>
          <w:rPr>
            <w:lang w:val="en-AU"/>
          </w:rPr>
          <w:tag w:val="goog_rdk_0"/>
          <w:id w:val="611006971"/>
        </w:sdtPr>
        <w:sdtEndPr/>
        <w:sdtContent/>
      </w:sdt>
      <w:sdt>
        <w:sdtPr>
          <w:rPr>
            <w:lang w:val="en-AU"/>
          </w:rPr>
          <w:tag w:val="goog_rdk_1"/>
          <w:id w:val="1372690176"/>
        </w:sdtPr>
        <w:sdtEndPr/>
        <w:sdtContent/>
      </w:sdt>
      <w:r w:rsidRPr="00585688">
        <w:rPr>
          <w:lang w:val="en-AU"/>
        </w:rPr>
        <w:t>(WP</w:t>
      </w:r>
      <w:r w:rsidR="0089386E" w:rsidRPr="00585688">
        <w:rPr>
          <w:lang w:val="en-AU"/>
        </w:rPr>
        <w:t>032</w:t>
      </w:r>
      <w:r w:rsidRPr="00585688">
        <w:rPr>
          <w:lang w:val="en-AU"/>
        </w:rPr>
        <w:t>).</w:t>
      </w:r>
    </w:p>
    <w:p w14:paraId="4864097C" w14:textId="77777777" w:rsidR="00314F93" w:rsidRPr="002B60DF" w:rsidRDefault="00314F93" w:rsidP="00314F93">
      <w:pPr>
        <w:pStyle w:val="ATSHeading2"/>
      </w:pPr>
      <w:r w:rsidRPr="002B60DF">
        <w:t>Abrupt changes</w:t>
      </w:r>
    </w:p>
    <w:p w14:paraId="40CCAB7F" w14:textId="77777777" w:rsidR="00314F93" w:rsidRPr="00184930" w:rsidRDefault="00314F93" w:rsidP="00314F93">
      <w:pPr>
        <w:pStyle w:val="ATSNormal"/>
        <w:rPr>
          <w:b/>
          <w:bCs/>
          <w:i/>
          <w:iCs/>
          <w:lang w:val="en-AU"/>
        </w:rPr>
      </w:pPr>
      <w:r w:rsidRPr="00184930">
        <w:rPr>
          <w:b/>
          <w:bCs/>
          <w:i/>
          <w:iCs/>
          <w:lang w:val="en-AU"/>
        </w:rPr>
        <w:t>Key message:</w:t>
      </w:r>
      <w:r w:rsidRPr="00184930">
        <w:rPr>
          <w:lang w:val="en-AU"/>
        </w:rPr>
        <w:t xml:space="preserve"> </w:t>
      </w:r>
      <w:r w:rsidRPr="00184930">
        <w:rPr>
          <w:b/>
          <w:bCs/>
          <w:i/>
          <w:iCs/>
          <w:lang w:val="en-AU"/>
        </w:rPr>
        <w:t>Abrupt changes are already underway in the Antarctic region with others on the verge of taking place.</w:t>
      </w:r>
    </w:p>
    <w:p w14:paraId="06DBEBA0" w14:textId="77777777" w:rsidR="00314F93" w:rsidRDefault="00314F93" w:rsidP="00314F93">
      <w:pPr>
        <w:pStyle w:val="ATSNormal"/>
        <w:rPr>
          <w:bCs/>
          <w:lang w:val="en-AU"/>
        </w:rPr>
      </w:pPr>
      <w:r w:rsidRPr="00CA1964">
        <w:rPr>
          <w:bCs/>
          <w:iCs/>
        </w:rPr>
        <w:t>Recent abrupt changes in the Antarctic physical and living environments, and their feedbacks, have now been reviewed comprehensively</w:t>
      </w:r>
      <w:r>
        <w:rPr>
          <w:bCs/>
          <w:iCs/>
        </w:rPr>
        <w:t>.</w:t>
      </w:r>
      <w:r w:rsidRPr="00CA1964">
        <w:rPr>
          <w:bCs/>
          <w:iCs/>
          <w:vertAlign w:val="superscript"/>
        </w:rPr>
        <w:footnoteReference w:id="2"/>
      </w:r>
      <w:r w:rsidRPr="00CA1964">
        <w:rPr>
          <w:bCs/>
          <w:iCs/>
        </w:rPr>
        <w:t xml:space="preserve"> A</w:t>
      </w:r>
      <w:r w:rsidRPr="00CA1964">
        <w:rPr>
          <w:bCs/>
          <w:iCs/>
          <w:lang w:val="en-AU"/>
        </w:rPr>
        <w:t xml:space="preserve"> regime shift has reduced Antarctic sea-ice extent far below its natural variability of past centuries. The tipping point for unstoppable ice loss from the West Antarctic Ice Sheet could be exceeded even under best-case CO</w:t>
      </w:r>
      <w:r w:rsidRPr="00CA1964">
        <w:rPr>
          <w:bCs/>
          <w:iCs/>
          <w:vertAlign w:val="subscript"/>
          <w:lang w:val="en-AU"/>
        </w:rPr>
        <w:t>2</w:t>
      </w:r>
      <w:r w:rsidRPr="00CA1964">
        <w:rPr>
          <w:bCs/>
          <w:iCs/>
          <w:lang w:val="en-AU"/>
        </w:rPr>
        <w:t xml:space="preserve"> emission reduction pathways (acknowledging uncertainties). Regime shifts are likely underway in marine systems and breeding failures are increasing extinction risk for certain species. Positive feedbacks are common between these abrupt changes </w:t>
      </w:r>
      <w:r w:rsidRPr="00CA1964">
        <w:rPr>
          <w:bCs/>
          <w:iCs/>
        </w:rPr>
        <w:t>(Figure 1)</w:t>
      </w:r>
      <w:r w:rsidRPr="00CA1964">
        <w:rPr>
          <w:bCs/>
          <w:iCs/>
          <w:lang w:val="en-AU"/>
        </w:rPr>
        <w:t>. Stabilizing Earth’s climate at or below 1.5°C warming is imperative alongside adaptation measures to minimi</w:t>
      </w:r>
      <w:r>
        <w:rPr>
          <w:bCs/>
          <w:iCs/>
          <w:lang w:val="en-AU"/>
        </w:rPr>
        <w:t>ze</w:t>
      </w:r>
      <w:r w:rsidRPr="00CA1964">
        <w:rPr>
          <w:bCs/>
          <w:iCs/>
          <w:lang w:val="en-AU"/>
        </w:rPr>
        <w:t xml:space="preserve"> and prepare for the impacts of abrupt changes. In 2025, g</w:t>
      </w:r>
      <w:r w:rsidRPr="00CA1964">
        <w:rPr>
          <w:bCs/>
          <w:lang w:val="en-AU"/>
        </w:rPr>
        <w:t>lobal average surface temperature was 1.44°C ± 0.13°C above the 1850-1900 average</w:t>
      </w:r>
      <w:r>
        <w:rPr>
          <w:bCs/>
          <w:lang w:val="en-AU"/>
        </w:rPr>
        <w:t>.</w:t>
      </w:r>
      <w:r w:rsidRPr="00CA1964">
        <w:rPr>
          <w:bCs/>
          <w:vertAlign w:val="superscript"/>
          <w:lang w:val="en-AU"/>
        </w:rPr>
        <w:footnoteReference w:id="3"/>
      </w:r>
    </w:p>
    <w:p w14:paraId="3DEB0D5A" w14:textId="77777777" w:rsidR="00314F93" w:rsidRPr="00885139" w:rsidRDefault="00314F93" w:rsidP="00314F93">
      <w:pPr>
        <w:pStyle w:val="ATSNormal"/>
        <w:rPr>
          <w:bCs/>
          <w:iCs/>
          <w:lang w:val="en-AU"/>
        </w:rPr>
      </w:pPr>
    </w:p>
    <w:p w14:paraId="7D6C0052" w14:textId="77777777" w:rsidR="00314F93" w:rsidRPr="0096277A" w:rsidRDefault="008E7D93" w:rsidP="00314F93">
      <w:pPr>
        <w:pStyle w:val="ATSHeading2"/>
      </w:pPr>
      <w:sdt>
        <w:sdtPr>
          <w:tag w:val="goog_rdk_2"/>
          <w:id w:val="1694590227"/>
        </w:sdtPr>
        <w:sdtEndPr/>
        <w:sdtContent/>
      </w:sdt>
      <w:r w:rsidR="00314F93" w:rsidRPr="0096277A">
        <w:t>Sea Ice</w:t>
      </w:r>
    </w:p>
    <w:p w14:paraId="335546B2" w14:textId="77777777" w:rsidR="00314F93" w:rsidRPr="00D16DE0" w:rsidRDefault="00314F93" w:rsidP="00314F93">
      <w:pPr>
        <w:pStyle w:val="ATSNormal"/>
        <w:rPr>
          <w:b/>
          <w:bCs/>
          <w:i/>
          <w:iCs/>
          <w:lang w:val="en-AU"/>
        </w:rPr>
      </w:pPr>
      <w:r w:rsidRPr="00184930">
        <w:rPr>
          <w:b/>
          <w:bCs/>
          <w:i/>
          <w:iCs/>
          <w:lang w:val="en-AU"/>
        </w:rPr>
        <w:t>Key message: Sea-ice extent has continued to decline, with both the drivers and implications of the change becoming clearer.</w:t>
      </w:r>
    </w:p>
    <w:p w14:paraId="6985ECB5" w14:textId="77777777" w:rsidR="00314F93" w:rsidRPr="00080C04" w:rsidRDefault="00314F93" w:rsidP="00314F93">
      <w:pPr>
        <w:pStyle w:val="ATSNormal"/>
        <w:rPr>
          <w:lang w:val="en-AU"/>
        </w:rPr>
      </w:pPr>
      <w:r w:rsidRPr="00184930">
        <w:rPr>
          <w:lang w:val="en-AU"/>
        </w:rPr>
        <w:t>A</w:t>
      </w:r>
      <w:r w:rsidRPr="00080C04">
        <w:rPr>
          <w:lang w:val="en-AU"/>
        </w:rPr>
        <w:t>ntarctic sea-ice extent was much lower in 2025 than in the observed period prior to 2015. Modelling</w:t>
      </w:r>
      <w:r w:rsidRPr="00080C04">
        <w:rPr>
          <w:vertAlign w:val="superscript"/>
          <w:lang w:val="en-AU"/>
        </w:rPr>
        <w:footnoteReference w:id="4"/>
      </w:r>
      <w:r w:rsidRPr="00080C04">
        <w:rPr>
          <w:vertAlign w:val="superscript"/>
          <w:lang w:val="en-AU"/>
        </w:rPr>
        <w:t>,</w:t>
      </w:r>
      <w:r w:rsidRPr="00080C04">
        <w:rPr>
          <w:vertAlign w:val="superscript"/>
          <w:lang w:val="en-AU"/>
        </w:rPr>
        <w:footnoteReference w:id="5"/>
      </w:r>
      <w:r>
        <w:rPr>
          <w:vertAlign w:val="superscript"/>
          <w:lang w:val="en-AU"/>
        </w:rPr>
        <w:t xml:space="preserve"> </w:t>
      </w:r>
      <w:r w:rsidRPr="00080C04">
        <w:rPr>
          <w:lang w:val="en-AU"/>
        </w:rPr>
        <w:t>and observational studies</w:t>
      </w:r>
      <w:r>
        <w:rPr>
          <w:lang w:val="en-AU"/>
        </w:rPr>
        <w:t xml:space="preserve"> </w:t>
      </w:r>
      <w:r w:rsidRPr="00080C04">
        <w:rPr>
          <w:vertAlign w:val="superscript"/>
          <w:lang w:val="en-AU"/>
        </w:rPr>
        <w:footnoteReference w:id="6"/>
      </w:r>
      <w:r w:rsidRPr="00080C04">
        <w:rPr>
          <w:vertAlign w:val="superscript"/>
          <w:lang w:val="en-AU"/>
        </w:rPr>
        <w:t>,</w:t>
      </w:r>
      <w:r w:rsidRPr="00080C04">
        <w:rPr>
          <w:vertAlign w:val="superscript"/>
          <w:lang w:val="en-AU"/>
        </w:rPr>
        <w:footnoteReference w:id="7"/>
      </w:r>
      <w:r w:rsidRPr="00080C04">
        <w:rPr>
          <w:lang w:val="en-AU"/>
        </w:rPr>
        <w:t xml:space="preserve"> point to ocean heat content and atmospheric circulation as major among the contributors to sea ice decline.</w:t>
      </w:r>
    </w:p>
    <w:p w14:paraId="51D6D7FC" w14:textId="77777777" w:rsidR="00314F93" w:rsidRPr="00184930" w:rsidRDefault="00314F93" w:rsidP="00314F93">
      <w:pPr>
        <w:pStyle w:val="ATSNormal"/>
        <w:rPr>
          <w:lang w:val="en-AU"/>
        </w:rPr>
      </w:pPr>
      <w:r w:rsidRPr="00184930">
        <w:rPr>
          <w:noProof/>
          <w:lang w:val="en-AU"/>
        </w:rPr>
        <w:drawing>
          <wp:anchor distT="0" distB="0" distL="114300" distR="114300" simplePos="0" relativeHeight="251659264" behindDoc="0" locked="0" layoutInCell="1" hidden="0" allowOverlap="1" wp14:anchorId="05E1942F" wp14:editId="39FE75BD">
            <wp:simplePos x="0" y="0"/>
            <wp:positionH relativeFrom="column">
              <wp:posOffset>13335</wp:posOffset>
            </wp:positionH>
            <wp:positionV relativeFrom="paragraph">
              <wp:posOffset>135255</wp:posOffset>
            </wp:positionV>
            <wp:extent cx="5400675" cy="4747895"/>
            <wp:effectExtent l="0" t="0" r="0" b="0"/>
            <wp:wrapNone/>
            <wp:docPr id="15079104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400675" cy="4747895"/>
                    </a:xfrm>
                    <a:prstGeom prst="rect">
                      <a:avLst/>
                    </a:prstGeom>
                    <a:ln/>
                  </pic:spPr>
                </pic:pic>
              </a:graphicData>
            </a:graphic>
          </wp:anchor>
        </w:drawing>
      </w:r>
    </w:p>
    <w:p w14:paraId="3A28BE88" w14:textId="77777777" w:rsidR="00314F93" w:rsidRPr="00184930" w:rsidRDefault="00314F93" w:rsidP="00314F93">
      <w:pPr>
        <w:pStyle w:val="ATSNormal"/>
        <w:rPr>
          <w:lang w:val="en-AU"/>
        </w:rPr>
      </w:pPr>
    </w:p>
    <w:p w14:paraId="48223508" w14:textId="77777777" w:rsidR="00314F93" w:rsidRPr="00184930" w:rsidRDefault="00314F93" w:rsidP="00314F93">
      <w:pPr>
        <w:pStyle w:val="ATSNormal"/>
        <w:rPr>
          <w:lang w:val="en-AU"/>
        </w:rPr>
      </w:pPr>
    </w:p>
    <w:p w14:paraId="635954A3" w14:textId="77777777" w:rsidR="00314F93" w:rsidRPr="00184930" w:rsidRDefault="00314F93" w:rsidP="00314F93">
      <w:pPr>
        <w:pStyle w:val="ATSNormal"/>
        <w:rPr>
          <w:lang w:val="en-AU"/>
        </w:rPr>
      </w:pPr>
    </w:p>
    <w:p w14:paraId="7510DE28" w14:textId="77777777" w:rsidR="00314F93" w:rsidRPr="00184930" w:rsidRDefault="00314F93" w:rsidP="00314F93">
      <w:pPr>
        <w:pStyle w:val="ATSNormal"/>
        <w:rPr>
          <w:lang w:val="en-AU"/>
        </w:rPr>
      </w:pPr>
    </w:p>
    <w:p w14:paraId="2327A8C8" w14:textId="77777777" w:rsidR="00314F93" w:rsidRPr="00184930" w:rsidRDefault="00314F93" w:rsidP="00314F93">
      <w:pPr>
        <w:pStyle w:val="ATSNormal"/>
        <w:rPr>
          <w:lang w:val="en-AU"/>
        </w:rPr>
      </w:pPr>
    </w:p>
    <w:p w14:paraId="4382CB0F" w14:textId="77777777" w:rsidR="00314F93" w:rsidRPr="00184930" w:rsidRDefault="00314F93" w:rsidP="00314F93">
      <w:pPr>
        <w:pStyle w:val="ATSNormal"/>
        <w:rPr>
          <w:lang w:val="en-AU"/>
        </w:rPr>
      </w:pPr>
    </w:p>
    <w:p w14:paraId="0BB4E674" w14:textId="77777777" w:rsidR="00314F93" w:rsidRPr="00184930" w:rsidRDefault="00314F93" w:rsidP="00314F93">
      <w:pPr>
        <w:pStyle w:val="ATSNormal"/>
        <w:rPr>
          <w:lang w:val="en-AU"/>
        </w:rPr>
      </w:pPr>
    </w:p>
    <w:p w14:paraId="35F9A81D" w14:textId="77777777" w:rsidR="00314F93" w:rsidRPr="00184930" w:rsidRDefault="00314F93" w:rsidP="00314F93">
      <w:pPr>
        <w:pStyle w:val="ATSNormal"/>
        <w:rPr>
          <w:lang w:val="en-AU"/>
        </w:rPr>
      </w:pPr>
    </w:p>
    <w:p w14:paraId="45B32E50" w14:textId="77777777" w:rsidR="00314F93" w:rsidRPr="00184930" w:rsidRDefault="00314F93" w:rsidP="00314F93">
      <w:pPr>
        <w:pStyle w:val="ATSNormal"/>
        <w:rPr>
          <w:lang w:val="en-AU"/>
        </w:rPr>
      </w:pPr>
    </w:p>
    <w:p w14:paraId="06047B5F" w14:textId="77777777" w:rsidR="00314F93" w:rsidRPr="00184930" w:rsidRDefault="00314F93" w:rsidP="00314F93">
      <w:pPr>
        <w:pStyle w:val="ATSNormal"/>
        <w:rPr>
          <w:lang w:val="en-AU"/>
        </w:rPr>
      </w:pPr>
    </w:p>
    <w:p w14:paraId="74FDA9D9" w14:textId="77777777" w:rsidR="00314F93" w:rsidRPr="00184930" w:rsidRDefault="00314F93" w:rsidP="00314F93">
      <w:pPr>
        <w:pStyle w:val="ATSNormal"/>
        <w:rPr>
          <w:lang w:val="en-AU"/>
        </w:rPr>
      </w:pPr>
    </w:p>
    <w:p w14:paraId="4269EED4" w14:textId="77777777" w:rsidR="00314F93" w:rsidRPr="00184930" w:rsidRDefault="00314F93" w:rsidP="00314F93">
      <w:pPr>
        <w:pStyle w:val="ATSNormal"/>
        <w:rPr>
          <w:lang w:val="en-AU"/>
        </w:rPr>
      </w:pPr>
    </w:p>
    <w:p w14:paraId="74FC24BD" w14:textId="77777777" w:rsidR="00314F93" w:rsidRPr="00184930" w:rsidRDefault="00314F93" w:rsidP="00314F93">
      <w:pPr>
        <w:pStyle w:val="ATSNormal"/>
        <w:rPr>
          <w:lang w:val="en-AU"/>
        </w:rPr>
      </w:pPr>
    </w:p>
    <w:p w14:paraId="081A4BD1" w14:textId="77777777" w:rsidR="00314F93" w:rsidRPr="00184930" w:rsidRDefault="00314F93" w:rsidP="00314F93">
      <w:pPr>
        <w:pStyle w:val="ATSNormal"/>
        <w:rPr>
          <w:lang w:val="en-AU"/>
        </w:rPr>
      </w:pPr>
    </w:p>
    <w:p w14:paraId="73DB4CCA" w14:textId="77777777" w:rsidR="00314F93" w:rsidRPr="00184930" w:rsidRDefault="00314F93" w:rsidP="00314F93">
      <w:pPr>
        <w:pStyle w:val="ATSNormal"/>
        <w:rPr>
          <w:lang w:val="en-AU"/>
        </w:rPr>
      </w:pPr>
    </w:p>
    <w:p w14:paraId="3F1DE69B" w14:textId="77777777" w:rsidR="00314F93" w:rsidRPr="00184930" w:rsidRDefault="00314F93" w:rsidP="00314F93">
      <w:pPr>
        <w:pStyle w:val="ATSNormal"/>
        <w:rPr>
          <w:lang w:val="en-AU"/>
        </w:rPr>
      </w:pPr>
    </w:p>
    <w:p w14:paraId="7924A0A5" w14:textId="77777777" w:rsidR="00314F93" w:rsidRPr="00184930" w:rsidRDefault="00314F93" w:rsidP="00314F93">
      <w:pPr>
        <w:pStyle w:val="ATSNormal"/>
        <w:rPr>
          <w:lang w:val="en-AU"/>
        </w:rPr>
      </w:pPr>
    </w:p>
    <w:p w14:paraId="0D33E011" w14:textId="77777777" w:rsidR="00314F93" w:rsidRPr="00184930" w:rsidRDefault="00314F93" w:rsidP="00314F93">
      <w:pPr>
        <w:pStyle w:val="ATSNormal"/>
        <w:rPr>
          <w:b/>
          <w:bCs/>
          <w:lang w:val="en-AU"/>
        </w:rPr>
      </w:pPr>
    </w:p>
    <w:p w14:paraId="1A27A50D" w14:textId="77777777" w:rsidR="00314F93" w:rsidRPr="00184930" w:rsidRDefault="00314F93" w:rsidP="00314F93">
      <w:pPr>
        <w:pStyle w:val="ATSNormal"/>
        <w:rPr>
          <w:b/>
          <w:bCs/>
          <w:lang w:val="en-AU"/>
        </w:rPr>
      </w:pPr>
    </w:p>
    <w:p w14:paraId="7DF39206" w14:textId="77777777" w:rsidR="00314F93" w:rsidRDefault="00314F93" w:rsidP="00314F93">
      <w:pPr>
        <w:pStyle w:val="ATSNormal"/>
        <w:rPr>
          <w:b/>
          <w:bCs/>
          <w:lang w:val="en-AU"/>
        </w:rPr>
      </w:pPr>
    </w:p>
    <w:p w14:paraId="0435FA20" w14:textId="77777777" w:rsidR="00314F93" w:rsidRPr="0096277A" w:rsidRDefault="00314F93" w:rsidP="00314F93">
      <w:pPr>
        <w:pStyle w:val="ATSNormal"/>
        <w:rPr>
          <w:i/>
          <w:iCs/>
          <w:lang w:val="en-AU"/>
        </w:rPr>
      </w:pPr>
      <w:r w:rsidRPr="0096277A">
        <w:rPr>
          <w:i/>
          <w:iCs/>
          <w:lang w:val="en-AU"/>
        </w:rPr>
        <w:t>Figure 1</w:t>
      </w:r>
      <w:r>
        <w:rPr>
          <w:i/>
          <w:iCs/>
          <w:lang w:val="en-AU"/>
        </w:rPr>
        <w:t xml:space="preserve"> -</w:t>
      </w:r>
      <w:r w:rsidRPr="0096277A">
        <w:rPr>
          <w:i/>
          <w:iCs/>
          <w:lang w:val="en-AU"/>
        </w:rPr>
        <w:t xml:space="preserve"> Abrupt changes in the Antarctic environment. Courtesy </w:t>
      </w:r>
      <w:proofErr w:type="spellStart"/>
      <w:r w:rsidRPr="0096277A">
        <w:rPr>
          <w:i/>
          <w:iCs/>
          <w:lang w:val="en-AU"/>
        </w:rPr>
        <w:t>Nerilie</w:t>
      </w:r>
      <w:proofErr w:type="spellEnd"/>
      <w:r w:rsidRPr="0096277A">
        <w:rPr>
          <w:i/>
          <w:iCs/>
          <w:lang w:val="en-AU"/>
        </w:rPr>
        <w:t xml:space="preserve"> Abram and collaborators. </w:t>
      </w:r>
    </w:p>
    <w:p w14:paraId="25C9608A" w14:textId="77777777" w:rsidR="00314F93" w:rsidRDefault="00314F93" w:rsidP="00314F93">
      <w:pPr>
        <w:pStyle w:val="ATSHeading2"/>
      </w:pPr>
    </w:p>
    <w:p w14:paraId="3989497A" w14:textId="77777777" w:rsidR="00314F93" w:rsidRPr="0096277A" w:rsidRDefault="00314F93" w:rsidP="00314F93">
      <w:pPr>
        <w:pStyle w:val="ATSHeading2"/>
      </w:pPr>
      <w:r w:rsidRPr="0096277A">
        <w:lastRenderedPageBreak/>
        <w:t>Ocean</w:t>
      </w:r>
    </w:p>
    <w:p w14:paraId="62D4A1C3" w14:textId="77777777" w:rsidR="00314F93" w:rsidRPr="000A3A18" w:rsidRDefault="00314F93" w:rsidP="00314F93">
      <w:pPr>
        <w:pStyle w:val="ATSNormal"/>
        <w:rPr>
          <w:b/>
          <w:bCs/>
          <w:i/>
          <w:iCs/>
          <w:lang w:val="en-AU"/>
        </w:rPr>
      </w:pPr>
      <w:r w:rsidRPr="00184930">
        <w:rPr>
          <w:b/>
          <w:bCs/>
          <w:i/>
          <w:iCs/>
          <w:lang w:val="en-AU"/>
        </w:rPr>
        <w:t>Key messages: Future West Antarctic Ice Sheet retreat will likely reduce carbon uptake in the Pacific sector of the Southern Ocean, in a positive feedback loop. Polynya change may have significant consequences.</w:t>
      </w:r>
    </w:p>
    <w:p w14:paraId="124EAAE2" w14:textId="77777777" w:rsidR="00314F93" w:rsidRPr="000A3A18" w:rsidRDefault="00314F93" w:rsidP="00314F93">
      <w:pPr>
        <w:pStyle w:val="ATSNormal"/>
        <w:rPr>
          <w:bCs/>
          <w:lang w:val="en-AU"/>
        </w:rPr>
      </w:pPr>
      <w:r w:rsidRPr="000A3A18">
        <w:rPr>
          <w:bCs/>
          <w:lang w:val="en-AU"/>
        </w:rPr>
        <w:t>The Southern Ocean acts as an important CO</w:t>
      </w:r>
      <w:r w:rsidRPr="000A3A18">
        <w:rPr>
          <w:bCs/>
          <w:vertAlign w:val="subscript"/>
          <w:lang w:val="en-AU"/>
        </w:rPr>
        <w:t>2</w:t>
      </w:r>
      <w:r w:rsidRPr="000A3A18">
        <w:rPr>
          <w:bCs/>
          <w:lang w:val="en-AU"/>
        </w:rPr>
        <w:t xml:space="preserve"> sink. Iron plays a key role in this process because primary productivity in the Southern Ocean is iron limited. Recent work demonstrates that millennial-scale variations in West Antarctic Ice Sheet (WAIS) dynamics have controlled both the supply and bioavailability of particulate iron in the Pacific Antarctic Zone over the last 500 000 years</w:t>
      </w:r>
      <w:r>
        <w:rPr>
          <w:bCs/>
          <w:lang w:val="en-AU"/>
        </w:rPr>
        <w:t>.</w:t>
      </w:r>
      <w:r w:rsidRPr="000A3A18">
        <w:rPr>
          <w:bCs/>
          <w:vertAlign w:val="superscript"/>
          <w:lang w:val="en-AU"/>
        </w:rPr>
        <w:footnoteReference w:id="8"/>
      </w:r>
      <w:r w:rsidRPr="000A3A18">
        <w:rPr>
          <w:bCs/>
          <w:lang w:val="en-AU"/>
        </w:rPr>
        <w:t xml:space="preserve"> During periods of pronounced ice loss, iron bioavailability and CO</w:t>
      </w:r>
      <w:r w:rsidRPr="000A3A18">
        <w:rPr>
          <w:bCs/>
          <w:vertAlign w:val="subscript"/>
          <w:lang w:val="en-AU"/>
        </w:rPr>
        <w:t>2</w:t>
      </w:r>
      <w:r w:rsidRPr="000A3A18">
        <w:rPr>
          <w:bCs/>
          <w:lang w:val="en-AU"/>
        </w:rPr>
        <w:t xml:space="preserve"> uptake are low. This positive ‘ice-sheet–iron feedback’ suggests that future WAIS retreat is likely to decrease carbon uptake in the Southern Ocean because of an expected decline in primary productivity. </w:t>
      </w:r>
    </w:p>
    <w:p w14:paraId="6EFE48EF" w14:textId="77777777" w:rsidR="00314F93" w:rsidRPr="000A3A18" w:rsidRDefault="00314F93" w:rsidP="00314F93">
      <w:pPr>
        <w:pStyle w:val="ATSNormal"/>
        <w:rPr>
          <w:bCs/>
          <w:lang w:val="en-AU"/>
        </w:rPr>
      </w:pPr>
      <w:r w:rsidRPr="000A3A18">
        <w:rPr>
          <w:bCs/>
          <w:lang w:val="en-AU"/>
        </w:rPr>
        <w:t>Polynyas (areas of persistent open water) contribute substantially to biological activity including carbon uptake</w:t>
      </w:r>
      <w:r>
        <w:rPr>
          <w:bCs/>
          <w:lang w:val="en-AU"/>
        </w:rPr>
        <w:t>,</w:t>
      </w:r>
      <w:r w:rsidRPr="000A3A18">
        <w:rPr>
          <w:bCs/>
          <w:vertAlign w:val="superscript"/>
          <w:lang w:val="en-AU"/>
        </w:rPr>
        <w:footnoteReference w:id="9"/>
      </w:r>
      <w:r w:rsidRPr="000A3A18">
        <w:rPr>
          <w:bCs/>
          <w:lang w:val="en-AU"/>
        </w:rPr>
        <w:t xml:space="preserve"> and play important physical roles in the region. For example, polynyas contribute 10% of total Antarctic sea ice growth. Although observational data show a linear increase in the size of nearly all Antarctic coastal polynyas since 1979, projections suggest a decline in polynya extent and activity with future warming</w:t>
      </w:r>
      <w:r>
        <w:rPr>
          <w:bCs/>
          <w:lang w:val="en-AU"/>
        </w:rPr>
        <w:t>.</w:t>
      </w:r>
      <w:r w:rsidRPr="000A3A18">
        <w:rPr>
          <w:bCs/>
          <w:vertAlign w:val="superscript"/>
          <w:lang w:val="en-AU"/>
        </w:rPr>
        <w:footnoteReference w:id="10"/>
      </w:r>
    </w:p>
    <w:p w14:paraId="2C40F8CE" w14:textId="77777777" w:rsidR="00314F93" w:rsidRPr="00184930" w:rsidRDefault="00314F93" w:rsidP="00314F93">
      <w:pPr>
        <w:pStyle w:val="ATSHeading2"/>
        <w:rPr>
          <w:lang w:val="en-AU"/>
        </w:rPr>
      </w:pPr>
      <w:r w:rsidRPr="00184930">
        <w:rPr>
          <w:lang w:val="en-AU"/>
        </w:rPr>
        <w:t>Atmosphere</w:t>
      </w:r>
    </w:p>
    <w:p w14:paraId="5395B39A" w14:textId="77777777" w:rsidR="00314F93" w:rsidRPr="000A3A18" w:rsidRDefault="00314F93" w:rsidP="00314F93">
      <w:pPr>
        <w:pStyle w:val="ATSNormal"/>
        <w:rPr>
          <w:b/>
          <w:bCs/>
          <w:i/>
          <w:iCs/>
          <w:lang w:val="en-AU"/>
        </w:rPr>
      </w:pPr>
      <w:r w:rsidRPr="00184930">
        <w:rPr>
          <w:b/>
          <w:bCs/>
          <w:i/>
          <w:iCs/>
          <w:lang w:val="en-AU"/>
        </w:rPr>
        <w:t>Key messages: Surface melting of the Antarctic Ice Sheet is widespread. CO</w:t>
      </w:r>
      <w:r w:rsidRPr="00184930">
        <w:rPr>
          <w:b/>
          <w:bCs/>
          <w:i/>
          <w:iCs/>
          <w:vertAlign w:val="subscript"/>
          <w:lang w:val="en-AU"/>
        </w:rPr>
        <w:t>2</w:t>
      </w:r>
      <w:r w:rsidRPr="00184930">
        <w:rPr>
          <w:b/>
          <w:bCs/>
          <w:i/>
          <w:iCs/>
          <w:lang w:val="en-AU"/>
        </w:rPr>
        <w:t xml:space="preserve"> outgassing south of 50°S has been underestimated by up to 40%, with implications for global carbon budgets. </w:t>
      </w:r>
    </w:p>
    <w:p w14:paraId="311800B3" w14:textId="77777777" w:rsidR="00314F93" w:rsidRPr="000A3A18" w:rsidRDefault="00314F93" w:rsidP="00314F93">
      <w:pPr>
        <w:pStyle w:val="ATSNormal"/>
        <w:rPr>
          <w:lang w:val="en-AU"/>
        </w:rPr>
      </w:pPr>
      <w:r w:rsidRPr="000A3A18">
        <w:rPr>
          <w:bCs/>
          <w:lang w:val="en-AU"/>
        </w:rPr>
        <w:t>Projections show that surface melt (Figure 2) will likely have an increasing influence on Antarctic Ice Sheet (AIS) mass loss. Understanding of such surface melting is, however, limited. A 15-year (2002-2026) data set estimated surface meltwater area at 3 732 km</w:t>
      </w:r>
      <w:r w:rsidRPr="000A3A18">
        <w:rPr>
          <w:bCs/>
          <w:vertAlign w:val="superscript"/>
          <w:lang w:val="en-AU"/>
        </w:rPr>
        <w:t xml:space="preserve">2 </w:t>
      </w:r>
      <w:r w:rsidRPr="000A3A18">
        <w:rPr>
          <w:bCs/>
          <w:lang w:val="en-AU"/>
        </w:rPr>
        <w:t>for Antarctica</w:t>
      </w:r>
      <w:r w:rsidRPr="000A3A18">
        <w:rPr>
          <w:bCs/>
          <w:vertAlign w:val="superscript"/>
          <w:lang w:val="en-AU"/>
        </w:rPr>
        <w:footnoteReference w:id="11"/>
      </w:r>
      <w:r w:rsidRPr="000A3A18">
        <w:rPr>
          <w:bCs/>
          <w:lang w:val="en-AU"/>
        </w:rPr>
        <w:t xml:space="preserve"> (Figure 3): more pronounced in East Antarctica and the Antarctic Peninsula than West Antarctica. Increased surface meltwater, combined with ocean-induced melting, significantly raises the risk of ice shelf instability</w:t>
      </w:r>
      <w:r>
        <w:rPr>
          <w:bCs/>
          <w:lang w:val="en-AU"/>
        </w:rPr>
        <w:t>.</w:t>
      </w:r>
      <w:r w:rsidRPr="000A3A18">
        <w:rPr>
          <w:bCs/>
          <w:vertAlign w:val="superscript"/>
          <w:lang w:val="en-AU"/>
        </w:rPr>
        <w:footnoteReference w:id="12"/>
      </w:r>
      <w:r w:rsidRPr="000A3A18">
        <w:rPr>
          <w:bCs/>
          <w:lang w:val="en-AU"/>
        </w:rPr>
        <w:t xml:space="preserve"> Most ice shelves </w:t>
      </w:r>
      <w:r w:rsidRPr="000A3A18">
        <w:rPr>
          <w:lang w:val="en-AU"/>
        </w:rPr>
        <w:t>are likely to remain stable under low-emission scenarios.</w:t>
      </w:r>
    </w:p>
    <w:p w14:paraId="00DFA022" w14:textId="77777777" w:rsidR="00314F93" w:rsidRPr="00184930" w:rsidRDefault="00314F93" w:rsidP="00314F93">
      <w:pPr>
        <w:pStyle w:val="ATSNormal"/>
        <w:rPr>
          <w:lang w:val="en-AU"/>
        </w:rPr>
      </w:pPr>
    </w:p>
    <w:p w14:paraId="1E0EE84F" w14:textId="77777777" w:rsidR="00314F93" w:rsidRPr="00184930" w:rsidRDefault="00314F93" w:rsidP="00314F93">
      <w:pPr>
        <w:pStyle w:val="ATSNormal"/>
        <w:rPr>
          <w:lang w:val="en-AU"/>
        </w:rPr>
      </w:pPr>
    </w:p>
    <w:p w14:paraId="3CF2DBC4" w14:textId="77777777" w:rsidR="00314F93" w:rsidRDefault="00314F93" w:rsidP="00314F93">
      <w:pPr>
        <w:pStyle w:val="ATSNormal"/>
        <w:rPr>
          <w:lang w:val="en-AU"/>
        </w:rPr>
      </w:pPr>
    </w:p>
    <w:p w14:paraId="4BE5D4F8" w14:textId="77777777" w:rsidR="00314F93" w:rsidRDefault="00314F93" w:rsidP="00314F93">
      <w:pPr>
        <w:pStyle w:val="ATSNormal"/>
        <w:rPr>
          <w:lang w:val="en-AU"/>
        </w:rPr>
      </w:pPr>
    </w:p>
    <w:p w14:paraId="4B27F952" w14:textId="77777777" w:rsidR="00314F93" w:rsidRDefault="00314F93" w:rsidP="00314F93">
      <w:pPr>
        <w:pStyle w:val="ATSNormal"/>
        <w:rPr>
          <w:lang w:val="en-AU"/>
        </w:rPr>
      </w:pPr>
    </w:p>
    <w:p w14:paraId="5794A6B7" w14:textId="77777777" w:rsidR="00314F93" w:rsidRDefault="00314F93" w:rsidP="00314F93">
      <w:pPr>
        <w:pStyle w:val="ATSNormal"/>
        <w:rPr>
          <w:lang w:val="en-AU"/>
        </w:rPr>
      </w:pPr>
    </w:p>
    <w:p w14:paraId="7CCC91D8" w14:textId="77777777" w:rsidR="00314F93" w:rsidRDefault="00314F93" w:rsidP="00314F93">
      <w:pPr>
        <w:pStyle w:val="ATSNormal"/>
        <w:rPr>
          <w:lang w:val="en-AU"/>
        </w:rPr>
      </w:pPr>
    </w:p>
    <w:p w14:paraId="4F0403BA" w14:textId="77777777" w:rsidR="00314F93" w:rsidRDefault="00314F93" w:rsidP="00314F93">
      <w:pPr>
        <w:pStyle w:val="ATSNormal"/>
        <w:rPr>
          <w:lang w:val="en-AU"/>
        </w:rPr>
      </w:pPr>
    </w:p>
    <w:p w14:paraId="680FE4F0" w14:textId="77777777" w:rsidR="00314F93" w:rsidRDefault="00314F93" w:rsidP="00314F93">
      <w:pPr>
        <w:pStyle w:val="ATSNormal"/>
        <w:rPr>
          <w:lang w:val="en-AU"/>
        </w:rPr>
      </w:pPr>
    </w:p>
    <w:p w14:paraId="44CEBA62" w14:textId="77777777" w:rsidR="00314F93" w:rsidRDefault="00314F93" w:rsidP="00314F93">
      <w:pPr>
        <w:pStyle w:val="ATSNormal"/>
        <w:rPr>
          <w:lang w:val="en-AU"/>
        </w:rPr>
      </w:pPr>
      <w:r>
        <w:rPr>
          <w:noProof/>
          <w:lang w:val="en-AU"/>
        </w:rPr>
        <w:lastRenderedPageBreak/>
        <w:drawing>
          <wp:inline distT="0" distB="0" distL="0" distR="0" wp14:anchorId="71F7A302" wp14:editId="44356B47">
            <wp:extent cx="5270500" cy="2857500"/>
            <wp:effectExtent l="0" t="0" r="0" b="0"/>
            <wp:docPr id="20332648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264823" name="Picture 2033264823"/>
                    <pic:cNvPicPr/>
                  </pic:nvPicPr>
                  <pic:blipFill>
                    <a:blip r:embed="rId12">
                      <a:extLst>
                        <a:ext uri="{28A0092B-C50C-407E-A947-70E740481C1C}">
                          <a14:useLocalDpi xmlns:a14="http://schemas.microsoft.com/office/drawing/2010/main" val="0"/>
                        </a:ext>
                      </a:extLst>
                    </a:blip>
                    <a:stretch>
                      <a:fillRect/>
                    </a:stretch>
                  </pic:blipFill>
                  <pic:spPr>
                    <a:xfrm>
                      <a:off x="0" y="0"/>
                      <a:ext cx="5270500" cy="2857500"/>
                    </a:xfrm>
                    <a:prstGeom prst="rect">
                      <a:avLst/>
                    </a:prstGeom>
                  </pic:spPr>
                </pic:pic>
              </a:graphicData>
            </a:graphic>
          </wp:inline>
        </w:drawing>
      </w:r>
    </w:p>
    <w:p w14:paraId="49D10A5B" w14:textId="77777777" w:rsidR="00314F93" w:rsidRPr="00FF7115" w:rsidRDefault="00314F93" w:rsidP="00314F93">
      <w:pPr>
        <w:pStyle w:val="ATSNormal"/>
        <w:rPr>
          <w:i/>
          <w:iCs/>
          <w:lang w:val="en-AU"/>
        </w:rPr>
      </w:pPr>
      <w:r w:rsidRPr="00B24C40">
        <w:rPr>
          <w:i/>
          <w:iCs/>
          <w:lang w:val="en-AU"/>
        </w:rPr>
        <w:t>Figure 2</w:t>
      </w:r>
      <w:r>
        <w:rPr>
          <w:i/>
          <w:iCs/>
          <w:lang w:val="en-AU"/>
        </w:rPr>
        <w:t xml:space="preserve"> -</w:t>
      </w:r>
      <w:r w:rsidRPr="00B24C40">
        <w:rPr>
          <w:i/>
          <w:iCs/>
          <w:lang w:val="en-AU"/>
        </w:rPr>
        <w:t xml:space="preserve"> Surface meltwater on the </w:t>
      </w:r>
      <w:proofErr w:type="spellStart"/>
      <w:r w:rsidRPr="00B24C40">
        <w:rPr>
          <w:i/>
          <w:iCs/>
          <w:lang w:val="en-AU"/>
        </w:rPr>
        <w:t>Nivlisen</w:t>
      </w:r>
      <w:proofErr w:type="spellEnd"/>
      <w:r w:rsidRPr="00B24C40">
        <w:rPr>
          <w:i/>
          <w:iCs/>
          <w:lang w:val="en-AU"/>
        </w:rPr>
        <w:t xml:space="preserve"> ice shelf, </w:t>
      </w:r>
      <w:proofErr w:type="spellStart"/>
      <w:r w:rsidRPr="00B24C40">
        <w:rPr>
          <w:i/>
          <w:iCs/>
          <w:lang w:val="en-AU"/>
        </w:rPr>
        <w:t>Dronning</w:t>
      </w:r>
      <w:proofErr w:type="spellEnd"/>
      <w:r w:rsidRPr="00B24C40">
        <w:rPr>
          <w:i/>
          <w:iCs/>
          <w:lang w:val="en-AU"/>
        </w:rPr>
        <w:t xml:space="preserve"> Maud Land, 2026. Image: SL Chown.</w:t>
      </w:r>
    </w:p>
    <w:p w14:paraId="73872D35" w14:textId="77777777" w:rsidR="00314F93" w:rsidRPr="00885139" w:rsidRDefault="00314F93" w:rsidP="00314F93">
      <w:pPr>
        <w:pStyle w:val="ATSNormal"/>
        <w:rPr>
          <w:bCs/>
          <w:lang w:val="en-AU"/>
        </w:rPr>
      </w:pPr>
      <w:r w:rsidRPr="0014273B">
        <w:rPr>
          <w:bCs/>
          <w:lang w:val="en-AU"/>
        </w:rPr>
        <w:t>The Southern Annular Mode (SAM) is now in its most positive mean state in over 1 000 years, with a continued positive trend projected throughout the twenty-first century in response to increasing greenhouse gases, with a range of physical and biogeochemical effects on the region</w:t>
      </w:r>
      <w:r>
        <w:rPr>
          <w:bCs/>
          <w:lang w:val="en-AU"/>
        </w:rPr>
        <w:t>.</w:t>
      </w:r>
      <w:r w:rsidRPr="0014273B">
        <w:rPr>
          <w:bCs/>
          <w:vertAlign w:val="superscript"/>
          <w:lang w:val="en-AU"/>
        </w:rPr>
        <w:footnoteReference w:id="13"/>
      </w:r>
      <w:r w:rsidRPr="0014273B">
        <w:rPr>
          <w:bCs/>
          <w:lang w:val="en-AU"/>
        </w:rPr>
        <w:t xml:space="preserve"> These include enhanced CO</w:t>
      </w:r>
      <w:r w:rsidRPr="0014273B">
        <w:rPr>
          <w:bCs/>
          <w:vertAlign w:val="subscript"/>
          <w:lang w:val="en-AU"/>
        </w:rPr>
        <w:t>2</w:t>
      </w:r>
      <w:r w:rsidRPr="0014273B">
        <w:rPr>
          <w:bCs/>
          <w:lang w:val="en-AU"/>
        </w:rPr>
        <w:t xml:space="preserve"> outgassing (exchange from the ocean to the atmosphere). New research has shown that the contribution to CO</w:t>
      </w:r>
      <w:r w:rsidRPr="0014273B">
        <w:rPr>
          <w:bCs/>
          <w:vertAlign w:val="subscript"/>
          <w:lang w:val="en-AU"/>
        </w:rPr>
        <w:t>2</w:t>
      </w:r>
      <w:r w:rsidRPr="0014273B">
        <w:rPr>
          <w:bCs/>
          <w:lang w:val="en-AU"/>
        </w:rPr>
        <w:t xml:space="preserve"> outgassing from the area south of 50°S has been underestimated by 40%, with major implications for global carbon budget assessments</w:t>
      </w:r>
      <w:r w:rsidRPr="0014273B">
        <w:rPr>
          <w:bCs/>
          <w:vertAlign w:val="superscript"/>
          <w:lang w:val="en-AU"/>
        </w:rPr>
        <w:footnoteReference w:id="14"/>
      </w:r>
      <w:r w:rsidRPr="0014273B">
        <w:rPr>
          <w:bCs/>
          <w:lang w:val="en-AU"/>
        </w:rPr>
        <w:t xml:space="preserve"> </w:t>
      </w:r>
    </w:p>
    <w:p w14:paraId="23DE3687" w14:textId="77777777" w:rsidR="00314F93" w:rsidRPr="00B24C40" w:rsidRDefault="00314F93" w:rsidP="00314F93">
      <w:pPr>
        <w:pStyle w:val="ATSHeading2"/>
      </w:pPr>
      <w:r w:rsidRPr="00B24C40">
        <w:t>Antarctic Ice Sheet (AIS) and Sea Level</w:t>
      </w:r>
    </w:p>
    <w:p w14:paraId="1EDE9EA7" w14:textId="77777777" w:rsidR="00314F93" w:rsidRPr="003B0BB7" w:rsidRDefault="00314F93" w:rsidP="00314F93">
      <w:pPr>
        <w:pStyle w:val="ATSNormal"/>
        <w:rPr>
          <w:b/>
          <w:bCs/>
          <w:i/>
          <w:iCs/>
          <w:lang w:val="en-AU"/>
        </w:rPr>
      </w:pPr>
      <w:r w:rsidRPr="00184930">
        <w:rPr>
          <w:b/>
          <w:bCs/>
          <w:i/>
          <w:iCs/>
          <w:lang w:val="en-AU"/>
        </w:rPr>
        <w:t>Key message: Ic</w:t>
      </w:r>
      <w:r w:rsidRPr="003B0BB7">
        <w:rPr>
          <w:b/>
          <w:bCs/>
          <w:i/>
          <w:iCs/>
          <w:lang w:val="en-AU"/>
        </w:rPr>
        <w:t xml:space="preserve">e loss in several ice catchment basins faces thresholds for loss as low as 1-2°C, including in East Antarctica, emphasising the value of keeping global warming below 2°C above pre-industrial levels. </w:t>
      </w:r>
    </w:p>
    <w:p w14:paraId="5D793CB1" w14:textId="77777777" w:rsidR="00314F93" w:rsidRPr="0026178E" w:rsidRDefault="00314F93" w:rsidP="00314F93">
      <w:pPr>
        <w:pStyle w:val="ATSNormal"/>
        <w:rPr>
          <w:lang w:val="en-AU"/>
        </w:rPr>
      </w:pPr>
      <w:r w:rsidRPr="0026178E">
        <w:rPr>
          <w:bCs/>
          <w:lang w:val="en-AU"/>
        </w:rPr>
        <w:t>A recent investigation provides insights into the likelihood of and conditions for abrupt change for all of the ice drainage basins of the Antarctic</w:t>
      </w:r>
      <w:r>
        <w:rPr>
          <w:bCs/>
          <w:lang w:val="en-AU"/>
        </w:rPr>
        <w:t>.</w:t>
      </w:r>
      <w:r w:rsidRPr="0026178E">
        <w:rPr>
          <w:bCs/>
          <w:vertAlign w:val="superscript"/>
          <w:lang w:val="en-AU"/>
        </w:rPr>
        <w:footnoteReference w:id="15"/>
      </w:r>
      <w:r w:rsidRPr="0026178E">
        <w:rPr>
          <w:bCs/>
          <w:lang w:val="en-AU"/>
        </w:rPr>
        <w:t xml:space="preserve"> Depending on topographic and climatic conditions, ice loss in some basins is characterized by a critical threshold or tipping point beyond which large parts eventually disintegrate</w:t>
      </w:r>
      <w:r>
        <w:rPr>
          <w:bCs/>
          <w:lang w:val="en-AU"/>
        </w:rPr>
        <w:t>, w</w:t>
      </w:r>
      <w:r w:rsidRPr="0026178E">
        <w:rPr>
          <w:bCs/>
          <w:lang w:val="en-AU"/>
        </w:rPr>
        <w:t xml:space="preserve">hereas in other basins, ice loss unfolds gradually with warming. A first threshold, potentially as low as 1–2 °C above pre-industrial levels, is projected to trigger the long-term collapse of ~40% of marine ice volume in West Antarctica. Marine-based sectors in East Antarctica, representing ~5 m of potential sea-level rise, are at risk of losing stability between 2–5 °C of warming (Figure 4). </w:t>
      </w:r>
    </w:p>
    <w:p w14:paraId="0F1A2BD8" w14:textId="77777777" w:rsidR="00314F93" w:rsidRPr="00184930" w:rsidRDefault="00314F93" w:rsidP="00314F93">
      <w:pPr>
        <w:pStyle w:val="ATSNormal"/>
        <w:rPr>
          <w:lang w:val="en-AU"/>
        </w:rPr>
      </w:pPr>
    </w:p>
    <w:p w14:paraId="7A10B344" w14:textId="77777777" w:rsidR="00314F93" w:rsidRPr="00184930" w:rsidRDefault="00314F93" w:rsidP="00314F93">
      <w:pPr>
        <w:pStyle w:val="ATSNormal"/>
        <w:rPr>
          <w:lang w:val="en-AU"/>
        </w:rPr>
      </w:pPr>
    </w:p>
    <w:p w14:paraId="6DBA2193" w14:textId="77777777" w:rsidR="00314F93" w:rsidRDefault="00314F93" w:rsidP="00314F93">
      <w:pPr>
        <w:pStyle w:val="ATSNormal"/>
        <w:rPr>
          <w:lang w:val="en-AU"/>
        </w:rPr>
      </w:pPr>
    </w:p>
    <w:p w14:paraId="18A6F792" w14:textId="77777777" w:rsidR="00314F93" w:rsidRDefault="00314F93" w:rsidP="00314F93">
      <w:pPr>
        <w:pStyle w:val="ATSNormal"/>
        <w:rPr>
          <w:lang w:val="en-AU"/>
        </w:rPr>
      </w:pPr>
      <w:r w:rsidRPr="00184930">
        <w:rPr>
          <w:noProof/>
          <w:lang w:val="en-AU"/>
        </w:rPr>
        <w:lastRenderedPageBreak/>
        <w:drawing>
          <wp:anchor distT="0" distB="0" distL="114300" distR="114300" simplePos="0" relativeHeight="251660288" behindDoc="0" locked="0" layoutInCell="1" hidden="0" allowOverlap="1" wp14:anchorId="50615DD5" wp14:editId="42598274">
            <wp:simplePos x="0" y="0"/>
            <wp:positionH relativeFrom="column">
              <wp:posOffset>139065</wp:posOffset>
            </wp:positionH>
            <wp:positionV relativeFrom="paragraph">
              <wp:posOffset>212255</wp:posOffset>
            </wp:positionV>
            <wp:extent cx="5454650" cy="4381500"/>
            <wp:effectExtent l="0" t="0" r="0" b="0"/>
            <wp:wrapNone/>
            <wp:docPr id="150791039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454650" cy="4381500"/>
                    </a:xfrm>
                    <a:prstGeom prst="rect">
                      <a:avLst/>
                    </a:prstGeom>
                    <a:ln/>
                  </pic:spPr>
                </pic:pic>
              </a:graphicData>
            </a:graphic>
          </wp:anchor>
        </w:drawing>
      </w:r>
    </w:p>
    <w:p w14:paraId="5874568F" w14:textId="77777777" w:rsidR="00314F93" w:rsidRDefault="00314F93" w:rsidP="00314F93">
      <w:pPr>
        <w:pStyle w:val="ATSNormal"/>
        <w:rPr>
          <w:lang w:val="en-AU"/>
        </w:rPr>
      </w:pPr>
    </w:p>
    <w:p w14:paraId="02298079" w14:textId="77777777" w:rsidR="00314F93" w:rsidRDefault="00314F93" w:rsidP="00314F93">
      <w:pPr>
        <w:pStyle w:val="ATSNormal"/>
        <w:rPr>
          <w:lang w:val="en-AU"/>
        </w:rPr>
      </w:pPr>
    </w:p>
    <w:p w14:paraId="0D32513D" w14:textId="77777777" w:rsidR="00314F93" w:rsidRDefault="00314F93" w:rsidP="00314F93">
      <w:pPr>
        <w:pStyle w:val="ATSNormal"/>
        <w:rPr>
          <w:lang w:val="en-AU"/>
        </w:rPr>
      </w:pPr>
    </w:p>
    <w:p w14:paraId="5E635C3D" w14:textId="77777777" w:rsidR="00314F93" w:rsidRPr="00184930" w:rsidRDefault="00314F93" w:rsidP="00314F93">
      <w:pPr>
        <w:pStyle w:val="ATSNormal"/>
        <w:rPr>
          <w:lang w:val="en-AU"/>
        </w:rPr>
      </w:pPr>
    </w:p>
    <w:p w14:paraId="24D68125" w14:textId="77777777" w:rsidR="00314F93" w:rsidRPr="00184930" w:rsidRDefault="00314F93" w:rsidP="00314F93">
      <w:pPr>
        <w:pStyle w:val="ATSNormal"/>
        <w:rPr>
          <w:lang w:val="en-AU"/>
        </w:rPr>
      </w:pPr>
    </w:p>
    <w:p w14:paraId="54252FB3" w14:textId="77777777" w:rsidR="00314F93" w:rsidRPr="00184930" w:rsidRDefault="00314F93" w:rsidP="00314F93">
      <w:pPr>
        <w:pStyle w:val="ATSNormal"/>
        <w:rPr>
          <w:lang w:val="en-AU"/>
        </w:rPr>
      </w:pPr>
    </w:p>
    <w:p w14:paraId="31A3B5E7" w14:textId="77777777" w:rsidR="00314F93" w:rsidRPr="00184930" w:rsidRDefault="00314F93" w:rsidP="00314F93">
      <w:pPr>
        <w:pStyle w:val="ATSNormal"/>
        <w:rPr>
          <w:lang w:val="en-AU"/>
        </w:rPr>
      </w:pPr>
    </w:p>
    <w:p w14:paraId="70862A85" w14:textId="77777777" w:rsidR="00314F93" w:rsidRPr="00184930" w:rsidRDefault="00314F93" w:rsidP="00314F93">
      <w:pPr>
        <w:pStyle w:val="ATSNormal"/>
        <w:rPr>
          <w:lang w:val="en-AU"/>
        </w:rPr>
      </w:pPr>
    </w:p>
    <w:p w14:paraId="661A14B8" w14:textId="77777777" w:rsidR="00314F93" w:rsidRPr="00184930" w:rsidRDefault="00314F93" w:rsidP="00314F93">
      <w:pPr>
        <w:pStyle w:val="ATSNormal"/>
        <w:rPr>
          <w:lang w:val="en-AU"/>
        </w:rPr>
      </w:pPr>
    </w:p>
    <w:p w14:paraId="1199BFF9" w14:textId="77777777" w:rsidR="00314F93" w:rsidRPr="00184930" w:rsidRDefault="00314F93" w:rsidP="00314F93">
      <w:pPr>
        <w:pStyle w:val="ATSNormal"/>
        <w:rPr>
          <w:lang w:val="en-AU"/>
        </w:rPr>
      </w:pPr>
    </w:p>
    <w:p w14:paraId="526660DD" w14:textId="77777777" w:rsidR="00314F93" w:rsidRPr="00184930" w:rsidRDefault="00314F93" w:rsidP="00314F93">
      <w:pPr>
        <w:pStyle w:val="ATSNormal"/>
        <w:rPr>
          <w:lang w:val="en-AU"/>
        </w:rPr>
      </w:pPr>
    </w:p>
    <w:p w14:paraId="3C9EDAF9" w14:textId="77777777" w:rsidR="00314F93" w:rsidRPr="00184930" w:rsidRDefault="00314F93" w:rsidP="00314F93">
      <w:pPr>
        <w:pStyle w:val="ATSNormal"/>
        <w:rPr>
          <w:lang w:val="en-AU"/>
        </w:rPr>
      </w:pPr>
    </w:p>
    <w:p w14:paraId="35435062" w14:textId="77777777" w:rsidR="00314F93" w:rsidRPr="00184930" w:rsidRDefault="00314F93" w:rsidP="00314F93">
      <w:pPr>
        <w:pStyle w:val="ATSNormal"/>
        <w:rPr>
          <w:lang w:val="en-AU"/>
        </w:rPr>
      </w:pPr>
    </w:p>
    <w:p w14:paraId="726F95D7" w14:textId="77777777" w:rsidR="00314F93" w:rsidRPr="00184930" w:rsidRDefault="00314F93" w:rsidP="00314F93">
      <w:pPr>
        <w:pStyle w:val="ATSNormal"/>
        <w:rPr>
          <w:lang w:val="en-AU"/>
        </w:rPr>
      </w:pPr>
    </w:p>
    <w:p w14:paraId="3DD45BEE" w14:textId="77777777" w:rsidR="00314F93" w:rsidRPr="00184930" w:rsidRDefault="00314F93" w:rsidP="00314F93">
      <w:pPr>
        <w:pStyle w:val="ATSNormal"/>
        <w:rPr>
          <w:lang w:val="en-AU"/>
        </w:rPr>
      </w:pPr>
    </w:p>
    <w:p w14:paraId="16D798FF" w14:textId="77777777" w:rsidR="00314F93" w:rsidRPr="00184930" w:rsidRDefault="00314F93" w:rsidP="00314F93">
      <w:pPr>
        <w:pStyle w:val="ATSNormal"/>
        <w:rPr>
          <w:lang w:val="en-AU"/>
        </w:rPr>
      </w:pPr>
    </w:p>
    <w:p w14:paraId="681538D0" w14:textId="77777777" w:rsidR="00314F93" w:rsidRPr="00184930" w:rsidRDefault="00314F93" w:rsidP="00314F93">
      <w:pPr>
        <w:pStyle w:val="ATSNormal"/>
        <w:rPr>
          <w:lang w:val="en-AU"/>
        </w:rPr>
      </w:pPr>
    </w:p>
    <w:p w14:paraId="11317D06" w14:textId="77777777" w:rsidR="00314F93" w:rsidRPr="00184930" w:rsidRDefault="00314F93" w:rsidP="00314F93">
      <w:pPr>
        <w:pStyle w:val="ATSNormal"/>
        <w:rPr>
          <w:lang w:val="en-AU"/>
        </w:rPr>
      </w:pPr>
    </w:p>
    <w:p w14:paraId="32961384" w14:textId="77777777" w:rsidR="00314F93" w:rsidRPr="00184930" w:rsidRDefault="00314F93" w:rsidP="00314F93">
      <w:pPr>
        <w:pStyle w:val="ATSNormal"/>
        <w:rPr>
          <w:lang w:val="en-AU"/>
        </w:rPr>
      </w:pPr>
    </w:p>
    <w:p w14:paraId="42777B9B" w14:textId="77777777" w:rsidR="00314F93" w:rsidRPr="00FF7115" w:rsidRDefault="008E7D93" w:rsidP="00314F93">
      <w:pPr>
        <w:pStyle w:val="ATSNormal"/>
        <w:rPr>
          <w:i/>
          <w:iCs/>
          <w:lang w:val="en-AU"/>
        </w:rPr>
      </w:pPr>
      <w:sdt>
        <w:sdtPr>
          <w:rPr>
            <w:i/>
            <w:iCs/>
            <w:lang w:val="en-AU"/>
          </w:rPr>
          <w:tag w:val="goog_rdk_3"/>
          <w:id w:val="-751128485"/>
        </w:sdtPr>
        <w:sdtEndPr/>
        <w:sdtContent/>
      </w:sdt>
      <w:sdt>
        <w:sdtPr>
          <w:rPr>
            <w:i/>
            <w:iCs/>
            <w:lang w:val="en-AU"/>
          </w:rPr>
          <w:tag w:val="goog_rdk_4"/>
          <w:id w:val="1107314724"/>
        </w:sdtPr>
        <w:sdtEndPr/>
        <w:sdtContent/>
      </w:sdt>
      <w:sdt>
        <w:sdtPr>
          <w:rPr>
            <w:i/>
            <w:iCs/>
            <w:lang w:val="en-AU"/>
          </w:rPr>
          <w:tag w:val="goog_rdk_5"/>
          <w:id w:val="252335444"/>
        </w:sdtPr>
        <w:sdtEndPr/>
        <w:sdtContent/>
      </w:sdt>
      <w:r w:rsidR="00314F93" w:rsidRPr="00777E1F">
        <w:rPr>
          <w:i/>
          <w:iCs/>
          <w:lang w:val="en-AU"/>
        </w:rPr>
        <w:t>Figure 3</w:t>
      </w:r>
      <w:r w:rsidR="00314F93">
        <w:rPr>
          <w:i/>
          <w:iCs/>
          <w:lang w:val="en-AU"/>
        </w:rPr>
        <w:t xml:space="preserve"> -</w:t>
      </w:r>
      <w:r w:rsidR="00314F93" w:rsidRPr="00777E1F">
        <w:rPr>
          <w:i/>
          <w:iCs/>
          <w:lang w:val="en-AU"/>
        </w:rPr>
        <w:t xml:space="preserve"> Surface meltwater across Antarctica. The grey square indicates area not mapped. Image supplied by Pete Tuckett, Creative Commons License:</w:t>
      </w:r>
      <w:r w:rsidR="00314F93">
        <w:rPr>
          <w:i/>
          <w:iCs/>
          <w:lang w:val="en-AU"/>
        </w:rPr>
        <w:t xml:space="preserve"> </w:t>
      </w:r>
      <w:hyperlink r:id="rId14" w:history="1">
        <w:r w:rsidR="00314F93" w:rsidRPr="00BF5B8F">
          <w:rPr>
            <w:rStyle w:val="Hipervnculo"/>
            <w:i/>
            <w:iCs/>
            <w:lang w:val="en-AU"/>
          </w:rPr>
          <w:t>http://creativecommons.org/licenses/by/4.0/</w:t>
        </w:r>
      </w:hyperlink>
    </w:p>
    <w:p w14:paraId="7CCDBC2D" w14:textId="77777777" w:rsidR="00314F93" w:rsidRPr="002E6DF5" w:rsidRDefault="00314F93" w:rsidP="00314F93">
      <w:pPr>
        <w:pStyle w:val="ATSNormal"/>
        <w:rPr>
          <w:lang w:val="en-AU"/>
        </w:rPr>
      </w:pPr>
      <w:r w:rsidRPr="002E6DF5">
        <w:rPr>
          <w:lang w:val="en-AU"/>
        </w:rPr>
        <w:t xml:space="preserve">Much uncertainty still exists, however, about the processes underlying rapid change. For example, the </w:t>
      </w:r>
      <w:proofErr w:type="spellStart"/>
      <w:r w:rsidRPr="002E6DF5">
        <w:rPr>
          <w:lang w:val="en-AU"/>
        </w:rPr>
        <w:t>Hektoria</w:t>
      </w:r>
      <w:proofErr w:type="spellEnd"/>
      <w:r w:rsidRPr="002E6DF5">
        <w:rPr>
          <w:lang w:val="en-AU"/>
        </w:rPr>
        <w:t xml:space="preserve"> Glacier on the Eastern Antarctic Peninsula retreated ~25 km between 2022 and 2023. Retreat in the November–December 2022 period was 8.2±0.2 km in two months – a rate ~10x faster than published values</w:t>
      </w:r>
      <w:r>
        <w:rPr>
          <w:lang w:val="en-AU"/>
        </w:rPr>
        <w:t>.</w:t>
      </w:r>
      <w:r w:rsidRPr="002E6DF5">
        <w:rPr>
          <w:vertAlign w:val="superscript"/>
          <w:lang w:val="en-AU"/>
        </w:rPr>
        <w:footnoteReference w:id="16"/>
      </w:r>
      <w:r w:rsidRPr="002E6DF5">
        <w:rPr>
          <w:lang w:val="en-AU"/>
        </w:rPr>
        <w:t xml:space="preserve"> Retreat resulted primarily from a process related to specific sub-ice geometry, suggesting that marine-terminating glaciers with such geometry can be easily destabilized. Observational and modelling studies are essential to reduce uncertainties.  </w:t>
      </w:r>
    </w:p>
    <w:p w14:paraId="7BB90680" w14:textId="77777777" w:rsidR="00314F93" w:rsidRPr="00777E1F" w:rsidRDefault="00314F93" w:rsidP="00314F93">
      <w:pPr>
        <w:pStyle w:val="ATSHeading2"/>
      </w:pPr>
      <w:r w:rsidRPr="00777E1F">
        <w:t>Marine Biodiversity</w:t>
      </w:r>
    </w:p>
    <w:p w14:paraId="043B5BF5" w14:textId="77777777" w:rsidR="00314F93" w:rsidRPr="00F57FB8" w:rsidRDefault="00314F93" w:rsidP="00314F93">
      <w:pPr>
        <w:pStyle w:val="ATSNormal"/>
        <w:rPr>
          <w:b/>
          <w:bCs/>
          <w:i/>
          <w:iCs/>
          <w:lang w:val="en-AU"/>
        </w:rPr>
      </w:pPr>
      <w:r w:rsidRPr="00184930">
        <w:rPr>
          <w:b/>
          <w:bCs/>
          <w:i/>
          <w:iCs/>
          <w:lang w:val="en-AU"/>
        </w:rPr>
        <w:t>Key message: Antarctic marine biodiversity continues to show strong signals of change in abundance, distribution and species composition.</w:t>
      </w:r>
    </w:p>
    <w:p w14:paraId="7443786E" w14:textId="77777777" w:rsidR="00314F93" w:rsidRPr="00F57FB8" w:rsidRDefault="00314F93" w:rsidP="00314F93">
      <w:pPr>
        <w:pStyle w:val="ATSNormal"/>
        <w:rPr>
          <w:bCs/>
          <w:lang w:val="en-AU"/>
        </w:rPr>
      </w:pPr>
      <w:r w:rsidRPr="00F57FB8">
        <w:rPr>
          <w:lang w:val="en-AU"/>
        </w:rPr>
        <w:t>Recent modelling has indicated that u</w:t>
      </w:r>
      <w:r w:rsidRPr="00F57FB8">
        <w:rPr>
          <w:bCs/>
          <w:lang w:val="en-AU"/>
        </w:rPr>
        <w:t>nder high-emission scenarios, krill habitats face severe contraction and loss between 1991 and 2100. Greater resilience through to 2100 is more likely under low-emission scenarios</w:t>
      </w:r>
      <w:r>
        <w:rPr>
          <w:bCs/>
          <w:lang w:val="en-AU"/>
        </w:rPr>
        <w:t>.</w:t>
      </w:r>
      <w:r w:rsidRPr="00F57FB8">
        <w:rPr>
          <w:bCs/>
          <w:vertAlign w:val="superscript"/>
          <w:lang w:val="en-AU"/>
        </w:rPr>
        <w:footnoteReference w:id="17"/>
      </w:r>
      <w:r w:rsidRPr="00F57FB8">
        <w:rPr>
          <w:bCs/>
          <w:lang w:val="en-AU"/>
        </w:rPr>
        <w:t xml:space="preserve"> Projected habitat suitability differs for Antarctic krill in </w:t>
      </w:r>
      <w:r w:rsidRPr="00F57FB8">
        <w:rPr>
          <w:bCs/>
          <w:lang w:val="en-AU"/>
        </w:rPr>
        <w:lastRenderedPageBreak/>
        <w:t>different CCAMLR areas between 2030 and 2100. The work concludes that protecting krill habitats is essential due to krill’s important role in the ecosystem and carbon cycle.</w:t>
      </w:r>
    </w:p>
    <w:p w14:paraId="5B6FF72A" w14:textId="77777777" w:rsidR="00314F93" w:rsidRPr="00184930" w:rsidRDefault="00314F93" w:rsidP="00314F93">
      <w:pPr>
        <w:pStyle w:val="ATSNormal"/>
        <w:rPr>
          <w:lang w:val="en-AU"/>
        </w:rPr>
      </w:pPr>
    </w:p>
    <w:p w14:paraId="7169F2FA" w14:textId="77777777" w:rsidR="00314F93" w:rsidRPr="00184930" w:rsidRDefault="00314F93" w:rsidP="00314F93">
      <w:pPr>
        <w:pStyle w:val="ATSNormal"/>
        <w:rPr>
          <w:lang w:val="en-AU"/>
        </w:rPr>
      </w:pPr>
      <w:r w:rsidRPr="00184930">
        <w:rPr>
          <w:noProof/>
          <w:lang w:val="en-AU"/>
        </w:rPr>
        <w:drawing>
          <wp:anchor distT="0" distB="0" distL="114300" distR="114300" simplePos="0" relativeHeight="251661312" behindDoc="0" locked="0" layoutInCell="1" hidden="0" allowOverlap="1" wp14:anchorId="7EEE8051" wp14:editId="1EBD9E03">
            <wp:simplePos x="0" y="0"/>
            <wp:positionH relativeFrom="column">
              <wp:posOffset>147182</wp:posOffset>
            </wp:positionH>
            <wp:positionV relativeFrom="paragraph">
              <wp:posOffset>119159</wp:posOffset>
            </wp:positionV>
            <wp:extent cx="5433935" cy="4871543"/>
            <wp:effectExtent l="0" t="0" r="1905" b="5715"/>
            <wp:wrapNone/>
            <wp:docPr id="150791040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433935" cy="4871543"/>
                    </a:xfrm>
                    <a:prstGeom prst="rect">
                      <a:avLst/>
                    </a:prstGeom>
                    <a:ln/>
                  </pic:spPr>
                </pic:pic>
              </a:graphicData>
            </a:graphic>
            <wp14:sizeRelH relativeFrom="margin">
              <wp14:pctWidth>0</wp14:pctWidth>
            </wp14:sizeRelH>
            <wp14:sizeRelV relativeFrom="margin">
              <wp14:pctHeight>0</wp14:pctHeight>
            </wp14:sizeRelV>
          </wp:anchor>
        </w:drawing>
      </w:r>
    </w:p>
    <w:p w14:paraId="089B502B" w14:textId="77777777" w:rsidR="00314F93" w:rsidRPr="00184930" w:rsidRDefault="00314F93" w:rsidP="00314F93">
      <w:pPr>
        <w:pStyle w:val="ATSNormal"/>
        <w:rPr>
          <w:lang w:val="en-AU"/>
        </w:rPr>
      </w:pPr>
    </w:p>
    <w:p w14:paraId="495F3219" w14:textId="77777777" w:rsidR="00314F93" w:rsidRPr="00184930" w:rsidRDefault="00314F93" w:rsidP="00314F93">
      <w:pPr>
        <w:pStyle w:val="ATSNormal"/>
        <w:rPr>
          <w:lang w:val="en-AU"/>
        </w:rPr>
      </w:pPr>
    </w:p>
    <w:p w14:paraId="6411D6ED" w14:textId="77777777" w:rsidR="00314F93" w:rsidRPr="00184930" w:rsidRDefault="00314F93" w:rsidP="00314F93">
      <w:pPr>
        <w:pStyle w:val="ATSNormal"/>
        <w:rPr>
          <w:lang w:val="en-AU"/>
        </w:rPr>
      </w:pPr>
    </w:p>
    <w:p w14:paraId="1B6F26E1" w14:textId="77777777" w:rsidR="00314F93" w:rsidRPr="00184930" w:rsidRDefault="00314F93" w:rsidP="00314F93">
      <w:pPr>
        <w:pStyle w:val="ATSNormal"/>
        <w:rPr>
          <w:lang w:val="en-AU"/>
        </w:rPr>
      </w:pPr>
    </w:p>
    <w:p w14:paraId="123344FB" w14:textId="77777777" w:rsidR="00314F93" w:rsidRPr="00184930" w:rsidRDefault="00314F93" w:rsidP="00314F93">
      <w:pPr>
        <w:pStyle w:val="ATSNormal"/>
        <w:rPr>
          <w:lang w:val="en-AU"/>
        </w:rPr>
      </w:pPr>
    </w:p>
    <w:p w14:paraId="53EA1059" w14:textId="77777777" w:rsidR="00314F93" w:rsidRPr="00184930" w:rsidRDefault="00314F93" w:rsidP="00314F93">
      <w:pPr>
        <w:pStyle w:val="ATSNormal"/>
        <w:rPr>
          <w:lang w:val="en-AU"/>
        </w:rPr>
      </w:pPr>
    </w:p>
    <w:p w14:paraId="558204E4" w14:textId="77777777" w:rsidR="00314F93" w:rsidRPr="00184930" w:rsidRDefault="00314F93" w:rsidP="00314F93">
      <w:pPr>
        <w:pStyle w:val="ATSNormal"/>
        <w:rPr>
          <w:lang w:val="en-AU"/>
        </w:rPr>
      </w:pPr>
    </w:p>
    <w:p w14:paraId="78028181" w14:textId="77777777" w:rsidR="00314F93" w:rsidRPr="00184930" w:rsidRDefault="00314F93" w:rsidP="00314F93">
      <w:pPr>
        <w:pStyle w:val="ATSNormal"/>
        <w:rPr>
          <w:lang w:val="en-AU"/>
        </w:rPr>
      </w:pPr>
    </w:p>
    <w:p w14:paraId="132F3A89" w14:textId="77777777" w:rsidR="00314F93" w:rsidRPr="00184930" w:rsidRDefault="00314F93" w:rsidP="00314F93">
      <w:pPr>
        <w:pStyle w:val="ATSNormal"/>
        <w:rPr>
          <w:lang w:val="en-AU"/>
        </w:rPr>
      </w:pPr>
    </w:p>
    <w:p w14:paraId="15E5593D" w14:textId="77777777" w:rsidR="00314F93" w:rsidRPr="00184930" w:rsidRDefault="00314F93" w:rsidP="00314F93">
      <w:pPr>
        <w:pStyle w:val="ATSNormal"/>
        <w:rPr>
          <w:lang w:val="en-AU"/>
        </w:rPr>
      </w:pPr>
    </w:p>
    <w:p w14:paraId="1A9D26DE" w14:textId="77777777" w:rsidR="00314F93" w:rsidRPr="00184930" w:rsidRDefault="00314F93" w:rsidP="00314F93">
      <w:pPr>
        <w:pStyle w:val="ATSNormal"/>
        <w:rPr>
          <w:lang w:val="en-AU"/>
        </w:rPr>
      </w:pPr>
    </w:p>
    <w:p w14:paraId="19E8E4D9" w14:textId="77777777" w:rsidR="00314F93" w:rsidRPr="00184930" w:rsidRDefault="00314F93" w:rsidP="00314F93">
      <w:pPr>
        <w:pStyle w:val="ATSNormal"/>
        <w:rPr>
          <w:lang w:val="en-AU"/>
        </w:rPr>
      </w:pPr>
    </w:p>
    <w:p w14:paraId="16A01647" w14:textId="77777777" w:rsidR="00314F93" w:rsidRPr="00184930" w:rsidRDefault="00314F93" w:rsidP="00314F93">
      <w:pPr>
        <w:pStyle w:val="ATSNormal"/>
        <w:rPr>
          <w:lang w:val="en-AU"/>
        </w:rPr>
      </w:pPr>
    </w:p>
    <w:p w14:paraId="1683532C" w14:textId="77777777" w:rsidR="00314F93" w:rsidRPr="00184930" w:rsidRDefault="00314F93" w:rsidP="00314F93">
      <w:pPr>
        <w:pStyle w:val="ATSNormal"/>
        <w:rPr>
          <w:lang w:val="en-AU"/>
        </w:rPr>
      </w:pPr>
    </w:p>
    <w:p w14:paraId="471A8D5C" w14:textId="77777777" w:rsidR="00314F93" w:rsidRPr="00184930" w:rsidRDefault="00314F93" w:rsidP="00314F93">
      <w:pPr>
        <w:pStyle w:val="ATSNormal"/>
        <w:rPr>
          <w:lang w:val="en-AU"/>
        </w:rPr>
      </w:pPr>
    </w:p>
    <w:p w14:paraId="60ADDC1C" w14:textId="77777777" w:rsidR="00314F93" w:rsidRPr="00184930" w:rsidRDefault="00314F93" w:rsidP="00314F93">
      <w:pPr>
        <w:pStyle w:val="ATSNormal"/>
        <w:rPr>
          <w:lang w:val="en-AU"/>
        </w:rPr>
      </w:pPr>
    </w:p>
    <w:p w14:paraId="08E20846" w14:textId="77777777" w:rsidR="00314F93" w:rsidRPr="00184930" w:rsidRDefault="00314F93" w:rsidP="00314F93">
      <w:pPr>
        <w:pStyle w:val="ATSNormal"/>
        <w:rPr>
          <w:lang w:val="en-AU"/>
        </w:rPr>
      </w:pPr>
    </w:p>
    <w:p w14:paraId="626420B2" w14:textId="77777777" w:rsidR="00314F93" w:rsidRPr="00184930" w:rsidRDefault="00314F93" w:rsidP="00314F93">
      <w:pPr>
        <w:pStyle w:val="ATSNormal"/>
        <w:rPr>
          <w:lang w:val="en-AU"/>
        </w:rPr>
      </w:pPr>
    </w:p>
    <w:p w14:paraId="36474081" w14:textId="77777777" w:rsidR="00314F93" w:rsidRPr="00184930" w:rsidRDefault="00314F93" w:rsidP="00314F93">
      <w:pPr>
        <w:pStyle w:val="ATSNormal"/>
        <w:rPr>
          <w:lang w:val="en-AU"/>
        </w:rPr>
      </w:pPr>
    </w:p>
    <w:p w14:paraId="668267A8" w14:textId="77777777" w:rsidR="00314F93" w:rsidRPr="00184930" w:rsidRDefault="00314F93" w:rsidP="00314F93">
      <w:pPr>
        <w:pStyle w:val="ATSNormal"/>
        <w:rPr>
          <w:lang w:val="en-AU"/>
        </w:rPr>
      </w:pPr>
    </w:p>
    <w:p w14:paraId="33CF8D38" w14:textId="77777777" w:rsidR="00314F93" w:rsidRPr="00184930" w:rsidRDefault="00314F93" w:rsidP="00314F93">
      <w:pPr>
        <w:pStyle w:val="ATSNormal"/>
        <w:rPr>
          <w:lang w:val="en-AU"/>
        </w:rPr>
      </w:pPr>
    </w:p>
    <w:p w14:paraId="3C697A7B" w14:textId="77777777" w:rsidR="00314F93" w:rsidRPr="00FF7115" w:rsidRDefault="008E7D93" w:rsidP="00314F93">
      <w:pPr>
        <w:pStyle w:val="ATSNormal"/>
        <w:rPr>
          <w:bCs/>
          <w:i/>
          <w:iCs/>
          <w:lang w:val="en-AU"/>
        </w:rPr>
      </w:pPr>
      <w:sdt>
        <w:sdtPr>
          <w:rPr>
            <w:lang w:val="en-AU"/>
          </w:rPr>
          <w:tag w:val="goog_rdk_6"/>
          <w:id w:val="1659698437"/>
        </w:sdtPr>
        <w:sdtEndPr/>
        <w:sdtContent/>
      </w:sdt>
      <w:sdt>
        <w:sdtPr>
          <w:rPr>
            <w:lang w:val="en-AU"/>
          </w:rPr>
          <w:tag w:val="goog_rdk_7"/>
          <w:id w:val="921941614"/>
        </w:sdtPr>
        <w:sdtEndPr/>
        <w:sdtContent/>
      </w:sdt>
      <w:sdt>
        <w:sdtPr>
          <w:rPr>
            <w:lang w:val="en-AU"/>
          </w:rPr>
          <w:tag w:val="goog_rdk_8"/>
          <w:id w:val="-1132202502"/>
        </w:sdtPr>
        <w:sdtEndPr/>
        <w:sdtContent/>
      </w:sdt>
      <w:r w:rsidR="00314F93" w:rsidRPr="00DD3A4A">
        <w:rPr>
          <w:i/>
          <w:iCs/>
          <w:lang w:val="en-AU"/>
        </w:rPr>
        <w:t>Figure 4</w:t>
      </w:r>
      <w:r w:rsidR="00314F93">
        <w:rPr>
          <w:i/>
          <w:iCs/>
          <w:lang w:val="en-AU"/>
        </w:rPr>
        <w:t xml:space="preserve"> -</w:t>
      </w:r>
      <w:r w:rsidR="00314F93" w:rsidRPr="00986650">
        <w:rPr>
          <w:i/>
          <w:iCs/>
          <w:lang w:val="en-AU"/>
        </w:rPr>
        <w:t xml:space="preserve"> </w:t>
      </w:r>
      <w:r w:rsidR="00314F93" w:rsidRPr="00DD3A4A">
        <w:rPr>
          <w:i/>
          <w:iCs/>
          <w:lang w:val="en-AU"/>
        </w:rPr>
        <w:t>Risk map of Antarctic ice catchment basins</w:t>
      </w:r>
      <w:r w:rsidR="00314F93">
        <w:rPr>
          <w:i/>
          <w:iCs/>
          <w:lang w:val="en-AU"/>
        </w:rPr>
        <w:t>.</w:t>
      </w:r>
      <w:r w:rsidR="00314F93" w:rsidRPr="00DD3A4A">
        <w:rPr>
          <w:i/>
          <w:iCs/>
          <w:vertAlign w:val="superscript"/>
          <w:lang w:val="en-AU"/>
        </w:rPr>
        <w:t>15</w:t>
      </w:r>
      <w:r w:rsidR="00314F93" w:rsidRPr="00986650">
        <w:rPr>
          <w:i/>
          <w:iCs/>
          <w:lang w:val="en-AU"/>
        </w:rPr>
        <w:t xml:space="preserve"> Nested circles show critical temperature for strongest ice loss (circle colour) and proportion of ice volume lost long-term after crossing the thresholds (circle size). Background shading shows bedrock topography. </w:t>
      </w:r>
      <w:r w:rsidR="00314F93" w:rsidRPr="00986650">
        <w:rPr>
          <w:bCs/>
          <w:i/>
          <w:iCs/>
          <w:lang w:val="en-AU"/>
        </w:rPr>
        <w:t xml:space="preserve">Image reproduced under a Creative Commons License: </w:t>
      </w:r>
      <w:hyperlink r:id="rId16" w:history="1">
        <w:r w:rsidR="00314F93" w:rsidRPr="00986650">
          <w:rPr>
            <w:rStyle w:val="Hipervnculo"/>
            <w:bCs/>
            <w:i/>
            <w:iCs/>
            <w:lang w:val="en-AU"/>
          </w:rPr>
          <w:t>http://creativecommons.org/licenses/by/4.0/</w:t>
        </w:r>
      </w:hyperlink>
    </w:p>
    <w:p w14:paraId="358C920F" w14:textId="77777777" w:rsidR="00314F93" w:rsidRPr="008B5B3C" w:rsidRDefault="00314F93" w:rsidP="00314F93">
      <w:pPr>
        <w:pStyle w:val="ATSNormal"/>
        <w:rPr>
          <w:bCs/>
          <w:lang w:val="en-AU"/>
        </w:rPr>
      </w:pPr>
      <w:r w:rsidRPr="008B5B3C">
        <w:rPr>
          <w:bCs/>
          <w:lang w:val="en-AU"/>
        </w:rPr>
        <w:t>Research on marine predators continues to highlight the importance of sea ice change for the abundance of seals and whales</w:t>
      </w:r>
      <w:r>
        <w:rPr>
          <w:bCs/>
          <w:lang w:val="en-AU"/>
        </w:rPr>
        <w:t>,</w:t>
      </w:r>
      <w:r w:rsidRPr="008B5B3C">
        <w:rPr>
          <w:bCs/>
          <w:vertAlign w:val="superscript"/>
          <w:lang w:val="en-AU"/>
        </w:rPr>
        <w:footnoteReference w:id="18"/>
      </w:r>
      <w:r w:rsidRPr="008B5B3C">
        <w:rPr>
          <w:bCs/>
          <w:vertAlign w:val="superscript"/>
          <w:lang w:val="en-AU"/>
        </w:rPr>
        <w:t>,</w:t>
      </w:r>
      <w:r w:rsidRPr="008B5B3C">
        <w:rPr>
          <w:bCs/>
          <w:vertAlign w:val="superscript"/>
          <w:lang w:val="en-AU"/>
        </w:rPr>
        <w:footnoteReference w:id="19"/>
      </w:r>
      <w:r w:rsidRPr="008B5B3C">
        <w:rPr>
          <w:bCs/>
          <w:lang w:val="en-AU"/>
        </w:rPr>
        <w:t xml:space="preserve"> and the additional effects of HPAI on seals</w:t>
      </w:r>
      <w:r>
        <w:rPr>
          <w:bCs/>
          <w:lang w:val="en-AU"/>
        </w:rPr>
        <w:t>.</w:t>
      </w:r>
      <w:r w:rsidRPr="008B5B3C">
        <w:rPr>
          <w:bCs/>
          <w:vertAlign w:val="superscript"/>
          <w:lang w:val="en-AU"/>
        </w:rPr>
        <w:footnoteReference w:id="20"/>
      </w:r>
      <w:r w:rsidRPr="008B5B3C">
        <w:rPr>
          <w:bCs/>
          <w:lang w:val="en-AU"/>
        </w:rPr>
        <w:t xml:space="preserve"> Across the Antarctic Peninsula, a network of cameras monitoring Adélie, Chinstrap and Gentoo penguins has shown that colony locations are warming 4x faster (0.3°C/year) than the average </w:t>
      </w:r>
      <w:r w:rsidRPr="008B5B3C">
        <w:rPr>
          <w:bCs/>
          <w:lang w:val="en-AU"/>
        </w:rPr>
        <w:lastRenderedPageBreak/>
        <w:t>(0.07°C/year), and that the start of the breeding season has advanced at record rates: 10-13 days/decade between 2012 and 2022</w:t>
      </w:r>
      <w:r>
        <w:rPr>
          <w:bCs/>
          <w:lang w:val="en-AU"/>
        </w:rPr>
        <w:t>.</w:t>
      </w:r>
      <w:r w:rsidRPr="008B5B3C">
        <w:rPr>
          <w:bCs/>
          <w:vertAlign w:val="superscript"/>
          <w:lang w:val="en-AU"/>
        </w:rPr>
        <w:footnoteReference w:id="21"/>
      </w:r>
    </w:p>
    <w:p w14:paraId="6CCC06F7" w14:textId="77777777" w:rsidR="00314F93" w:rsidRPr="0033457E" w:rsidRDefault="00314F93" w:rsidP="00314F93">
      <w:pPr>
        <w:pStyle w:val="ATSHeading2"/>
      </w:pPr>
      <w:r w:rsidRPr="0033457E">
        <w:t>Terrestrial Biodiversity</w:t>
      </w:r>
    </w:p>
    <w:p w14:paraId="6A341070" w14:textId="77777777" w:rsidR="00314F93" w:rsidRDefault="00314F93" w:rsidP="00314F93">
      <w:pPr>
        <w:pStyle w:val="ATSNormal"/>
        <w:rPr>
          <w:lang w:val="en-AU"/>
        </w:rPr>
      </w:pPr>
      <w:r w:rsidRPr="00184930">
        <w:rPr>
          <w:b/>
          <w:bCs/>
          <w:i/>
          <w:iCs/>
          <w:lang w:val="en-AU"/>
        </w:rPr>
        <w:t>Key message: Antarctic terrestrial biodiversity is changing, with responses varying between biogeographic regions and species groups.</w:t>
      </w:r>
    </w:p>
    <w:p w14:paraId="6A67894D" w14:textId="77777777" w:rsidR="00314F93" w:rsidRPr="001B4D6E" w:rsidRDefault="00314F93" w:rsidP="00314F93">
      <w:pPr>
        <w:pStyle w:val="ATSNormal"/>
      </w:pPr>
      <w:r w:rsidRPr="001B4D6E">
        <w:rPr>
          <w:lang w:val="en-AU"/>
        </w:rPr>
        <w:t xml:space="preserve">While understanding of Antarctic biodiversity change continues to improve, terrestrial biodiversity remains one of the continent’s most poorly investigated subjects; nonetheless, studies </w:t>
      </w:r>
      <w:r w:rsidRPr="001B4D6E">
        <w:t>show ongoing change, contingent on the geographic area.</w:t>
      </w:r>
    </w:p>
    <w:p w14:paraId="210B4F67" w14:textId="77777777" w:rsidR="00314F93" w:rsidRPr="001B4D6E" w:rsidRDefault="00314F93" w:rsidP="00314F93">
      <w:pPr>
        <w:pStyle w:val="ATSNormal"/>
        <w:rPr>
          <w:lang w:val="en-AU"/>
        </w:rPr>
      </w:pPr>
      <w:r w:rsidRPr="001B4D6E">
        <w:rPr>
          <w:lang w:val="en-AU"/>
        </w:rPr>
        <w:t>For rock-dwelling (lecideoid) lichens, a reduction in suitable habitat area is expected in maritime Antarctica, but an expansion in continental regions owing to ameliorating environmental conditions</w:t>
      </w:r>
      <w:r>
        <w:rPr>
          <w:lang w:val="en-AU"/>
        </w:rPr>
        <w:t>.</w:t>
      </w:r>
      <w:r w:rsidRPr="001B4D6E">
        <w:rPr>
          <w:vertAlign w:val="superscript"/>
          <w:lang w:val="en-AU"/>
        </w:rPr>
        <w:footnoteReference w:id="22"/>
      </w:r>
      <w:r w:rsidRPr="001B4D6E">
        <w:rPr>
          <w:lang w:val="en-AU"/>
        </w:rPr>
        <w:t xml:space="preserve"> With invertebrates, habitat type, the specific group of animals, and geographic location all affect the way abundances respond to environmental change</w:t>
      </w:r>
      <w:r>
        <w:rPr>
          <w:lang w:val="en-AU"/>
        </w:rPr>
        <w:t>,</w:t>
      </w:r>
      <w:r w:rsidRPr="001B4D6E">
        <w:rPr>
          <w:vertAlign w:val="superscript"/>
          <w:lang w:val="en-AU"/>
        </w:rPr>
        <w:footnoteReference w:id="23"/>
      </w:r>
      <w:r w:rsidRPr="001B4D6E">
        <w:rPr>
          <w:lang w:val="en-AU"/>
        </w:rPr>
        <w:t xml:space="preserve"> suggesting some complexity for projections.</w:t>
      </w:r>
    </w:p>
    <w:p w14:paraId="49F1E2A2" w14:textId="77777777" w:rsidR="00314F93" w:rsidRPr="00184930" w:rsidRDefault="00314F93" w:rsidP="00314F93">
      <w:pPr>
        <w:pStyle w:val="ATSNormal"/>
        <w:rPr>
          <w:lang w:val="en-AU"/>
        </w:rPr>
      </w:pPr>
      <w:r w:rsidRPr="001B4D6E">
        <w:rPr>
          <w:lang w:val="en-AU"/>
        </w:rPr>
        <w:t>Five hypotheses for terrestrial Antarctic biodiversity outcomes under global change provide a useable framework for reducing complexity and as a guide for monitoring</w:t>
      </w:r>
      <w:r w:rsidRPr="001B4D6E">
        <w:rPr>
          <w:vertAlign w:val="superscript"/>
          <w:lang w:val="en-AU"/>
        </w:rPr>
        <w:footnoteReference w:id="24"/>
      </w:r>
      <w:r w:rsidRPr="001B4D6E">
        <w:rPr>
          <w:lang w:val="en-AU"/>
        </w:rPr>
        <w:t xml:space="preserve"> (Figure 5). Evidence shows that physical conditions will likely remain a dominant constraint to fitness, even in warmer, wetter situations.</w:t>
      </w:r>
    </w:p>
    <w:p w14:paraId="5F902DE0" w14:textId="77777777" w:rsidR="00314F93" w:rsidRPr="00FF7115" w:rsidRDefault="00314F93" w:rsidP="00314F93">
      <w:pPr>
        <w:pStyle w:val="ATSNormal"/>
        <w:rPr>
          <w:lang w:val="en-AU"/>
        </w:rPr>
      </w:pPr>
      <w:r w:rsidRPr="00184930">
        <w:rPr>
          <w:noProof/>
          <w:lang w:val="en-AU"/>
        </w:rPr>
        <w:lastRenderedPageBreak/>
        <w:drawing>
          <wp:inline distT="0" distB="0" distL="0" distR="0" wp14:anchorId="6B6392DB" wp14:editId="6605DD7B">
            <wp:extent cx="5486400" cy="4064000"/>
            <wp:effectExtent l="0" t="0" r="0" b="0"/>
            <wp:docPr id="150791040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509800" cy="4081333"/>
                    </a:xfrm>
                    <a:prstGeom prst="rect">
                      <a:avLst/>
                    </a:prstGeom>
                    <a:ln/>
                  </pic:spPr>
                </pic:pic>
              </a:graphicData>
            </a:graphic>
          </wp:inline>
        </w:drawing>
      </w:r>
    </w:p>
    <w:p w14:paraId="393CE017" w14:textId="77777777" w:rsidR="00314F93" w:rsidRPr="002A3826" w:rsidRDefault="00314F93" w:rsidP="00314F93">
      <w:pPr>
        <w:pStyle w:val="ATSNormal"/>
        <w:rPr>
          <w:i/>
          <w:iCs/>
          <w:lang w:val="en-AU"/>
        </w:rPr>
      </w:pPr>
      <w:r w:rsidRPr="009854CE">
        <w:rPr>
          <w:i/>
          <w:iCs/>
          <w:lang w:val="en-AU"/>
        </w:rPr>
        <w:t>Figure 5</w:t>
      </w:r>
      <w:r>
        <w:rPr>
          <w:i/>
          <w:iCs/>
          <w:lang w:val="en-AU"/>
        </w:rPr>
        <w:t xml:space="preserve"> </w:t>
      </w:r>
      <w:r w:rsidRPr="002A3826">
        <w:rPr>
          <w:i/>
          <w:iCs/>
          <w:lang w:val="en-AU"/>
        </w:rPr>
        <w:t>- The ecological processes and their interactions that underpin terrestrial Antarctic biodiversity change</w:t>
      </w:r>
      <w:r>
        <w:rPr>
          <w:i/>
          <w:iCs/>
          <w:lang w:val="en-AU"/>
        </w:rPr>
        <w:t>.</w:t>
      </w:r>
      <w:r w:rsidRPr="002A3826">
        <w:rPr>
          <w:i/>
          <w:iCs/>
          <w:vertAlign w:val="superscript"/>
          <w:lang w:val="en-AU"/>
        </w:rPr>
        <w:t>24</w:t>
      </w:r>
      <w:r w:rsidRPr="002A3826">
        <w:rPr>
          <w:b/>
          <w:bCs/>
          <w:i/>
          <w:iCs/>
          <w:lang w:val="en-AU"/>
        </w:rPr>
        <w:t xml:space="preserve"> </w:t>
      </w:r>
      <w:r w:rsidRPr="002A3826">
        <w:rPr>
          <w:i/>
          <w:iCs/>
          <w:lang w:val="en-AU"/>
        </w:rPr>
        <w:t>Abiotic filtering means the effect of physical factors. Biotic interactions include predation, parasitism, competition and mutually beneficial functions. Figure from McGeoch et al. Ecological processes shaping Antarctic terrestrial biodiversity change</w:t>
      </w:r>
      <w:r>
        <w:rPr>
          <w:i/>
          <w:iCs/>
          <w:lang w:val="en-AU"/>
        </w:rPr>
        <w:t>,</w:t>
      </w:r>
      <w:r w:rsidRPr="002A3826">
        <w:rPr>
          <w:i/>
          <w:iCs/>
          <w:vertAlign w:val="superscript"/>
          <w:lang w:val="en-AU"/>
        </w:rPr>
        <w:t>24</w:t>
      </w:r>
      <w:r w:rsidRPr="002A3826">
        <w:rPr>
          <w:i/>
          <w:iCs/>
          <w:lang w:val="en-AU"/>
        </w:rPr>
        <w:t xml:space="preserve"> Springer Nature, licensed with permission from SNCSC (6231570182063).</w:t>
      </w:r>
    </w:p>
    <w:p w14:paraId="6F6D938A" w14:textId="77777777" w:rsidR="00314F93" w:rsidRPr="00FF7115" w:rsidRDefault="00314F93" w:rsidP="00314F93">
      <w:pPr>
        <w:pStyle w:val="ATSHeading2"/>
      </w:pPr>
      <w:r w:rsidRPr="009854CE">
        <w:t>Recommendations</w:t>
      </w:r>
    </w:p>
    <w:p w14:paraId="59C21662" w14:textId="77777777" w:rsidR="00314F93" w:rsidRPr="00FF7115" w:rsidRDefault="00314F93" w:rsidP="00314F93">
      <w:pPr>
        <w:pStyle w:val="ATSNormal"/>
        <w:rPr>
          <w:lang w:val="en-AU"/>
        </w:rPr>
      </w:pPr>
      <w:r w:rsidRPr="00983827">
        <w:rPr>
          <w:lang w:val="en-AU"/>
        </w:rPr>
        <w:t>SCAR encourages Antarctic Treaty Parties to continue their efforts to support research to understand the changing Antarctic environment across physical and living systems. As recommended in the ACCE Decadal Synopsis, clear communication to a wider audience of a changing Antarctic and its Earth System implications remains an important way to ensure that ongoing impacts to the region are understood and reduced.</w:t>
      </w:r>
    </w:p>
    <w:p w14:paraId="2728EFC9" w14:textId="77777777" w:rsidR="00F24B0D" w:rsidRPr="00314F93" w:rsidRDefault="00F24B0D" w:rsidP="00952E9F">
      <w:pPr>
        <w:rPr>
          <w:lang w:val="en-AU"/>
        </w:rPr>
      </w:pPr>
    </w:p>
    <w:sectPr w:rsidR="00F24B0D" w:rsidRPr="00314F93" w:rsidSect="00314F93">
      <w:headerReference w:type="default" r:id="rId18"/>
      <w:footerReference w:type="default" r:id="rId19"/>
      <w:type w:val="oddPage"/>
      <w:pgSz w:w="11907" w:h="16840"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8D8E5" w14:textId="77777777" w:rsidR="008E7D93" w:rsidRDefault="008E7D93">
      <w:r>
        <w:separator/>
      </w:r>
    </w:p>
  </w:endnote>
  <w:endnote w:type="continuationSeparator" w:id="0">
    <w:p w14:paraId="3E721020" w14:textId="77777777" w:rsidR="008E7D93" w:rsidRDefault="008E7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117CC" w14:textId="77777777" w:rsidR="00F24B0D" w:rsidRDefault="00F24B0D" w:rsidP="00CF5C82">
    <w:pPr>
      <w:framePr w:wrap="around" w:vAnchor="text" w:hAnchor="margin" w:xAlign="right" w:y="1"/>
    </w:pPr>
    <w:r>
      <w:fldChar w:fldCharType="begin"/>
    </w:r>
    <w:r>
      <w:instrText xml:space="preserve">PAGE  </w:instrText>
    </w:r>
    <w:r w:rsidR="008E7D93">
      <w:fldChar w:fldCharType="separate"/>
    </w:r>
    <w:r>
      <w:fldChar w:fldCharType="end"/>
    </w:r>
  </w:p>
  <w:p w14:paraId="77DAABDC" w14:textId="77777777" w:rsidR="00F24B0D" w:rsidRDefault="00F24B0D" w:rsidP="00FA0B9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AA14D" w14:textId="77777777" w:rsidR="00F24B0D" w:rsidRDefault="00F24B0D" w:rsidP="00CF5C82">
    <w:pPr>
      <w:framePr w:wrap="around" w:vAnchor="text" w:hAnchor="margin" w:xAlign="right" w:y="1"/>
    </w:pPr>
    <w:r>
      <w:fldChar w:fldCharType="begin"/>
    </w:r>
    <w:r>
      <w:instrText xml:space="preserve">PAGE  </w:instrText>
    </w:r>
    <w:r>
      <w:fldChar w:fldCharType="separate"/>
    </w:r>
    <w:r>
      <w:rPr>
        <w:noProof/>
      </w:rPr>
      <w:t>1</w:t>
    </w:r>
    <w:r>
      <w:fldChar w:fldCharType="end"/>
    </w:r>
  </w:p>
  <w:p w14:paraId="0EEB04DB" w14:textId="7D45B84B" w:rsidR="00F24B0D" w:rsidRDefault="00F24B0D" w:rsidP="00314F93">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C057E" w14:textId="77777777" w:rsidR="00314F93" w:rsidRDefault="00314F93" w:rsidP="00CF5C82">
    <w:pPr>
      <w:framePr w:wrap="around" w:vAnchor="text" w:hAnchor="margin" w:xAlign="right" w:y="1"/>
    </w:pPr>
    <w:r>
      <w:fldChar w:fldCharType="begin"/>
    </w:r>
    <w:r>
      <w:instrText xml:space="preserve">PAGE  </w:instrText>
    </w:r>
    <w:r>
      <w:fldChar w:fldCharType="separate"/>
    </w:r>
    <w:r>
      <w:rPr>
        <w:noProof/>
      </w:rPr>
      <w:t>3</w:t>
    </w:r>
    <w:r>
      <w:fldChar w:fldCharType="end"/>
    </w:r>
  </w:p>
  <w:p w14:paraId="111BABC6" w14:textId="77777777" w:rsidR="00314F93" w:rsidRDefault="00314F93" w:rsidP="00E311C9">
    <w:pPr>
      <w:ind w:right="360"/>
    </w:pPr>
  </w:p>
  <w:p w14:paraId="6D998C0A" w14:textId="77777777" w:rsidR="00314F93" w:rsidRDefault="00314F93"/>
  <w:p w14:paraId="369E55EB" w14:textId="77777777" w:rsidR="00314F93" w:rsidRDefault="00314F93"/>
  <w:p w14:paraId="7352DCA1" w14:textId="77777777" w:rsidR="00314F93" w:rsidRDefault="00314F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625B0" w14:textId="77777777" w:rsidR="008E7D93" w:rsidRDefault="008E7D93">
      <w:r>
        <w:separator/>
      </w:r>
    </w:p>
  </w:footnote>
  <w:footnote w:type="continuationSeparator" w:id="0">
    <w:p w14:paraId="64EEDC22" w14:textId="77777777" w:rsidR="008E7D93" w:rsidRDefault="008E7D93">
      <w:r>
        <w:continuationSeparator/>
      </w:r>
    </w:p>
  </w:footnote>
  <w:footnote w:id="1">
    <w:p w14:paraId="0A0EB6B1" w14:textId="77777777" w:rsidR="00314F93" w:rsidRDefault="00314F93" w:rsidP="00314F93">
      <w:pPr>
        <w:pStyle w:val="Textonotapie"/>
      </w:pPr>
      <w:r>
        <w:rPr>
          <w:rStyle w:val="Refdenotaalpie"/>
        </w:rPr>
        <w:footnoteRef/>
      </w:r>
      <w:r>
        <w:t xml:space="preserve"> </w:t>
      </w:r>
      <w:r w:rsidRPr="00CA47AB">
        <w:t xml:space="preserve">Chown et al. 2022. </w:t>
      </w:r>
      <w:r w:rsidRPr="00CA47AB">
        <w:rPr>
          <w:i/>
          <w:iCs/>
        </w:rPr>
        <w:t>Antarctic Climate Change and the Environment: A Decadal Synopsis and Recommendations for Action</w:t>
      </w:r>
      <w:r>
        <w:t>,</w:t>
      </w:r>
      <w:r w:rsidRPr="00CA47AB">
        <w:t xml:space="preserve"> </w:t>
      </w:r>
      <w:hyperlink r:id="rId1" w:history="1">
        <w:r w:rsidRPr="00CA47AB">
          <w:rPr>
            <w:rStyle w:val="Hipervnculo"/>
          </w:rPr>
          <w:t>www.scar.org</w:t>
        </w:r>
      </w:hyperlink>
    </w:p>
  </w:footnote>
  <w:footnote w:id="2">
    <w:p w14:paraId="71835334" w14:textId="77777777" w:rsidR="00314F93" w:rsidRPr="00900285" w:rsidRDefault="00314F93" w:rsidP="00314F93">
      <w:pPr>
        <w:pStyle w:val="Textonotapie"/>
        <w:rPr>
          <w:lang w:val="fr-FR"/>
        </w:rPr>
      </w:pPr>
      <w:r>
        <w:rPr>
          <w:rStyle w:val="Refdenotaalpie"/>
        </w:rPr>
        <w:footnoteRef/>
      </w:r>
      <w:r w:rsidRPr="00900285">
        <w:rPr>
          <w:lang w:val="fr-FR"/>
        </w:rPr>
        <w:t xml:space="preserve"> Abram et al. 2025. </w:t>
      </w:r>
      <w:r w:rsidRPr="00900285">
        <w:rPr>
          <w:i/>
          <w:iCs/>
          <w:lang w:val="fr-FR"/>
        </w:rPr>
        <w:t>Nature</w:t>
      </w:r>
      <w:r w:rsidRPr="00900285">
        <w:rPr>
          <w:lang w:val="fr-FR"/>
        </w:rPr>
        <w:t xml:space="preserve"> </w:t>
      </w:r>
      <w:hyperlink r:id="rId2" w:history="1">
        <w:r w:rsidRPr="00900285">
          <w:rPr>
            <w:rStyle w:val="Hipervnculo"/>
            <w:lang w:val="fr-FR"/>
          </w:rPr>
          <w:t>https://doi.org/10.1038/s41586-025-09349-5</w:t>
        </w:r>
      </w:hyperlink>
    </w:p>
  </w:footnote>
  <w:footnote w:id="3">
    <w:p w14:paraId="561BE6DA" w14:textId="77777777" w:rsidR="00314F93" w:rsidRPr="00900285" w:rsidRDefault="00314F93" w:rsidP="00314F93">
      <w:pPr>
        <w:pStyle w:val="Textonotapie"/>
        <w:rPr>
          <w:lang w:val="es-AR"/>
        </w:rPr>
      </w:pPr>
      <w:r>
        <w:rPr>
          <w:rStyle w:val="Refdenotaalpie"/>
        </w:rPr>
        <w:footnoteRef/>
      </w:r>
      <w:r w:rsidRPr="00900285">
        <w:rPr>
          <w:lang w:val="es-AR"/>
        </w:rPr>
        <w:t xml:space="preserve"> WMO. 2026. </w:t>
      </w:r>
      <w:hyperlink r:id="rId3" w:history="1">
        <w:r w:rsidRPr="00900285">
          <w:rPr>
            <w:rStyle w:val="Hipervnculo"/>
            <w:lang w:val="es-AR"/>
          </w:rPr>
          <w:t>https://wmo.int/news/media-centre/wmo-confirms-2025-was-one-of-warmest-years-record</w:t>
        </w:r>
      </w:hyperlink>
    </w:p>
  </w:footnote>
  <w:footnote w:id="4">
    <w:p w14:paraId="077427DE" w14:textId="77777777" w:rsidR="00314F93" w:rsidRPr="00900285" w:rsidRDefault="00314F93" w:rsidP="00314F93">
      <w:pPr>
        <w:pStyle w:val="Textonotapie"/>
        <w:rPr>
          <w:lang w:val="fr-FR"/>
        </w:rPr>
      </w:pPr>
      <w:r>
        <w:rPr>
          <w:rStyle w:val="Refdenotaalpie"/>
        </w:rPr>
        <w:footnoteRef/>
      </w:r>
      <w:r w:rsidRPr="00900285">
        <w:rPr>
          <w:lang w:val="fr-FR"/>
        </w:rPr>
        <w:t xml:space="preserve"> </w:t>
      </w:r>
      <w:r w:rsidRPr="00900285">
        <w:rPr>
          <w:lang w:val="fr-FR"/>
        </w:rPr>
        <w:t xml:space="preserve">Kusahara &amp; Tatebe. 2025. </w:t>
      </w:r>
      <w:r w:rsidRPr="00900285">
        <w:rPr>
          <w:i/>
          <w:iCs/>
          <w:lang w:val="fr-FR"/>
        </w:rPr>
        <w:t>Geophys Res Lett</w:t>
      </w:r>
      <w:r w:rsidRPr="00900285">
        <w:rPr>
          <w:lang w:val="fr-FR"/>
        </w:rPr>
        <w:t xml:space="preserve"> </w:t>
      </w:r>
      <w:hyperlink r:id="rId4" w:history="1">
        <w:r w:rsidRPr="00900285">
          <w:rPr>
            <w:rStyle w:val="Hipervnculo"/>
            <w:lang w:val="fr-FR"/>
          </w:rPr>
          <w:t>https://doi.org/10.1029/2025GL115256</w:t>
        </w:r>
      </w:hyperlink>
      <w:r w:rsidRPr="00900285">
        <w:rPr>
          <w:lang w:val="fr-FR"/>
        </w:rPr>
        <w:t xml:space="preserve">   </w:t>
      </w:r>
    </w:p>
  </w:footnote>
  <w:footnote w:id="5">
    <w:p w14:paraId="0E2A2DFE" w14:textId="77777777" w:rsidR="00314F93" w:rsidRDefault="00314F93" w:rsidP="00314F93">
      <w:pPr>
        <w:pStyle w:val="Textonotapie"/>
      </w:pPr>
      <w:r>
        <w:rPr>
          <w:rStyle w:val="Refdenotaalpie"/>
        </w:rPr>
        <w:footnoteRef/>
      </w:r>
      <w:r w:rsidRPr="00900285">
        <w:rPr>
          <w:lang w:val="fr-FR"/>
        </w:rPr>
        <w:t xml:space="preserve"> Chan et al. 2025. </w:t>
      </w:r>
      <w:r w:rsidRPr="002D3CE9">
        <w:rPr>
          <w:i/>
          <w:iCs/>
        </w:rPr>
        <w:t>Geophys Res Lett</w:t>
      </w:r>
      <w:r w:rsidRPr="002D3CE9">
        <w:t xml:space="preserve"> </w:t>
      </w:r>
      <w:hyperlink r:id="rId5" w:history="1">
        <w:r w:rsidRPr="002D3CE9">
          <w:rPr>
            <w:rStyle w:val="Hipervnculo"/>
          </w:rPr>
          <w:t>https://doi.org/10.1029/2025GL116688</w:t>
        </w:r>
      </w:hyperlink>
    </w:p>
  </w:footnote>
  <w:footnote w:id="6">
    <w:p w14:paraId="0333218C" w14:textId="77777777" w:rsidR="00314F93" w:rsidRDefault="00314F93" w:rsidP="00314F93">
      <w:pPr>
        <w:pStyle w:val="Textonotapie"/>
      </w:pPr>
      <w:r>
        <w:rPr>
          <w:rStyle w:val="Refdenotaalpie"/>
        </w:rPr>
        <w:footnoteRef/>
      </w:r>
      <w:r>
        <w:t xml:space="preserve"> </w:t>
      </w:r>
      <w:r w:rsidRPr="003C43B5">
        <w:t xml:space="preserve">Purich &amp; Doddridge. 2023. </w:t>
      </w:r>
      <w:r w:rsidRPr="003C43B5">
        <w:rPr>
          <w:i/>
        </w:rPr>
        <w:t>Comms Earth Environ</w:t>
      </w:r>
      <w:r w:rsidRPr="003C43B5">
        <w:t xml:space="preserve"> </w:t>
      </w:r>
      <w:hyperlink r:id="rId6">
        <w:r w:rsidRPr="003C43B5">
          <w:rPr>
            <w:rStyle w:val="Hipervnculo"/>
          </w:rPr>
          <w:t>https://doi.org/10.1038/s43247-023-00961-9</w:t>
        </w:r>
      </w:hyperlink>
    </w:p>
  </w:footnote>
  <w:footnote w:id="7">
    <w:p w14:paraId="5B9ABB25" w14:textId="77777777" w:rsidR="00314F93" w:rsidRPr="00900285" w:rsidRDefault="00314F93" w:rsidP="00314F93">
      <w:pPr>
        <w:pStyle w:val="Textonotapie"/>
        <w:rPr>
          <w:lang w:val="fr-FR"/>
        </w:rPr>
      </w:pPr>
      <w:r>
        <w:rPr>
          <w:rStyle w:val="Refdenotaalpie"/>
        </w:rPr>
        <w:footnoteRef/>
      </w:r>
      <w:r w:rsidRPr="00900285">
        <w:rPr>
          <w:lang w:val="fr-FR"/>
        </w:rPr>
        <w:t xml:space="preserve"> Boehm. </w:t>
      </w:r>
      <w:r w:rsidRPr="00900285">
        <w:rPr>
          <w:lang w:val="fr-FR"/>
        </w:rPr>
        <w:t xml:space="preserve">et al. 2025. </w:t>
      </w:r>
      <w:r w:rsidRPr="00900285">
        <w:rPr>
          <w:i/>
          <w:lang w:val="fr-FR"/>
        </w:rPr>
        <w:t>Comms Earth Environ</w:t>
      </w:r>
      <w:r w:rsidRPr="00900285">
        <w:rPr>
          <w:iCs/>
          <w:lang w:val="fr-FR"/>
        </w:rPr>
        <w:t xml:space="preserve"> </w:t>
      </w:r>
      <w:hyperlink r:id="rId7" w:history="1">
        <w:r w:rsidRPr="00900285">
          <w:rPr>
            <w:rStyle w:val="Hipervnculo"/>
            <w:lang w:val="fr-FR"/>
          </w:rPr>
          <w:t>https://doi.org/10.1038/s43247-025-02792-2</w:t>
        </w:r>
      </w:hyperlink>
    </w:p>
  </w:footnote>
  <w:footnote w:id="8">
    <w:p w14:paraId="5A0A58A1" w14:textId="77777777" w:rsidR="00314F93" w:rsidRPr="00900285" w:rsidRDefault="00314F93" w:rsidP="00314F93">
      <w:pPr>
        <w:pStyle w:val="Textonotapie"/>
        <w:rPr>
          <w:lang w:val="it-IT"/>
        </w:rPr>
      </w:pPr>
      <w:r>
        <w:rPr>
          <w:rStyle w:val="Refdenotaalpie"/>
        </w:rPr>
        <w:footnoteRef/>
      </w:r>
      <w:r w:rsidRPr="00900285">
        <w:rPr>
          <w:lang w:val="fr-FR"/>
        </w:rPr>
        <w:t xml:space="preserve"> Struve, T. et al. 2026. </w:t>
      </w:r>
      <w:r w:rsidRPr="00900285">
        <w:rPr>
          <w:i/>
          <w:iCs/>
          <w:lang w:val="it-IT"/>
        </w:rPr>
        <w:t>Nature Geosci</w:t>
      </w:r>
      <w:r w:rsidRPr="00900285">
        <w:rPr>
          <w:lang w:val="it-IT"/>
        </w:rPr>
        <w:t xml:space="preserve"> </w:t>
      </w:r>
      <w:hyperlink r:id="rId8" w:history="1">
        <w:r w:rsidRPr="00900285">
          <w:rPr>
            <w:rStyle w:val="Hipervnculo"/>
            <w:lang w:val="it-IT"/>
          </w:rPr>
          <w:t>https://doi.org/10.1038/s41561-025-01911-0</w:t>
        </w:r>
      </w:hyperlink>
    </w:p>
  </w:footnote>
  <w:footnote w:id="9">
    <w:p w14:paraId="59F6EF54" w14:textId="77777777" w:rsidR="00314F93" w:rsidRPr="00900285" w:rsidRDefault="00314F93" w:rsidP="00314F93">
      <w:pPr>
        <w:pStyle w:val="Textonotapie"/>
        <w:rPr>
          <w:lang w:val="fr-FR"/>
        </w:rPr>
      </w:pPr>
      <w:r>
        <w:rPr>
          <w:rStyle w:val="Refdenotaalpie"/>
        </w:rPr>
        <w:footnoteRef/>
      </w:r>
      <w:r w:rsidRPr="00900285">
        <w:rPr>
          <w:lang w:val="fr-FR"/>
        </w:rPr>
        <w:t xml:space="preserve"> </w:t>
      </w:r>
      <w:r w:rsidRPr="00900285">
        <w:rPr>
          <w:lang w:val="fr-FR"/>
        </w:rPr>
        <w:t xml:space="preserve">DuVivier et al. 2026. </w:t>
      </w:r>
      <w:r w:rsidRPr="00900285">
        <w:rPr>
          <w:i/>
          <w:iCs/>
          <w:lang w:val="fr-FR"/>
        </w:rPr>
        <w:t>Nature Comms</w:t>
      </w:r>
      <w:r w:rsidRPr="00900285">
        <w:rPr>
          <w:lang w:val="fr-FR"/>
        </w:rPr>
        <w:t xml:space="preserve"> </w:t>
      </w:r>
      <w:hyperlink r:id="rId9" w:history="1">
        <w:r w:rsidRPr="00900285">
          <w:rPr>
            <w:rStyle w:val="Hipervnculo"/>
            <w:lang w:val="fr-FR"/>
          </w:rPr>
          <w:t>https://doi.org/10.1038/s41467-026-69011-0</w:t>
        </w:r>
      </w:hyperlink>
      <w:r w:rsidRPr="00900285">
        <w:rPr>
          <w:lang w:val="fr-FR"/>
        </w:rPr>
        <w:t xml:space="preserve"> </w:t>
      </w:r>
    </w:p>
  </w:footnote>
  <w:footnote w:id="10">
    <w:p w14:paraId="7148575C" w14:textId="77777777" w:rsidR="00314F93" w:rsidRDefault="00314F93" w:rsidP="00314F93">
      <w:pPr>
        <w:pStyle w:val="Textonotapie"/>
      </w:pPr>
      <w:r>
        <w:rPr>
          <w:rStyle w:val="Refdenotaalpie"/>
        </w:rPr>
        <w:footnoteRef/>
      </w:r>
      <w:r>
        <w:t xml:space="preserve"> </w:t>
      </w:r>
      <w:r w:rsidRPr="00996E3D">
        <w:t xml:space="preserve">Golledge et al. 2025. </w:t>
      </w:r>
      <w:r w:rsidRPr="00996E3D">
        <w:rPr>
          <w:i/>
          <w:iCs/>
        </w:rPr>
        <w:t>Nature Rev Earth Environ</w:t>
      </w:r>
      <w:r w:rsidRPr="00996E3D">
        <w:t xml:space="preserve"> </w:t>
      </w:r>
      <w:hyperlink r:id="rId10" w:history="1">
        <w:r w:rsidRPr="00996E3D">
          <w:rPr>
            <w:rStyle w:val="Hipervnculo"/>
          </w:rPr>
          <w:t>https://doi.org/10.1038/s43017-024-00634-x</w:t>
        </w:r>
      </w:hyperlink>
    </w:p>
  </w:footnote>
  <w:footnote w:id="11">
    <w:p w14:paraId="7F4C4932" w14:textId="77777777" w:rsidR="00314F93" w:rsidRPr="00900285" w:rsidRDefault="00314F93" w:rsidP="00314F93">
      <w:pPr>
        <w:pStyle w:val="Textonotapie"/>
        <w:rPr>
          <w:lang w:val="fr-FR"/>
        </w:rPr>
      </w:pPr>
      <w:r>
        <w:rPr>
          <w:rStyle w:val="Refdenotaalpie"/>
        </w:rPr>
        <w:footnoteRef/>
      </w:r>
      <w:r w:rsidRPr="00900285">
        <w:rPr>
          <w:lang w:val="fr-FR"/>
        </w:rPr>
        <w:t xml:space="preserve"> Tuckett et al. 2025. </w:t>
      </w:r>
      <w:r w:rsidRPr="00900285">
        <w:rPr>
          <w:i/>
          <w:iCs/>
          <w:lang w:val="fr-FR"/>
        </w:rPr>
        <w:t xml:space="preserve">Nature </w:t>
      </w:r>
      <w:r w:rsidRPr="00900285">
        <w:rPr>
          <w:i/>
          <w:iCs/>
          <w:lang w:val="fr-FR"/>
        </w:rPr>
        <w:t>Climate Change</w:t>
      </w:r>
      <w:r w:rsidRPr="00900285">
        <w:rPr>
          <w:b/>
          <w:bCs/>
          <w:lang w:val="fr-FR"/>
        </w:rPr>
        <w:t xml:space="preserve"> </w:t>
      </w:r>
      <w:hyperlink r:id="rId11" w:history="1">
        <w:r w:rsidRPr="00900285">
          <w:rPr>
            <w:rStyle w:val="Hipervnculo"/>
            <w:lang w:val="fr-FR"/>
          </w:rPr>
          <w:t>https://doi.org/10.1038/s41558-025-02363-5</w:t>
        </w:r>
      </w:hyperlink>
    </w:p>
  </w:footnote>
  <w:footnote w:id="12">
    <w:p w14:paraId="2CA10F35" w14:textId="77777777" w:rsidR="00314F93" w:rsidRPr="00900285" w:rsidRDefault="00314F93" w:rsidP="00314F93">
      <w:pPr>
        <w:pStyle w:val="Textonotapie"/>
        <w:rPr>
          <w:lang w:val="fr-FR"/>
        </w:rPr>
      </w:pPr>
      <w:r>
        <w:rPr>
          <w:rStyle w:val="Refdenotaalpie"/>
        </w:rPr>
        <w:footnoteRef/>
      </w:r>
      <w:r w:rsidRPr="00900285">
        <w:rPr>
          <w:lang w:val="fr-FR"/>
        </w:rPr>
        <w:t xml:space="preserve"> Jourdain et al. 2025. </w:t>
      </w:r>
      <w:r w:rsidRPr="00900285">
        <w:rPr>
          <w:i/>
          <w:iCs/>
          <w:lang w:val="fr-FR"/>
        </w:rPr>
        <w:t xml:space="preserve">The </w:t>
      </w:r>
      <w:r w:rsidRPr="00900285">
        <w:rPr>
          <w:i/>
          <w:iCs/>
          <w:lang w:val="fr-FR"/>
        </w:rPr>
        <w:t>Cryosphere</w:t>
      </w:r>
      <w:r w:rsidRPr="00900285">
        <w:rPr>
          <w:lang w:val="fr-FR"/>
        </w:rPr>
        <w:t xml:space="preserve"> </w:t>
      </w:r>
      <w:hyperlink r:id="rId12" w:history="1">
        <w:r w:rsidRPr="00900285">
          <w:rPr>
            <w:rStyle w:val="Hipervnculo"/>
            <w:lang w:val="fr-FR"/>
          </w:rPr>
          <w:t>https://doi.org/10.5194/tc-19-1641-2025</w:t>
        </w:r>
      </w:hyperlink>
    </w:p>
  </w:footnote>
  <w:footnote w:id="13">
    <w:p w14:paraId="39D12A76" w14:textId="77777777" w:rsidR="00314F93" w:rsidRPr="00900285" w:rsidRDefault="00314F93" w:rsidP="00314F93">
      <w:pPr>
        <w:pStyle w:val="Textonotapie"/>
        <w:rPr>
          <w:lang w:val="fr-FR"/>
        </w:rPr>
      </w:pPr>
      <w:r>
        <w:rPr>
          <w:rStyle w:val="Refdenotaalpie"/>
        </w:rPr>
        <w:footnoteRef/>
      </w:r>
      <w:r w:rsidRPr="00900285">
        <w:rPr>
          <w:lang w:val="fr-FR"/>
        </w:rPr>
        <w:t xml:space="preserve"> </w:t>
      </w:r>
      <w:r w:rsidRPr="00900285">
        <w:rPr>
          <w:lang w:val="fr-FR"/>
        </w:rPr>
        <w:t xml:space="preserve">Purich et al. 2026. </w:t>
      </w:r>
      <w:r w:rsidRPr="00900285">
        <w:rPr>
          <w:i/>
          <w:iCs/>
          <w:lang w:val="fr-FR"/>
        </w:rPr>
        <w:t>Nature Rev Earth Environ</w:t>
      </w:r>
      <w:r w:rsidRPr="00900285">
        <w:rPr>
          <w:lang w:val="fr-FR"/>
        </w:rPr>
        <w:t xml:space="preserve"> </w:t>
      </w:r>
      <w:hyperlink r:id="rId13" w:history="1">
        <w:r w:rsidRPr="00900285">
          <w:rPr>
            <w:rStyle w:val="Hipervnculo"/>
            <w:lang w:val="fr-FR"/>
          </w:rPr>
          <w:t>https://doi.org/10.1038/s43017-025-00746-y</w:t>
        </w:r>
      </w:hyperlink>
    </w:p>
  </w:footnote>
  <w:footnote w:id="14">
    <w:p w14:paraId="2856D247" w14:textId="77777777" w:rsidR="00314F93" w:rsidRPr="00900285" w:rsidRDefault="00314F93" w:rsidP="00314F93">
      <w:pPr>
        <w:pStyle w:val="Textonotapie"/>
        <w:rPr>
          <w:lang w:val="fr-FR"/>
        </w:rPr>
      </w:pPr>
      <w:r>
        <w:rPr>
          <w:rStyle w:val="Refdenotaalpie"/>
        </w:rPr>
        <w:footnoteRef/>
      </w:r>
      <w:r w:rsidRPr="00900285">
        <w:rPr>
          <w:lang w:val="fr-FR"/>
        </w:rPr>
        <w:t xml:space="preserve"> Zhang et al. 2025. </w:t>
      </w:r>
      <w:r w:rsidRPr="00900285">
        <w:rPr>
          <w:i/>
          <w:iCs/>
          <w:lang w:val="fr-FR"/>
        </w:rPr>
        <w:t xml:space="preserve">Science </w:t>
      </w:r>
      <w:r w:rsidRPr="00900285">
        <w:rPr>
          <w:i/>
          <w:iCs/>
          <w:lang w:val="fr-FR"/>
        </w:rPr>
        <w:t>Advances</w:t>
      </w:r>
      <w:r w:rsidRPr="00900285">
        <w:rPr>
          <w:lang w:val="fr-FR"/>
        </w:rPr>
        <w:t xml:space="preserve">  </w:t>
      </w:r>
      <w:hyperlink r:id="rId14" w:history="1">
        <w:r w:rsidRPr="00900285">
          <w:rPr>
            <w:rStyle w:val="Hipervnculo"/>
            <w:lang w:val="fr-FR"/>
          </w:rPr>
          <w:t>https://doi.org/10.1126/sciadv.aea0024</w:t>
        </w:r>
      </w:hyperlink>
    </w:p>
  </w:footnote>
  <w:footnote w:id="15">
    <w:p w14:paraId="25CDA65E" w14:textId="77777777" w:rsidR="00314F93" w:rsidRPr="00900285" w:rsidRDefault="00314F93" w:rsidP="00314F93">
      <w:pPr>
        <w:pStyle w:val="Textonotapie"/>
        <w:rPr>
          <w:lang w:val="fr-FR"/>
        </w:rPr>
      </w:pPr>
      <w:r>
        <w:rPr>
          <w:rStyle w:val="Refdenotaalpie"/>
        </w:rPr>
        <w:footnoteRef/>
      </w:r>
      <w:r w:rsidRPr="00900285">
        <w:rPr>
          <w:lang w:val="fr-FR"/>
        </w:rPr>
        <w:t xml:space="preserve"> Winkelman et al. 2026. </w:t>
      </w:r>
      <w:r w:rsidRPr="00900285">
        <w:rPr>
          <w:i/>
          <w:iCs/>
          <w:lang w:val="fr-FR"/>
        </w:rPr>
        <w:t xml:space="preserve">Nature </w:t>
      </w:r>
      <w:r w:rsidRPr="00900285">
        <w:rPr>
          <w:i/>
          <w:iCs/>
          <w:lang w:val="fr-FR"/>
        </w:rPr>
        <w:t>Climate Change</w:t>
      </w:r>
      <w:r w:rsidRPr="00900285">
        <w:rPr>
          <w:lang w:val="fr-FR"/>
        </w:rPr>
        <w:t xml:space="preserve"> </w:t>
      </w:r>
      <w:hyperlink r:id="rId15" w:history="1">
        <w:r w:rsidRPr="00900285">
          <w:rPr>
            <w:rStyle w:val="Hipervnculo"/>
            <w:lang w:val="fr-FR"/>
          </w:rPr>
          <w:t>https://doi.org/10.1038/s41558-025-02554-0</w:t>
        </w:r>
      </w:hyperlink>
    </w:p>
  </w:footnote>
  <w:footnote w:id="16">
    <w:p w14:paraId="5D741CF1" w14:textId="77777777" w:rsidR="00314F93" w:rsidRPr="00900285" w:rsidRDefault="00314F93" w:rsidP="00314F93">
      <w:pPr>
        <w:pStyle w:val="Textonotapie"/>
        <w:rPr>
          <w:lang w:val="it-IT"/>
        </w:rPr>
      </w:pPr>
      <w:r>
        <w:rPr>
          <w:rStyle w:val="Refdenotaalpie"/>
        </w:rPr>
        <w:footnoteRef/>
      </w:r>
      <w:r w:rsidRPr="00900285">
        <w:rPr>
          <w:lang w:val="fr-FR"/>
        </w:rPr>
        <w:t xml:space="preserve"> Ochwat et al. 2025.</w:t>
      </w:r>
      <w:r w:rsidRPr="00900285">
        <w:rPr>
          <w:b/>
          <w:bCs/>
          <w:lang w:val="fr-FR"/>
        </w:rPr>
        <w:t xml:space="preserve"> </w:t>
      </w:r>
      <w:r w:rsidRPr="00900285">
        <w:rPr>
          <w:i/>
          <w:iCs/>
          <w:lang w:val="it-IT"/>
        </w:rPr>
        <w:t>Nature Geosci</w:t>
      </w:r>
      <w:r w:rsidRPr="00900285">
        <w:rPr>
          <w:lang w:val="it-IT"/>
        </w:rPr>
        <w:t xml:space="preserve">. </w:t>
      </w:r>
      <w:hyperlink r:id="rId16" w:history="1">
        <w:r w:rsidRPr="00900285">
          <w:rPr>
            <w:rStyle w:val="Hipervnculo"/>
            <w:lang w:val="it-IT"/>
          </w:rPr>
          <w:t>https://doi.org/10.1038/s41561-025-01802-4</w:t>
        </w:r>
      </w:hyperlink>
    </w:p>
  </w:footnote>
  <w:footnote w:id="17">
    <w:p w14:paraId="4A873D9D" w14:textId="77777777" w:rsidR="00314F93" w:rsidRPr="00900285" w:rsidRDefault="00314F93" w:rsidP="00314F93">
      <w:pPr>
        <w:pStyle w:val="Textonotapie"/>
        <w:rPr>
          <w:lang w:val="fr-FR"/>
        </w:rPr>
      </w:pPr>
      <w:r>
        <w:rPr>
          <w:rStyle w:val="Refdenotaalpie"/>
        </w:rPr>
        <w:footnoteRef/>
      </w:r>
      <w:r w:rsidRPr="00900285">
        <w:rPr>
          <w:lang w:val="fr-FR"/>
        </w:rPr>
        <w:t xml:space="preserve"> Cui et al. 2025. </w:t>
      </w:r>
      <w:r w:rsidRPr="00900285">
        <w:rPr>
          <w:i/>
          <w:iCs/>
          <w:lang w:val="fr-FR"/>
        </w:rPr>
        <w:t>Marine Pollut Bull</w:t>
      </w:r>
      <w:r w:rsidRPr="00900285">
        <w:rPr>
          <w:lang w:val="fr-FR"/>
        </w:rPr>
        <w:t xml:space="preserve"> </w:t>
      </w:r>
      <w:hyperlink r:id="rId17" w:history="1">
        <w:r w:rsidRPr="00900285">
          <w:rPr>
            <w:rStyle w:val="Hipervnculo"/>
            <w:lang w:val="fr-FR"/>
          </w:rPr>
          <w:t>https://doi.org/10.106/j.marpolbul.2025.118142</w:t>
        </w:r>
      </w:hyperlink>
      <w:r w:rsidRPr="00900285">
        <w:rPr>
          <w:lang w:val="fr-FR"/>
        </w:rPr>
        <w:t xml:space="preserve"> </w:t>
      </w:r>
    </w:p>
  </w:footnote>
  <w:footnote w:id="18">
    <w:p w14:paraId="415397BC" w14:textId="77777777" w:rsidR="00314F93" w:rsidRPr="00900285" w:rsidRDefault="00314F93" w:rsidP="00314F93">
      <w:pPr>
        <w:pStyle w:val="Textonotapie"/>
        <w:rPr>
          <w:lang w:val="fr-FR"/>
        </w:rPr>
      </w:pPr>
      <w:r>
        <w:rPr>
          <w:rStyle w:val="Refdenotaalpie"/>
        </w:rPr>
        <w:footnoteRef/>
      </w:r>
      <w:r w:rsidRPr="00900285">
        <w:rPr>
          <w:lang w:val="fr-FR"/>
        </w:rPr>
        <w:t xml:space="preserve"> Dunn et al. 2025. </w:t>
      </w:r>
      <w:r w:rsidRPr="00900285">
        <w:rPr>
          <w:i/>
          <w:iCs/>
          <w:lang w:val="fr-FR"/>
        </w:rPr>
        <w:t>Global Change Biol</w:t>
      </w:r>
      <w:r w:rsidRPr="00900285">
        <w:rPr>
          <w:lang w:val="fr-FR"/>
        </w:rPr>
        <w:t xml:space="preserve"> </w:t>
      </w:r>
      <w:hyperlink r:id="rId18" w:history="1">
        <w:r w:rsidRPr="00900285">
          <w:rPr>
            <w:rStyle w:val="Hipervnculo"/>
            <w:lang w:val="fr-FR"/>
          </w:rPr>
          <w:t>https://doi.org/10.1111/gcb.70290</w:t>
        </w:r>
      </w:hyperlink>
      <w:r w:rsidRPr="00900285">
        <w:rPr>
          <w:lang w:val="fr-FR"/>
        </w:rPr>
        <w:t xml:space="preserve"> </w:t>
      </w:r>
    </w:p>
  </w:footnote>
  <w:footnote w:id="19">
    <w:p w14:paraId="3EF0F01F" w14:textId="77777777" w:rsidR="00314F93" w:rsidRDefault="00314F93" w:rsidP="00314F93">
      <w:pPr>
        <w:pStyle w:val="Textonotapie"/>
      </w:pPr>
      <w:r>
        <w:rPr>
          <w:rStyle w:val="Refdenotaalpie"/>
        </w:rPr>
        <w:footnoteRef/>
      </w:r>
      <w:r w:rsidRPr="00900285">
        <w:rPr>
          <w:lang w:val="fr-FR"/>
        </w:rPr>
        <w:t xml:space="preserve"> Charlton et al. 2026. </w:t>
      </w:r>
      <w:r w:rsidRPr="007C3DBA">
        <w:rPr>
          <w:i/>
          <w:iCs/>
        </w:rPr>
        <w:t>Scientific Rep</w:t>
      </w:r>
      <w:r w:rsidRPr="007C3DBA">
        <w:t xml:space="preserve"> </w:t>
      </w:r>
      <w:hyperlink r:id="rId19" w:history="1">
        <w:r w:rsidRPr="007C3DBA">
          <w:rPr>
            <w:rStyle w:val="Hipervnculo"/>
          </w:rPr>
          <w:t>https://doi.org/10.1038/s41598-026-36897-1</w:t>
        </w:r>
      </w:hyperlink>
    </w:p>
  </w:footnote>
  <w:footnote w:id="20">
    <w:p w14:paraId="3C38B386" w14:textId="77777777" w:rsidR="00314F93" w:rsidRPr="00900285" w:rsidRDefault="00314F93" w:rsidP="00314F93">
      <w:pPr>
        <w:pStyle w:val="Textonotapie"/>
        <w:rPr>
          <w:lang w:val="fr-FR"/>
        </w:rPr>
      </w:pPr>
      <w:r>
        <w:rPr>
          <w:rStyle w:val="Refdenotaalpie"/>
        </w:rPr>
        <w:footnoteRef/>
      </w:r>
      <w:r w:rsidRPr="00900285">
        <w:rPr>
          <w:lang w:val="fr-FR"/>
        </w:rPr>
        <w:t xml:space="preserve"> Bamford et al. 2025. </w:t>
      </w:r>
      <w:r w:rsidRPr="00900285">
        <w:rPr>
          <w:i/>
          <w:iCs/>
          <w:lang w:val="fr-FR"/>
        </w:rPr>
        <w:t>Comms Biol</w:t>
      </w:r>
      <w:r w:rsidRPr="00900285">
        <w:rPr>
          <w:lang w:val="fr-FR"/>
        </w:rPr>
        <w:t xml:space="preserve"> </w:t>
      </w:r>
      <w:hyperlink r:id="rId20" w:history="1">
        <w:r w:rsidRPr="00900285">
          <w:rPr>
            <w:rStyle w:val="Hipervnculo"/>
            <w:lang w:val="fr-FR"/>
          </w:rPr>
          <w:t>https://doi.org/10.1038/s42003-025-09014-7</w:t>
        </w:r>
      </w:hyperlink>
      <w:r w:rsidRPr="00900285">
        <w:rPr>
          <w:lang w:val="fr-FR"/>
        </w:rPr>
        <w:t xml:space="preserve"> </w:t>
      </w:r>
    </w:p>
  </w:footnote>
  <w:footnote w:id="21">
    <w:p w14:paraId="664BE27C" w14:textId="77777777" w:rsidR="00314F93" w:rsidRPr="00900285" w:rsidRDefault="00314F93" w:rsidP="00314F93">
      <w:pPr>
        <w:pStyle w:val="Textonotapie"/>
        <w:rPr>
          <w:lang w:val="fr-FR"/>
        </w:rPr>
      </w:pPr>
      <w:r>
        <w:rPr>
          <w:rStyle w:val="Refdenotaalpie"/>
        </w:rPr>
        <w:footnoteRef/>
      </w:r>
      <w:r w:rsidRPr="00900285">
        <w:rPr>
          <w:lang w:val="fr-FR"/>
        </w:rPr>
        <w:t xml:space="preserve"> </w:t>
      </w:r>
      <w:r w:rsidRPr="00900285">
        <w:rPr>
          <w:bCs/>
          <w:lang w:val="fr-FR"/>
        </w:rPr>
        <w:t xml:space="preserve">Martinez et al. 2026. </w:t>
      </w:r>
      <w:r w:rsidRPr="00900285">
        <w:rPr>
          <w:i/>
          <w:iCs/>
          <w:lang w:val="fr-FR"/>
        </w:rPr>
        <w:t xml:space="preserve">J Animal </w:t>
      </w:r>
      <w:r w:rsidRPr="00900285">
        <w:rPr>
          <w:i/>
          <w:iCs/>
          <w:lang w:val="fr-FR"/>
        </w:rPr>
        <w:t>Ecol</w:t>
      </w:r>
      <w:r w:rsidRPr="00900285">
        <w:rPr>
          <w:lang w:val="fr-FR"/>
        </w:rPr>
        <w:t xml:space="preserve"> </w:t>
      </w:r>
      <w:hyperlink r:id="rId21" w:history="1">
        <w:r w:rsidRPr="00900285">
          <w:rPr>
            <w:rStyle w:val="Hipervnculo"/>
            <w:lang w:val="fr-FR"/>
          </w:rPr>
          <w:t>https://doi.org/10.1111%2F1365-2656.70201</w:t>
        </w:r>
      </w:hyperlink>
      <w:r w:rsidRPr="00900285">
        <w:rPr>
          <w:lang w:val="fr-FR"/>
        </w:rPr>
        <w:t xml:space="preserve"> </w:t>
      </w:r>
    </w:p>
  </w:footnote>
  <w:footnote w:id="22">
    <w:p w14:paraId="083CA1D7" w14:textId="77777777" w:rsidR="00314F93" w:rsidRPr="00900285" w:rsidRDefault="00314F93" w:rsidP="00314F93">
      <w:pPr>
        <w:pStyle w:val="Textonotapie"/>
        <w:rPr>
          <w:lang w:val="fr-FR"/>
        </w:rPr>
      </w:pPr>
      <w:r>
        <w:rPr>
          <w:rStyle w:val="Refdenotaalpie"/>
        </w:rPr>
        <w:footnoteRef/>
      </w:r>
      <w:r w:rsidRPr="00900285">
        <w:rPr>
          <w:lang w:val="fr-FR"/>
        </w:rPr>
        <w:t xml:space="preserve"> Götz et al. 2025. </w:t>
      </w:r>
      <w:r w:rsidRPr="00900285">
        <w:rPr>
          <w:i/>
          <w:iCs/>
          <w:lang w:val="fr-FR"/>
        </w:rPr>
        <w:t xml:space="preserve">Global Change Biol </w:t>
      </w:r>
      <w:r w:rsidRPr="00900285">
        <w:rPr>
          <w:i/>
          <w:iCs/>
          <w:lang w:val="fr-FR"/>
        </w:rPr>
        <w:t>Comms</w:t>
      </w:r>
      <w:r w:rsidRPr="00900285">
        <w:rPr>
          <w:lang w:val="fr-FR"/>
        </w:rPr>
        <w:t xml:space="preserve">  </w:t>
      </w:r>
      <w:hyperlink r:id="rId22" w:history="1">
        <w:r w:rsidRPr="00900285">
          <w:rPr>
            <w:rStyle w:val="Hipervnculo"/>
            <w:lang w:val="fr-FR"/>
          </w:rPr>
          <w:t>https://doi.org/10.1002/gcb4.70000</w:t>
        </w:r>
      </w:hyperlink>
      <w:r w:rsidRPr="00900285">
        <w:rPr>
          <w:lang w:val="fr-FR"/>
        </w:rPr>
        <w:t xml:space="preserve"> </w:t>
      </w:r>
    </w:p>
  </w:footnote>
  <w:footnote w:id="23">
    <w:p w14:paraId="19197313" w14:textId="77777777" w:rsidR="00314F93" w:rsidRPr="00900285" w:rsidRDefault="00314F93" w:rsidP="00314F93">
      <w:pPr>
        <w:pStyle w:val="Textonotapie"/>
        <w:rPr>
          <w:lang w:val="fr-FR"/>
        </w:rPr>
      </w:pPr>
      <w:r>
        <w:rPr>
          <w:rStyle w:val="Refdenotaalpie"/>
        </w:rPr>
        <w:footnoteRef/>
      </w:r>
      <w:r w:rsidRPr="00900285">
        <w:rPr>
          <w:lang w:val="fr-FR"/>
        </w:rPr>
        <w:t xml:space="preserve"> </w:t>
      </w:r>
      <w:r w:rsidRPr="00900285">
        <w:rPr>
          <w:lang w:val="fr-FR"/>
        </w:rPr>
        <w:t xml:space="preserve">Klarenberg et al. 2026. </w:t>
      </w:r>
      <w:r w:rsidRPr="00900285">
        <w:rPr>
          <w:i/>
          <w:iCs/>
          <w:lang w:val="fr-FR"/>
        </w:rPr>
        <w:t>Ecography</w:t>
      </w:r>
      <w:r w:rsidRPr="00900285">
        <w:rPr>
          <w:lang w:val="fr-FR"/>
        </w:rPr>
        <w:t xml:space="preserve">  </w:t>
      </w:r>
      <w:hyperlink r:id="rId23" w:history="1">
        <w:r w:rsidRPr="00900285">
          <w:rPr>
            <w:rStyle w:val="Hipervnculo"/>
            <w:lang w:val="fr-FR"/>
          </w:rPr>
          <w:t>https://doi.org/10.1002/ecog.08175</w:t>
        </w:r>
      </w:hyperlink>
    </w:p>
  </w:footnote>
  <w:footnote w:id="24">
    <w:p w14:paraId="00605BB3" w14:textId="77777777" w:rsidR="00314F93" w:rsidRDefault="00314F93" w:rsidP="00314F93">
      <w:pPr>
        <w:pStyle w:val="Textonotapie"/>
      </w:pPr>
      <w:r>
        <w:rPr>
          <w:rStyle w:val="Refdenotaalpie"/>
        </w:rPr>
        <w:footnoteRef/>
      </w:r>
      <w:r>
        <w:t xml:space="preserve"> </w:t>
      </w:r>
      <w:r w:rsidRPr="00E93335">
        <w:t xml:space="preserve">McGeoch et al. 2026. </w:t>
      </w:r>
      <w:r w:rsidRPr="00E93335">
        <w:rPr>
          <w:i/>
          <w:iCs/>
        </w:rPr>
        <w:t xml:space="preserve">Nature Rev </w:t>
      </w:r>
      <w:r w:rsidRPr="00E93335">
        <w:rPr>
          <w:i/>
          <w:iCs/>
        </w:rPr>
        <w:t>Biodivers</w:t>
      </w:r>
      <w:r w:rsidRPr="00E93335">
        <w:t xml:space="preserve"> </w:t>
      </w:r>
      <w:hyperlink r:id="rId24" w:history="1">
        <w:r w:rsidRPr="00E93335">
          <w:rPr>
            <w:rStyle w:val="Hipervnculo"/>
          </w:rPr>
          <w:t>https://doi.org/10.1038/s44358-025-00113-1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272" w:type="dxa"/>
      <w:jc w:val="center"/>
      <w:tblLook w:val="01E0" w:firstRow="1" w:lastRow="1" w:firstColumn="1" w:lastColumn="1" w:noHBand="0" w:noVBand="0"/>
    </w:tblPr>
    <w:tblGrid>
      <w:gridCol w:w="5495"/>
      <w:gridCol w:w="3005"/>
      <w:gridCol w:w="1248"/>
      <w:gridCol w:w="1134"/>
      <w:gridCol w:w="390"/>
    </w:tblGrid>
    <w:tr w:rsidR="00F3706E" w14:paraId="748B8A7C" w14:textId="77777777" w:rsidTr="002E12EC">
      <w:trPr>
        <w:trHeight w:val="344"/>
        <w:jc w:val="center"/>
      </w:trPr>
      <w:tc>
        <w:tcPr>
          <w:tcW w:w="5495" w:type="dxa"/>
        </w:tcPr>
        <w:p w14:paraId="1C006CC5" w14:textId="77777777" w:rsidR="00F24B0D" w:rsidRDefault="00F24B0D" w:rsidP="00F968D4">
          <w:bookmarkStart w:id="2" w:name="_Hlk218605822"/>
        </w:p>
      </w:tc>
      <w:tc>
        <w:tcPr>
          <w:tcW w:w="4253" w:type="dxa"/>
          <w:gridSpan w:val="2"/>
        </w:tcPr>
        <w:p w14:paraId="57598214" w14:textId="77777777" w:rsidR="00F24B0D" w:rsidRPr="00BD47E4" w:rsidRDefault="00F24B0D" w:rsidP="002A07BC">
          <w:pPr>
            <w:jc w:val="right"/>
            <w:rPr>
              <w:b/>
              <w:sz w:val="32"/>
              <w:szCs w:val="32"/>
            </w:rPr>
          </w:pPr>
          <w:bookmarkStart w:id="3" w:name="type"/>
          <w:r w:rsidRPr="00BD47E4">
            <w:rPr>
              <w:b/>
              <w:sz w:val="32"/>
              <w:szCs w:val="32"/>
            </w:rPr>
            <w:t>WP</w:t>
          </w:r>
          <w:bookmarkEnd w:id="3"/>
        </w:p>
      </w:tc>
      <w:tc>
        <w:tcPr>
          <w:tcW w:w="1524" w:type="dxa"/>
          <w:gridSpan w:val="2"/>
        </w:tcPr>
        <w:p w14:paraId="1FE0222B" w14:textId="77777777" w:rsidR="00F24B0D" w:rsidRPr="00BD47E4" w:rsidRDefault="00F24B0D" w:rsidP="00DB7C09">
          <w:pPr>
            <w:rPr>
              <w:b/>
              <w:sz w:val="32"/>
              <w:szCs w:val="32"/>
            </w:rPr>
          </w:pPr>
          <w:bookmarkStart w:id="4" w:name="number"/>
          <w:r w:rsidRPr="00BD47E4">
            <w:rPr>
              <w:b/>
              <w:sz w:val="32"/>
              <w:szCs w:val="32"/>
            </w:rPr>
            <w:t>31</w:t>
          </w:r>
          <w:bookmarkEnd w:id="4"/>
        </w:p>
      </w:tc>
    </w:tr>
    <w:tr w:rsidR="00F3706E" w14:paraId="7B229DA6" w14:textId="77777777" w:rsidTr="002E12EC">
      <w:trPr>
        <w:trHeight w:val="2165"/>
        <w:jc w:val="center"/>
      </w:trPr>
      <w:tc>
        <w:tcPr>
          <w:tcW w:w="5495" w:type="dxa"/>
        </w:tcPr>
        <w:p w14:paraId="284CA019" w14:textId="77777777" w:rsidR="00F24B0D" w:rsidRPr="00EE4D48" w:rsidRDefault="00F24B0D" w:rsidP="002A07BC">
          <w:pPr>
            <w:rPr>
              <w:b/>
              <w:sz w:val="28"/>
              <w:szCs w:val="28"/>
            </w:rPr>
          </w:pPr>
          <w:r>
            <w:rPr>
              <w:b/>
              <w:noProof/>
              <w:sz w:val="28"/>
              <w:szCs w:val="28"/>
            </w:rPr>
            <w:drawing>
              <wp:anchor distT="0" distB="0" distL="114300" distR="114300" simplePos="0" relativeHeight="251658240" behindDoc="1" locked="0" layoutInCell="1" allowOverlap="1" wp14:anchorId="0C42D11B" wp14:editId="7A5CAED4">
                <wp:simplePos x="0" y="0"/>
                <wp:positionH relativeFrom="column">
                  <wp:posOffset>0</wp:posOffset>
                </wp:positionH>
                <wp:positionV relativeFrom="paragraph">
                  <wp:posOffset>3810</wp:posOffset>
                </wp:positionV>
                <wp:extent cx="3218688" cy="1839250"/>
                <wp:effectExtent l="0" t="0" r="1270" b="8890"/>
                <wp:wrapNone/>
                <wp:docPr id="20325777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975104"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242528" cy="1852873"/>
                        </a:xfrm>
                        <a:prstGeom prst="rect">
                          <a:avLst/>
                        </a:prstGeom>
                      </pic:spPr>
                    </pic:pic>
                  </a:graphicData>
                </a:graphic>
                <wp14:sizeRelH relativeFrom="margin">
                  <wp14:pctWidth>0</wp14:pctWidth>
                </wp14:sizeRelH>
                <wp14:sizeRelV relativeFrom="margin">
                  <wp14:pctHeight>0</wp14:pctHeight>
                </wp14:sizeRelV>
              </wp:anchor>
            </w:drawing>
          </w:r>
        </w:p>
      </w:tc>
      <w:tc>
        <w:tcPr>
          <w:tcW w:w="5777" w:type="dxa"/>
          <w:gridSpan w:val="4"/>
          <w:vAlign w:val="center"/>
        </w:tcPr>
        <w:p w14:paraId="1EA6AC09" w14:textId="77777777" w:rsidR="00F24B0D" w:rsidRPr="00FE5146" w:rsidRDefault="00F24B0D" w:rsidP="00490760">
          <w:pPr>
            <w:jc w:val="right"/>
            <w:rPr>
              <w:sz w:val="144"/>
              <w:szCs w:val="144"/>
            </w:rPr>
          </w:pPr>
          <w:r w:rsidRPr="00FE5146">
            <w:rPr>
              <w:sz w:val="144"/>
              <w:szCs w:val="144"/>
            </w:rPr>
            <w:t>ENG</w:t>
          </w:r>
        </w:p>
      </w:tc>
    </w:tr>
    <w:tr w:rsidR="00F3706E" w14:paraId="137ECD6C" w14:textId="77777777" w:rsidTr="002E12EC">
      <w:trPr>
        <w:trHeight w:val="409"/>
        <w:jc w:val="center"/>
      </w:trPr>
      <w:tc>
        <w:tcPr>
          <w:tcW w:w="8500" w:type="dxa"/>
          <w:gridSpan w:val="2"/>
        </w:tcPr>
        <w:p w14:paraId="7A06D4F9" w14:textId="77777777" w:rsidR="00F24B0D" w:rsidRDefault="00F24B0D" w:rsidP="002C30DA">
          <w:pPr>
            <w:jc w:val="right"/>
          </w:pPr>
          <w:r>
            <w:t>Agenda Item:</w:t>
          </w:r>
        </w:p>
      </w:tc>
      <w:tc>
        <w:tcPr>
          <w:tcW w:w="2382" w:type="dxa"/>
          <w:gridSpan w:val="2"/>
        </w:tcPr>
        <w:p w14:paraId="73255568" w14:textId="77777777" w:rsidR="00F24B0D" w:rsidRDefault="00F24B0D" w:rsidP="002C30DA">
          <w:pPr>
            <w:jc w:val="right"/>
          </w:pPr>
          <w:bookmarkStart w:id="5" w:name="agenda"/>
          <w:r>
            <w:t>ATCM 16, CEP 9b</w:t>
          </w:r>
          <w:bookmarkEnd w:id="5"/>
        </w:p>
      </w:tc>
      <w:tc>
        <w:tcPr>
          <w:tcW w:w="390" w:type="dxa"/>
        </w:tcPr>
        <w:p w14:paraId="7A4A67D8" w14:textId="77777777" w:rsidR="00F24B0D" w:rsidRDefault="00F24B0D" w:rsidP="00387A65">
          <w:pPr>
            <w:jc w:val="right"/>
          </w:pPr>
        </w:p>
      </w:tc>
    </w:tr>
    <w:tr w:rsidR="00F3706E" w14:paraId="08319FC7" w14:textId="77777777" w:rsidTr="002E12EC">
      <w:trPr>
        <w:trHeight w:val="397"/>
        <w:jc w:val="center"/>
      </w:trPr>
      <w:tc>
        <w:tcPr>
          <w:tcW w:w="8500" w:type="dxa"/>
          <w:gridSpan w:val="2"/>
        </w:tcPr>
        <w:p w14:paraId="029B56C5" w14:textId="77777777" w:rsidR="00F24B0D" w:rsidRDefault="00F24B0D" w:rsidP="002C30DA">
          <w:pPr>
            <w:jc w:val="right"/>
          </w:pPr>
          <w:r>
            <w:t>Presented by:</w:t>
          </w:r>
        </w:p>
      </w:tc>
      <w:tc>
        <w:tcPr>
          <w:tcW w:w="2382" w:type="dxa"/>
          <w:gridSpan w:val="2"/>
        </w:tcPr>
        <w:p w14:paraId="1C5C6F54" w14:textId="77777777" w:rsidR="00F24B0D" w:rsidRDefault="00F24B0D" w:rsidP="002C30DA">
          <w:pPr>
            <w:jc w:val="right"/>
          </w:pPr>
          <w:bookmarkStart w:id="6" w:name="party"/>
          <w:r>
            <w:t>SCAR</w:t>
          </w:r>
          <w:bookmarkEnd w:id="6"/>
        </w:p>
      </w:tc>
      <w:tc>
        <w:tcPr>
          <w:tcW w:w="390" w:type="dxa"/>
        </w:tcPr>
        <w:p w14:paraId="21279FFE" w14:textId="77777777" w:rsidR="00F24B0D" w:rsidRDefault="00F24B0D" w:rsidP="00387A65">
          <w:pPr>
            <w:jc w:val="right"/>
          </w:pPr>
        </w:p>
      </w:tc>
    </w:tr>
    <w:tr w:rsidR="00F3706E" w14:paraId="1BD66EA4" w14:textId="77777777" w:rsidTr="002E12EC">
      <w:trPr>
        <w:trHeight w:val="409"/>
        <w:jc w:val="center"/>
      </w:trPr>
      <w:tc>
        <w:tcPr>
          <w:tcW w:w="8500" w:type="dxa"/>
          <w:gridSpan w:val="2"/>
        </w:tcPr>
        <w:p w14:paraId="72CB5A39" w14:textId="77777777" w:rsidR="00F24B0D" w:rsidRDefault="00F24B0D" w:rsidP="002C30DA">
          <w:pPr>
            <w:jc w:val="right"/>
          </w:pPr>
          <w:r>
            <w:t>Original:</w:t>
          </w:r>
        </w:p>
      </w:tc>
      <w:tc>
        <w:tcPr>
          <w:tcW w:w="2382" w:type="dxa"/>
          <w:gridSpan w:val="2"/>
        </w:tcPr>
        <w:p w14:paraId="7E51411A" w14:textId="77777777" w:rsidR="00F24B0D" w:rsidRDefault="00F24B0D" w:rsidP="002C30DA">
          <w:pPr>
            <w:jc w:val="right"/>
          </w:pPr>
          <w:bookmarkStart w:id="7" w:name="language"/>
          <w:r>
            <w:t>English</w:t>
          </w:r>
          <w:bookmarkEnd w:id="7"/>
        </w:p>
      </w:tc>
      <w:tc>
        <w:tcPr>
          <w:tcW w:w="390" w:type="dxa"/>
        </w:tcPr>
        <w:p w14:paraId="0E3B8127" w14:textId="77777777" w:rsidR="00F24B0D" w:rsidRDefault="00F24B0D" w:rsidP="00387A65">
          <w:pPr>
            <w:jc w:val="right"/>
          </w:pPr>
        </w:p>
      </w:tc>
    </w:tr>
    <w:tr w:rsidR="00F3706E" w14:paraId="0FDD6DEE" w14:textId="77777777" w:rsidTr="002E12EC">
      <w:trPr>
        <w:trHeight w:val="409"/>
        <w:jc w:val="center"/>
      </w:trPr>
      <w:tc>
        <w:tcPr>
          <w:tcW w:w="8500" w:type="dxa"/>
          <w:gridSpan w:val="2"/>
        </w:tcPr>
        <w:p w14:paraId="0C5F4945" w14:textId="77777777" w:rsidR="00F24B0D" w:rsidRDefault="00F24B0D" w:rsidP="0002555C">
          <w:pPr>
            <w:jc w:val="right"/>
          </w:pPr>
          <w:r>
            <w:t>Submitted:</w:t>
          </w:r>
        </w:p>
      </w:tc>
      <w:tc>
        <w:tcPr>
          <w:tcW w:w="2382" w:type="dxa"/>
          <w:gridSpan w:val="2"/>
        </w:tcPr>
        <w:p w14:paraId="3E8A9EAE" w14:textId="77777777" w:rsidR="00F24B0D" w:rsidRDefault="00F24B0D" w:rsidP="0002555C">
          <w:pPr>
            <w:jc w:val="right"/>
          </w:pPr>
          <w:bookmarkStart w:id="8" w:name="date_submission"/>
          <w:r>
            <w:t>27 Mar 2026</w:t>
          </w:r>
          <w:bookmarkEnd w:id="8"/>
        </w:p>
      </w:tc>
      <w:tc>
        <w:tcPr>
          <w:tcW w:w="390" w:type="dxa"/>
        </w:tcPr>
        <w:p w14:paraId="66F63F0B" w14:textId="77777777" w:rsidR="00F24B0D" w:rsidRDefault="00F24B0D" w:rsidP="0002555C">
          <w:pPr>
            <w:jc w:val="right"/>
          </w:pPr>
        </w:p>
      </w:tc>
    </w:tr>
    <w:tr w:rsidR="00F3706E" w14:paraId="51929C05" w14:textId="77777777" w:rsidTr="0002555C">
      <w:trPr>
        <w:trHeight w:val="409"/>
        <w:jc w:val="center"/>
      </w:trPr>
      <w:tc>
        <w:tcPr>
          <w:tcW w:w="8500" w:type="dxa"/>
          <w:gridSpan w:val="2"/>
        </w:tcPr>
        <w:p w14:paraId="3CCEEA46" w14:textId="77777777" w:rsidR="00F24B0D" w:rsidRDefault="00F24B0D" w:rsidP="0002555C">
          <w:pPr>
            <w:jc w:val="right"/>
          </w:pPr>
          <w:r>
            <w:t>Revision:</w:t>
          </w:r>
        </w:p>
      </w:tc>
      <w:tc>
        <w:tcPr>
          <w:tcW w:w="2382" w:type="dxa"/>
          <w:gridSpan w:val="2"/>
        </w:tcPr>
        <w:p w14:paraId="68FE5CB7" w14:textId="77777777" w:rsidR="00F24B0D" w:rsidRDefault="00F24B0D" w:rsidP="0002555C">
          <w:pPr>
            <w:jc w:val="right"/>
          </w:pPr>
          <w:bookmarkStart w:id="9" w:name="date_revision"/>
          <w:r>
            <w:t>---</w:t>
          </w:r>
          <w:bookmarkEnd w:id="9"/>
        </w:p>
      </w:tc>
      <w:tc>
        <w:tcPr>
          <w:tcW w:w="390" w:type="dxa"/>
        </w:tcPr>
        <w:p w14:paraId="0137B7CB" w14:textId="77777777" w:rsidR="00F24B0D" w:rsidRDefault="00F24B0D" w:rsidP="0002555C">
          <w:pPr>
            <w:jc w:val="right"/>
          </w:pPr>
        </w:p>
      </w:tc>
    </w:tr>
    <w:bookmarkEnd w:id="2"/>
  </w:tbl>
  <w:p w14:paraId="00784B48" w14:textId="77777777" w:rsidR="00F24B0D" w:rsidRDefault="00F24B0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6" w:type="dxa"/>
      <w:jc w:val="center"/>
      <w:tblLook w:val="01E0" w:firstRow="1" w:lastRow="1" w:firstColumn="1" w:lastColumn="1" w:noHBand="0" w:noVBand="0"/>
    </w:tblPr>
    <w:tblGrid>
      <w:gridCol w:w="9694"/>
      <w:gridCol w:w="1332"/>
    </w:tblGrid>
    <w:tr w:rsidR="00314F93" w14:paraId="4C3C7961" w14:textId="77777777">
      <w:trPr>
        <w:trHeight w:val="354"/>
        <w:jc w:val="center"/>
      </w:trPr>
      <w:tc>
        <w:tcPr>
          <w:tcW w:w="9694" w:type="dxa"/>
        </w:tcPr>
        <w:p w14:paraId="0BAA938F" w14:textId="77777777" w:rsidR="00314F93" w:rsidRPr="00BD47E4" w:rsidRDefault="00314F93" w:rsidP="00C26F2D">
          <w:pPr>
            <w:jc w:val="right"/>
            <w:rPr>
              <w:b/>
              <w:sz w:val="32"/>
              <w:szCs w:val="32"/>
            </w:rPr>
          </w:pPr>
          <w:r>
            <w:rPr>
              <w:b/>
              <w:sz w:val="32"/>
              <w:szCs w:val="32"/>
            </w:rPr>
            <w:t>WP</w:t>
          </w:r>
        </w:p>
      </w:tc>
      <w:tc>
        <w:tcPr>
          <w:tcW w:w="1332" w:type="dxa"/>
        </w:tcPr>
        <w:p w14:paraId="29EB8AE7" w14:textId="0C9E46D5" w:rsidR="00314F93" w:rsidRPr="00BD47E4" w:rsidRDefault="00314F93" w:rsidP="00080F4C">
          <w:pPr>
            <w:rPr>
              <w:b/>
              <w:sz w:val="32"/>
              <w:szCs w:val="32"/>
            </w:rPr>
          </w:pPr>
          <w:r>
            <w:rPr>
              <w:b/>
              <w:sz w:val="32"/>
              <w:szCs w:val="32"/>
            </w:rPr>
            <w:t>31</w:t>
          </w:r>
        </w:p>
      </w:tc>
    </w:tr>
  </w:tbl>
  <w:p w14:paraId="4709550B" w14:textId="77777777" w:rsidR="00314F93" w:rsidRDefault="00314F93"/>
  <w:p w14:paraId="4C105E36" w14:textId="77777777" w:rsidR="00314F93" w:rsidRDefault="00314F93"/>
  <w:p w14:paraId="2AFB27F1" w14:textId="77777777" w:rsidR="00314F93" w:rsidRDefault="00314F93"/>
  <w:p w14:paraId="003818BA" w14:textId="77777777" w:rsidR="00314F93" w:rsidRDefault="00314F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04498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E0EC7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B63ED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9D2F98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114CC6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E141F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DA27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982BAE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6C1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DCC03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F9465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86577EA"/>
    <w:multiLevelType w:val="hybridMultilevel"/>
    <w:tmpl w:val="21A63D98"/>
    <w:lvl w:ilvl="0" w:tplc="67B2B5C8">
      <w:start w:val="1"/>
      <w:numFmt w:val="bullet"/>
      <w:pStyle w:val="ATSBullet1"/>
      <w:lvlText w:val=""/>
      <w:lvlJc w:val="left"/>
      <w:pPr>
        <w:tabs>
          <w:tab w:val="num" w:pos="360"/>
        </w:tabs>
        <w:ind w:left="360" w:hanging="360"/>
      </w:pPr>
      <w:rPr>
        <w:rFonts w:ascii="Symbol" w:hAnsi="Symbol" w:hint="default"/>
        <w:color w:val="auto"/>
      </w:rPr>
    </w:lvl>
    <w:lvl w:ilvl="1" w:tplc="304AD0E4" w:tentative="1">
      <w:start w:val="1"/>
      <w:numFmt w:val="bullet"/>
      <w:lvlText w:val="o"/>
      <w:lvlJc w:val="left"/>
      <w:pPr>
        <w:tabs>
          <w:tab w:val="num" w:pos="1440"/>
        </w:tabs>
        <w:ind w:left="1440" w:hanging="360"/>
      </w:pPr>
      <w:rPr>
        <w:rFonts w:ascii="Courier New" w:hAnsi="Courier New" w:cs="Courier New" w:hint="default"/>
      </w:rPr>
    </w:lvl>
    <w:lvl w:ilvl="2" w:tplc="42EA7576" w:tentative="1">
      <w:start w:val="1"/>
      <w:numFmt w:val="bullet"/>
      <w:lvlText w:val=""/>
      <w:lvlJc w:val="left"/>
      <w:pPr>
        <w:tabs>
          <w:tab w:val="num" w:pos="2160"/>
        </w:tabs>
        <w:ind w:left="2160" w:hanging="360"/>
      </w:pPr>
      <w:rPr>
        <w:rFonts w:ascii="Wingdings" w:hAnsi="Wingdings" w:hint="default"/>
      </w:rPr>
    </w:lvl>
    <w:lvl w:ilvl="3" w:tplc="C332E142" w:tentative="1">
      <w:start w:val="1"/>
      <w:numFmt w:val="bullet"/>
      <w:lvlText w:val=""/>
      <w:lvlJc w:val="left"/>
      <w:pPr>
        <w:tabs>
          <w:tab w:val="num" w:pos="2880"/>
        </w:tabs>
        <w:ind w:left="2880" w:hanging="360"/>
      </w:pPr>
      <w:rPr>
        <w:rFonts w:ascii="Symbol" w:hAnsi="Symbol" w:hint="default"/>
      </w:rPr>
    </w:lvl>
    <w:lvl w:ilvl="4" w:tplc="4A3EC1E0" w:tentative="1">
      <w:start w:val="1"/>
      <w:numFmt w:val="bullet"/>
      <w:lvlText w:val="o"/>
      <w:lvlJc w:val="left"/>
      <w:pPr>
        <w:tabs>
          <w:tab w:val="num" w:pos="3600"/>
        </w:tabs>
        <w:ind w:left="3600" w:hanging="360"/>
      </w:pPr>
      <w:rPr>
        <w:rFonts w:ascii="Courier New" w:hAnsi="Courier New" w:cs="Courier New" w:hint="default"/>
      </w:rPr>
    </w:lvl>
    <w:lvl w:ilvl="5" w:tplc="539279E2" w:tentative="1">
      <w:start w:val="1"/>
      <w:numFmt w:val="bullet"/>
      <w:lvlText w:val=""/>
      <w:lvlJc w:val="left"/>
      <w:pPr>
        <w:tabs>
          <w:tab w:val="num" w:pos="4320"/>
        </w:tabs>
        <w:ind w:left="4320" w:hanging="360"/>
      </w:pPr>
      <w:rPr>
        <w:rFonts w:ascii="Wingdings" w:hAnsi="Wingdings" w:hint="default"/>
      </w:rPr>
    </w:lvl>
    <w:lvl w:ilvl="6" w:tplc="685E3D5C" w:tentative="1">
      <w:start w:val="1"/>
      <w:numFmt w:val="bullet"/>
      <w:lvlText w:val=""/>
      <w:lvlJc w:val="left"/>
      <w:pPr>
        <w:tabs>
          <w:tab w:val="num" w:pos="5040"/>
        </w:tabs>
        <w:ind w:left="5040" w:hanging="360"/>
      </w:pPr>
      <w:rPr>
        <w:rFonts w:ascii="Symbol" w:hAnsi="Symbol" w:hint="default"/>
      </w:rPr>
    </w:lvl>
    <w:lvl w:ilvl="7" w:tplc="5F4E9E9C" w:tentative="1">
      <w:start w:val="1"/>
      <w:numFmt w:val="bullet"/>
      <w:lvlText w:val="o"/>
      <w:lvlJc w:val="left"/>
      <w:pPr>
        <w:tabs>
          <w:tab w:val="num" w:pos="5760"/>
        </w:tabs>
        <w:ind w:left="5760" w:hanging="360"/>
      </w:pPr>
      <w:rPr>
        <w:rFonts w:ascii="Courier New" w:hAnsi="Courier New" w:cs="Courier New" w:hint="default"/>
      </w:rPr>
    </w:lvl>
    <w:lvl w:ilvl="8" w:tplc="3EF2133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D35C15"/>
    <w:multiLevelType w:val="hybridMultilevel"/>
    <w:tmpl w:val="A8A2E45C"/>
    <w:lvl w:ilvl="0" w:tplc="990A79FE">
      <w:start w:val="1"/>
      <w:numFmt w:val="decimal"/>
      <w:lvlText w:val="%1)"/>
      <w:lvlJc w:val="left"/>
      <w:pPr>
        <w:tabs>
          <w:tab w:val="num" w:pos="340"/>
        </w:tabs>
        <w:ind w:left="340" w:hanging="340"/>
      </w:pPr>
      <w:rPr>
        <w:rFonts w:hint="default"/>
      </w:rPr>
    </w:lvl>
    <w:lvl w:ilvl="1" w:tplc="809084C6" w:tentative="1">
      <w:start w:val="1"/>
      <w:numFmt w:val="lowerLetter"/>
      <w:lvlText w:val="%2."/>
      <w:lvlJc w:val="left"/>
      <w:pPr>
        <w:tabs>
          <w:tab w:val="num" w:pos="1440"/>
        </w:tabs>
        <w:ind w:left="1440" w:hanging="360"/>
      </w:pPr>
    </w:lvl>
    <w:lvl w:ilvl="2" w:tplc="106071D2" w:tentative="1">
      <w:start w:val="1"/>
      <w:numFmt w:val="lowerRoman"/>
      <w:lvlText w:val="%3."/>
      <w:lvlJc w:val="right"/>
      <w:pPr>
        <w:tabs>
          <w:tab w:val="num" w:pos="2160"/>
        </w:tabs>
        <w:ind w:left="2160" w:hanging="180"/>
      </w:pPr>
    </w:lvl>
    <w:lvl w:ilvl="3" w:tplc="1F926FD0" w:tentative="1">
      <w:start w:val="1"/>
      <w:numFmt w:val="decimal"/>
      <w:lvlText w:val="%4."/>
      <w:lvlJc w:val="left"/>
      <w:pPr>
        <w:tabs>
          <w:tab w:val="num" w:pos="2880"/>
        </w:tabs>
        <w:ind w:left="2880" w:hanging="360"/>
      </w:pPr>
    </w:lvl>
    <w:lvl w:ilvl="4" w:tplc="062ACB9E" w:tentative="1">
      <w:start w:val="1"/>
      <w:numFmt w:val="lowerLetter"/>
      <w:lvlText w:val="%5."/>
      <w:lvlJc w:val="left"/>
      <w:pPr>
        <w:tabs>
          <w:tab w:val="num" w:pos="3600"/>
        </w:tabs>
        <w:ind w:left="3600" w:hanging="360"/>
      </w:pPr>
    </w:lvl>
    <w:lvl w:ilvl="5" w:tplc="1708DC46" w:tentative="1">
      <w:start w:val="1"/>
      <w:numFmt w:val="lowerRoman"/>
      <w:lvlText w:val="%6."/>
      <w:lvlJc w:val="right"/>
      <w:pPr>
        <w:tabs>
          <w:tab w:val="num" w:pos="4320"/>
        </w:tabs>
        <w:ind w:left="4320" w:hanging="180"/>
      </w:pPr>
    </w:lvl>
    <w:lvl w:ilvl="6" w:tplc="F2D0B8D2" w:tentative="1">
      <w:start w:val="1"/>
      <w:numFmt w:val="decimal"/>
      <w:lvlText w:val="%7."/>
      <w:lvlJc w:val="left"/>
      <w:pPr>
        <w:tabs>
          <w:tab w:val="num" w:pos="5040"/>
        </w:tabs>
        <w:ind w:left="5040" w:hanging="360"/>
      </w:pPr>
    </w:lvl>
    <w:lvl w:ilvl="7" w:tplc="C39231AC" w:tentative="1">
      <w:start w:val="1"/>
      <w:numFmt w:val="lowerLetter"/>
      <w:lvlText w:val="%8."/>
      <w:lvlJc w:val="left"/>
      <w:pPr>
        <w:tabs>
          <w:tab w:val="num" w:pos="5760"/>
        </w:tabs>
        <w:ind w:left="5760" w:hanging="360"/>
      </w:pPr>
    </w:lvl>
    <w:lvl w:ilvl="8" w:tplc="F5A43D3C" w:tentative="1">
      <w:start w:val="1"/>
      <w:numFmt w:val="lowerRoman"/>
      <w:lvlText w:val="%9."/>
      <w:lvlJc w:val="right"/>
      <w:pPr>
        <w:tabs>
          <w:tab w:val="num" w:pos="6480"/>
        </w:tabs>
        <w:ind w:left="6480" w:hanging="180"/>
      </w:pPr>
    </w:lvl>
  </w:abstractNum>
  <w:abstractNum w:abstractNumId="13" w15:restartNumberingAfterBreak="0">
    <w:nsid w:val="642F3AFA"/>
    <w:multiLevelType w:val="hybridMultilevel"/>
    <w:tmpl w:val="9DF09BE6"/>
    <w:lvl w:ilvl="0" w:tplc="56B283BE">
      <w:start w:val="1"/>
      <w:numFmt w:val="decimal"/>
      <w:lvlText w:val="%1."/>
      <w:lvlJc w:val="left"/>
      <w:pPr>
        <w:tabs>
          <w:tab w:val="num" w:pos="1057"/>
        </w:tabs>
        <w:ind w:left="1057" w:hanging="360"/>
      </w:pPr>
      <w:rPr>
        <w:rFonts w:hint="default"/>
      </w:rPr>
    </w:lvl>
    <w:lvl w:ilvl="1" w:tplc="7C1A6BBE" w:tentative="1">
      <w:start w:val="1"/>
      <w:numFmt w:val="lowerLetter"/>
      <w:lvlText w:val="%2."/>
      <w:lvlJc w:val="left"/>
      <w:pPr>
        <w:tabs>
          <w:tab w:val="num" w:pos="2137"/>
        </w:tabs>
        <w:ind w:left="2137" w:hanging="360"/>
      </w:pPr>
    </w:lvl>
    <w:lvl w:ilvl="2" w:tplc="AEE2C02C" w:tentative="1">
      <w:start w:val="1"/>
      <w:numFmt w:val="lowerRoman"/>
      <w:lvlText w:val="%3."/>
      <w:lvlJc w:val="right"/>
      <w:pPr>
        <w:tabs>
          <w:tab w:val="num" w:pos="2857"/>
        </w:tabs>
        <w:ind w:left="2857" w:hanging="180"/>
      </w:pPr>
    </w:lvl>
    <w:lvl w:ilvl="3" w:tplc="D01C561E" w:tentative="1">
      <w:start w:val="1"/>
      <w:numFmt w:val="decimal"/>
      <w:lvlText w:val="%4."/>
      <w:lvlJc w:val="left"/>
      <w:pPr>
        <w:tabs>
          <w:tab w:val="num" w:pos="3577"/>
        </w:tabs>
        <w:ind w:left="3577" w:hanging="360"/>
      </w:pPr>
    </w:lvl>
    <w:lvl w:ilvl="4" w:tplc="3562670C" w:tentative="1">
      <w:start w:val="1"/>
      <w:numFmt w:val="lowerLetter"/>
      <w:lvlText w:val="%5."/>
      <w:lvlJc w:val="left"/>
      <w:pPr>
        <w:tabs>
          <w:tab w:val="num" w:pos="4297"/>
        </w:tabs>
        <w:ind w:left="4297" w:hanging="360"/>
      </w:pPr>
    </w:lvl>
    <w:lvl w:ilvl="5" w:tplc="B136E102" w:tentative="1">
      <w:start w:val="1"/>
      <w:numFmt w:val="lowerRoman"/>
      <w:lvlText w:val="%6."/>
      <w:lvlJc w:val="right"/>
      <w:pPr>
        <w:tabs>
          <w:tab w:val="num" w:pos="5017"/>
        </w:tabs>
        <w:ind w:left="5017" w:hanging="180"/>
      </w:pPr>
    </w:lvl>
    <w:lvl w:ilvl="6" w:tplc="AF1424D6" w:tentative="1">
      <w:start w:val="1"/>
      <w:numFmt w:val="decimal"/>
      <w:lvlText w:val="%7."/>
      <w:lvlJc w:val="left"/>
      <w:pPr>
        <w:tabs>
          <w:tab w:val="num" w:pos="5737"/>
        </w:tabs>
        <w:ind w:left="5737" w:hanging="360"/>
      </w:pPr>
    </w:lvl>
    <w:lvl w:ilvl="7" w:tplc="777068B4" w:tentative="1">
      <w:start w:val="1"/>
      <w:numFmt w:val="lowerLetter"/>
      <w:lvlText w:val="%8."/>
      <w:lvlJc w:val="left"/>
      <w:pPr>
        <w:tabs>
          <w:tab w:val="num" w:pos="6457"/>
        </w:tabs>
        <w:ind w:left="6457" w:hanging="360"/>
      </w:pPr>
    </w:lvl>
    <w:lvl w:ilvl="8" w:tplc="1B5271CA" w:tentative="1">
      <w:start w:val="1"/>
      <w:numFmt w:val="lowerRoman"/>
      <w:lvlText w:val="%9."/>
      <w:lvlJc w:val="right"/>
      <w:pPr>
        <w:tabs>
          <w:tab w:val="num" w:pos="7177"/>
        </w:tabs>
        <w:ind w:left="7177" w:hanging="180"/>
      </w:pPr>
    </w:lvl>
  </w:abstractNum>
  <w:abstractNum w:abstractNumId="14" w15:restartNumberingAfterBreak="0">
    <w:nsid w:val="7212657C"/>
    <w:multiLevelType w:val="hybridMultilevel"/>
    <w:tmpl w:val="0A8E2A84"/>
    <w:lvl w:ilvl="0" w:tplc="80C2139C">
      <w:start w:val="1"/>
      <w:numFmt w:val="decimal"/>
      <w:pStyle w:val="ATSNumber1"/>
      <w:lvlText w:val="%1)"/>
      <w:lvlJc w:val="left"/>
      <w:pPr>
        <w:tabs>
          <w:tab w:val="num" w:pos="720"/>
        </w:tabs>
        <w:ind w:left="720" w:hanging="360"/>
      </w:pPr>
    </w:lvl>
    <w:lvl w:ilvl="1" w:tplc="A7166E42" w:tentative="1">
      <w:start w:val="1"/>
      <w:numFmt w:val="lowerLetter"/>
      <w:lvlText w:val="%2."/>
      <w:lvlJc w:val="left"/>
      <w:pPr>
        <w:tabs>
          <w:tab w:val="num" w:pos="1440"/>
        </w:tabs>
        <w:ind w:left="1440" w:hanging="360"/>
      </w:pPr>
    </w:lvl>
    <w:lvl w:ilvl="2" w:tplc="5008C76C" w:tentative="1">
      <w:start w:val="1"/>
      <w:numFmt w:val="lowerRoman"/>
      <w:lvlText w:val="%3."/>
      <w:lvlJc w:val="right"/>
      <w:pPr>
        <w:tabs>
          <w:tab w:val="num" w:pos="2160"/>
        </w:tabs>
        <w:ind w:left="2160" w:hanging="180"/>
      </w:pPr>
    </w:lvl>
    <w:lvl w:ilvl="3" w:tplc="17FECEB6" w:tentative="1">
      <w:start w:val="1"/>
      <w:numFmt w:val="decimal"/>
      <w:lvlText w:val="%4."/>
      <w:lvlJc w:val="left"/>
      <w:pPr>
        <w:tabs>
          <w:tab w:val="num" w:pos="2880"/>
        </w:tabs>
        <w:ind w:left="2880" w:hanging="360"/>
      </w:pPr>
    </w:lvl>
    <w:lvl w:ilvl="4" w:tplc="B8CAB1D0" w:tentative="1">
      <w:start w:val="1"/>
      <w:numFmt w:val="lowerLetter"/>
      <w:lvlText w:val="%5."/>
      <w:lvlJc w:val="left"/>
      <w:pPr>
        <w:tabs>
          <w:tab w:val="num" w:pos="3600"/>
        </w:tabs>
        <w:ind w:left="3600" w:hanging="360"/>
      </w:pPr>
    </w:lvl>
    <w:lvl w:ilvl="5" w:tplc="F394F91E" w:tentative="1">
      <w:start w:val="1"/>
      <w:numFmt w:val="lowerRoman"/>
      <w:lvlText w:val="%6."/>
      <w:lvlJc w:val="right"/>
      <w:pPr>
        <w:tabs>
          <w:tab w:val="num" w:pos="4320"/>
        </w:tabs>
        <w:ind w:left="4320" w:hanging="180"/>
      </w:pPr>
    </w:lvl>
    <w:lvl w:ilvl="6" w:tplc="A4942A98" w:tentative="1">
      <w:start w:val="1"/>
      <w:numFmt w:val="decimal"/>
      <w:lvlText w:val="%7."/>
      <w:lvlJc w:val="left"/>
      <w:pPr>
        <w:tabs>
          <w:tab w:val="num" w:pos="5040"/>
        </w:tabs>
        <w:ind w:left="5040" w:hanging="360"/>
      </w:pPr>
    </w:lvl>
    <w:lvl w:ilvl="7" w:tplc="94200472" w:tentative="1">
      <w:start w:val="1"/>
      <w:numFmt w:val="lowerLetter"/>
      <w:lvlText w:val="%8."/>
      <w:lvlJc w:val="left"/>
      <w:pPr>
        <w:tabs>
          <w:tab w:val="num" w:pos="5760"/>
        </w:tabs>
        <w:ind w:left="5760" w:hanging="360"/>
      </w:pPr>
    </w:lvl>
    <w:lvl w:ilvl="8" w:tplc="CADA8200" w:tentative="1">
      <w:start w:val="1"/>
      <w:numFmt w:val="lowerRoman"/>
      <w:lvlText w:val="%9."/>
      <w:lvlJc w:val="right"/>
      <w:pPr>
        <w:tabs>
          <w:tab w:val="num" w:pos="6480"/>
        </w:tabs>
        <w:ind w:left="6480" w:hanging="180"/>
      </w:pPr>
    </w:lvl>
  </w:abstractNum>
  <w:abstractNum w:abstractNumId="15" w15:restartNumberingAfterBreak="0">
    <w:nsid w:val="743D2161"/>
    <w:multiLevelType w:val="hybridMultilevel"/>
    <w:tmpl w:val="B0868D9E"/>
    <w:lvl w:ilvl="0" w:tplc="9872D7E4">
      <w:start w:val="1"/>
      <w:numFmt w:val="bullet"/>
      <w:pStyle w:val="ATSBullet2"/>
      <w:lvlText w:val="-"/>
      <w:lvlJc w:val="left"/>
      <w:pPr>
        <w:tabs>
          <w:tab w:val="num" w:pos="1080"/>
        </w:tabs>
        <w:ind w:left="1080" w:hanging="360"/>
      </w:pPr>
      <w:rPr>
        <w:rFonts w:ascii="Times New Roman" w:hAnsi="Times New Roman" w:cs="Times New Roman" w:hint="default"/>
        <w:color w:val="auto"/>
      </w:rPr>
    </w:lvl>
    <w:lvl w:ilvl="1" w:tplc="FF3EAC84" w:tentative="1">
      <w:start w:val="1"/>
      <w:numFmt w:val="bullet"/>
      <w:lvlText w:val="o"/>
      <w:lvlJc w:val="left"/>
      <w:pPr>
        <w:tabs>
          <w:tab w:val="num" w:pos="2517"/>
        </w:tabs>
        <w:ind w:left="2517" w:hanging="360"/>
      </w:pPr>
      <w:rPr>
        <w:rFonts w:ascii="Courier New" w:hAnsi="Courier New" w:cs="Courier New" w:hint="default"/>
      </w:rPr>
    </w:lvl>
    <w:lvl w:ilvl="2" w:tplc="C71AD8D8" w:tentative="1">
      <w:start w:val="1"/>
      <w:numFmt w:val="bullet"/>
      <w:lvlText w:val=""/>
      <w:lvlJc w:val="left"/>
      <w:pPr>
        <w:tabs>
          <w:tab w:val="num" w:pos="3237"/>
        </w:tabs>
        <w:ind w:left="3237" w:hanging="360"/>
      </w:pPr>
      <w:rPr>
        <w:rFonts w:ascii="Wingdings" w:hAnsi="Wingdings" w:hint="default"/>
      </w:rPr>
    </w:lvl>
    <w:lvl w:ilvl="3" w:tplc="6E72791A" w:tentative="1">
      <w:start w:val="1"/>
      <w:numFmt w:val="bullet"/>
      <w:lvlText w:val=""/>
      <w:lvlJc w:val="left"/>
      <w:pPr>
        <w:tabs>
          <w:tab w:val="num" w:pos="3957"/>
        </w:tabs>
        <w:ind w:left="3957" w:hanging="360"/>
      </w:pPr>
      <w:rPr>
        <w:rFonts w:ascii="Symbol" w:hAnsi="Symbol" w:hint="default"/>
      </w:rPr>
    </w:lvl>
    <w:lvl w:ilvl="4" w:tplc="513E3690" w:tentative="1">
      <w:start w:val="1"/>
      <w:numFmt w:val="bullet"/>
      <w:lvlText w:val="o"/>
      <w:lvlJc w:val="left"/>
      <w:pPr>
        <w:tabs>
          <w:tab w:val="num" w:pos="4677"/>
        </w:tabs>
        <w:ind w:left="4677" w:hanging="360"/>
      </w:pPr>
      <w:rPr>
        <w:rFonts w:ascii="Courier New" w:hAnsi="Courier New" w:cs="Courier New" w:hint="default"/>
      </w:rPr>
    </w:lvl>
    <w:lvl w:ilvl="5" w:tplc="ABE8759C" w:tentative="1">
      <w:start w:val="1"/>
      <w:numFmt w:val="bullet"/>
      <w:lvlText w:val=""/>
      <w:lvlJc w:val="left"/>
      <w:pPr>
        <w:tabs>
          <w:tab w:val="num" w:pos="5397"/>
        </w:tabs>
        <w:ind w:left="5397" w:hanging="360"/>
      </w:pPr>
      <w:rPr>
        <w:rFonts w:ascii="Wingdings" w:hAnsi="Wingdings" w:hint="default"/>
      </w:rPr>
    </w:lvl>
    <w:lvl w:ilvl="6" w:tplc="7AB4BBFE" w:tentative="1">
      <w:start w:val="1"/>
      <w:numFmt w:val="bullet"/>
      <w:lvlText w:val=""/>
      <w:lvlJc w:val="left"/>
      <w:pPr>
        <w:tabs>
          <w:tab w:val="num" w:pos="6117"/>
        </w:tabs>
        <w:ind w:left="6117" w:hanging="360"/>
      </w:pPr>
      <w:rPr>
        <w:rFonts w:ascii="Symbol" w:hAnsi="Symbol" w:hint="default"/>
      </w:rPr>
    </w:lvl>
    <w:lvl w:ilvl="7" w:tplc="A03E1050" w:tentative="1">
      <w:start w:val="1"/>
      <w:numFmt w:val="bullet"/>
      <w:lvlText w:val="o"/>
      <w:lvlJc w:val="left"/>
      <w:pPr>
        <w:tabs>
          <w:tab w:val="num" w:pos="6837"/>
        </w:tabs>
        <w:ind w:left="6837" w:hanging="360"/>
      </w:pPr>
      <w:rPr>
        <w:rFonts w:ascii="Courier New" w:hAnsi="Courier New" w:cs="Courier New" w:hint="default"/>
      </w:rPr>
    </w:lvl>
    <w:lvl w:ilvl="8" w:tplc="1CE6FC8C" w:tentative="1">
      <w:start w:val="1"/>
      <w:numFmt w:val="bullet"/>
      <w:lvlText w:val=""/>
      <w:lvlJc w:val="left"/>
      <w:pPr>
        <w:tabs>
          <w:tab w:val="num" w:pos="7557"/>
        </w:tabs>
        <w:ind w:left="7557" w:hanging="360"/>
      </w:pPr>
      <w:rPr>
        <w:rFonts w:ascii="Wingdings" w:hAnsi="Wingdings" w:hint="default"/>
      </w:rPr>
    </w:lvl>
  </w:abstractNum>
  <w:abstractNum w:abstractNumId="16" w15:restartNumberingAfterBreak="0">
    <w:nsid w:val="7C866FC0"/>
    <w:multiLevelType w:val="hybridMultilevel"/>
    <w:tmpl w:val="57EA2900"/>
    <w:lvl w:ilvl="0" w:tplc="C9681A00">
      <w:start w:val="1"/>
      <w:numFmt w:val="decimal"/>
      <w:pStyle w:val="ATSNumber2"/>
      <w:lvlText w:val="%1."/>
      <w:lvlJc w:val="left"/>
      <w:pPr>
        <w:tabs>
          <w:tab w:val="num" w:pos="720"/>
        </w:tabs>
        <w:ind w:left="720" w:hanging="360"/>
      </w:pPr>
      <w:rPr>
        <w:rFonts w:hint="default"/>
      </w:rPr>
    </w:lvl>
    <w:lvl w:ilvl="1" w:tplc="B0620C46" w:tentative="1">
      <w:start w:val="1"/>
      <w:numFmt w:val="lowerLetter"/>
      <w:lvlText w:val="%2."/>
      <w:lvlJc w:val="left"/>
      <w:pPr>
        <w:tabs>
          <w:tab w:val="num" w:pos="1440"/>
        </w:tabs>
        <w:ind w:left="1440" w:hanging="360"/>
      </w:pPr>
    </w:lvl>
    <w:lvl w:ilvl="2" w:tplc="4F388548" w:tentative="1">
      <w:start w:val="1"/>
      <w:numFmt w:val="lowerRoman"/>
      <w:lvlText w:val="%3."/>
      <w:lvlJc w:val="right"/>
      <w:pPr>
        <w:tabs>
          <w:tab w:val="num" w:pos="2160"/>
        </w:tabs>
        <w:ind w:left="2160" w:hanging="180"/>
      </w:pPr>
    </w:lvl>
    <w:lvl w:ilvl="3" w:tplc="8E165F82" w:tentative="1">
      <w:start w:val="1"/>
      <w:numFmt w:val="decimal"/>
      <w:lvlText w:val="%4."/>
      <w:lvlJc w:val="left"/>
      <w:pPr>
        <w:tabs>
          <w:tab w:val="num" w:pos="2880"/>
        </w:tabs>
        <w:ind w:left="2880" w:hanging="360"/>
      </w:pPr>
    </w:lvl>
    <w:lvl w:ilvl="4" w:tplc="79E4971E" w:tentative="1">
      <w:start w:val="1"/>
      <w:numFmt w:val="lowerLetter"/>
      <w:lvlText w:val="%5."/>
      <w:lvlJc w:val="left"/>
      <w:pPr>
        <w:tabs>
          <w:tab w:val="num" w:pos="3600"/>
        </w:tabs>
        <w:ind w:left="3600" w:hanging="360"/>
      </w:pPr>
    </w:lvl>
    <w:lvl w:ilvl="5" w:tplc="E6FE6074" w:tentative="1">
      <w:start w:val="1"/>
      <w:numFmt w:val="lowerRoman"/>
      <w:lvlText w:val="%6."/>
      <w:lvlJc w:val="right"/>
      <w:pPr>
        <w:tabs>
          <w:tab w:val="num" w:pos="4320"/>
        </w:tabs>
        <w:ind w:left="4320" w:hanging="180"/>
      </w:pPr>
    </w:lvl>
    <w:lvl w:ilvl="6" w:tplc="9EE42896" w:tentative="1">
      <w:start w:val="1"/>
      <w:numFmt w:val="decimal"/>
      <w:lvlText w:val="%7."/>
      <w:lvlJc w:val="left"/>
      <w:pPr>
        <w:tabs>
          <w:tab w:val="num" w:pos="5040"/>
        </w:tabs>
        <w:ind w:left="5040" w:hanging="360"/>
      </w:pPr>
    </w:lvl>
    <w:lvl w:ilvl="7" w:tplc="589847E8" w:tentative="1">
      <w:start w:val="1"/>
      <w:numFmt w:val="lowerLetter"/>
      <w:lvlText w:val="%8."/>
      <w:lvlJc w:val="left"/>
      <w:pPr>
        <w:tabs>
          <w:tab w:val="num" w:pos="5760"/>
        </w:tabs>
        <w:ind w:left="5760" w:hanging="360"/>
      </w:pPr>
    </w:lvl>
    <w:lvl w:ilvl="8" w:tplc="DE8E9102"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5"/>
  </w:num>
  <w:num w:numId="13">
    <w:abstractNumId w:val="14"/>
  </w:num>
  <w:num w:numId="14">
    <w:abstractNumId w:val="12"/>
  </w:num>
  <w:num w:numId="15">
    <w:abstractNumId w:val="13"/>
  </w:num>
  <w:num w:numId="16">
    <w:abstractNumId w:val="10"/>
  </w:num>
  <w:num w:numId="17">
    <w:abstractNumId w:val="11"/>
  </w:num>
  <w:num w:numId="18">
    <w:abstractNumId w:val="15"/>
  </w:num>
  <w:num w:numId="19">
    <w:abstractNumId w:val="1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6E"/>
    <w:rsid w:val="001837EB"/>
    <w:rsid w:val="00314F93"/>
    <w:rsid w:val="004C7940"/>
    <w:rsid w:val="00585688"/>
    <w:rsid w:val="00744DAD"/>
    <w:rsid w:val="0089386E"/>
    <w:rsid w:val="008E7D93"/>
    <w:rsid w:val="009410EB"/>
    <w:rsid w:val="00A839EF"/>
    <w:rsid w:val="00B10F3C"/>
    <w:rsid w:val="00B34C9F"/>
    <w:rsid w:val="00D003A3"/>
    <w:rsid w:val="00F24B0D"/>
    <w:rsid w:val="00F3706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9AC778"/>
  <w15:chartTrackingRefBased/>
  <w15:docId w15:val="{9E9D98CF-79EC-4395-8860-777923616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6">
    <w:lsdException w:name="Normal" w:qFormat="1"/>
    <w:lsdException w:name="caption" w:semiHidden="1" w:unhideWhenUsed="1" w:qFormat="1"/>
    <w:lsdException w:name="footnote reference" w:uiPriority="9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89F"/>
    <w:rPr>
      <w:sz w:val="22"/>
      <w:szCs w:val="24"/>
      <w:lang w:val="en-GB" w:eastAsia="en-US"/>
    </w:rPr>
  </w:style>
  <w:style w:type="paragraph" w:styleId="Ttulo1">
    <w:name w:val="heading 1"/>
    <w:basedOn w:val="Normal"/>
    <w:next w:val="Normal"/>
    <w:rsid w:val="001B789F"/>
    <w:pPr>
      <w:keepNext/>
      <w:spacing w:before="180" w:after="360"/>
      <w:jc w:val="center"/>
      <w:outlineLvl w:val="0"/>
    </w:pPr>
    <w:rPr>
      <w:rFonts w:ascii="Arial" w:hAnsi="Arial"/>
      <w:b/>
      <w:kern w:val="28"/>
      <w:sz w:val="32"/>
      <w:szCs w:val="20"/>
    </w:rPr>
  </w:style>
  <w:style w:type="paragraph" w:styleId="Ttulo2">
    <w:name w:val="heading 2"/>
    <w:basedOn w:val="Normal"/>
    <w:next w:val="Normal"/>
    <w:rsid w:val="001B789F"/>
    <w:pPr>
      <w:keepNext/>
      <w:spacing w:before="120" w:after="240"/>
      <w:outlineLvl w:val="1"/>
    </w:pPr>
    <w:rPr>
      <w:b/>
      <w:i/>
      <w:sz w:val="28"/>
      <w:szCs w:val="20"/>
    </w:rPr>
  </w:style>
  <w:style w:type="paragraph" w:styleId="Ttulo3">
    <w:name w:val="heading 3"/>
    <w:basedOn w:val="Normal"/>
    <w:next w:val="Normal"/>
    <w:rsid w:val="001B789F"/>
    <w:pPr>
      <w:keepNext/>
      <w:spacing w:before="120" w:after="180"/>
      <w:outlineLvl w:val="2"/>
    </w:pPr>
    <w:rPr>
      <w:rFonts w:eastAsia="SimSun"/>
      <w:b/>
      <w:sz w:val="24"/>
      <w:szCs w:val="20"/>
      <w:lang w:eastAsia="zh-CN"/>
    </w:rPr>
  </w:style>
  <w:style w:type="paragraph" w:styleId="Ttulo4">
    <w:name w:val="heading 4"/>
    <w:basedOn w:val="Normal"/>
    <w:next w:val="Normal"/>
    <w:rsid w:val="001B789F"/>
    <w:pPr>
      <w:keepNext/>
      <w:spacing w:before="60" w:after="120"/>
      <w:outlineLvl w:val="3"/>
    </w:pPr>
    <w:rPr>
      <w:b/>
      <w:bCs/>
      <w:i/>
      <w:szCs w:val="28"/>
    </w:rPr>
  </w:style>
  <w:style w:type="paragraph" w:styleId="Ttulo5">
    <w:name w:val="heading 5"/>
    <w:basedOn w:val="Normal"/>
    <w:next w:val="Normal"/>
    <w:rsid w:val="001B789F"/>
    <w:pPr>
      <w:spacing w:before="240" w:after="60"/>
      <w:outlineLvl w:val="4"/>
    </w:pPr>
    <w:rPr>
      <w:b/>
      <w:bCs/>
      <w:i/>
      <w:iCs/>
      <w:sz w:val="26"/>
      <w:szCs w:val="26"/>
    </w:rPr>
  </w:style>
  <w:style w:type="paragraph" w:styleId="Ttulo6">
    <w:name w:val="heading 6"/>
    <w:basedOn w:val="Normal"/>
    <w:next w:val="Normal"/>
    <w:rsid w:val="001B789F"/>
    <w:pPr>
      <w:spacing w:before="240" w:after="60"/>
      <w:outlineLvl w:val="5"/>
    </w:pPr>
    <w:rPr>
      <w:b/>
      <w:bCs/>
      <w:szCs w:val="22"/>
    </w:rPr>
  </w:style>
  <w:style w:type="paragraph" w:styleId="Ttulo7">
    <w:name w:val="heading 7"/>
    <w:basedOn w:val="Normal"/>
    <w:next w:val="Normal"/>
    <w:rsid w:val="001B789F"/>
    <w:pPr>
      <w:spacing w:before="240" w:after="60"/>
      <w:outlineLvl w:val="6"/>
    </w:pPr>
    <w:rPr>
      <w:sz w:val="24"/>
    </w:rPr>
  </w:style>
  <w:style w:type="paragraph" w:styleId="Ttulo8">
    <w:name w:val="heading 8"/>
    <w:basedOn w:val="Normal"/>
    <w:next w:val="Normal"/>
    <w:rsid w:val="001B789F"/>
    <w:pPr>
      <w:spacing w:before="240" w:after="60"/>
      <w:outlineLvl w:val="7"/>
    </w:pPr>
    <w:rPr>
      <w:i/>
      <w:iCs/>
      <w:sz w:val="24"/>
    </w:rPr>
  </w:style>
  <w:style w:type="paragraph" w:styleId="Ttulo9">
    <w:name w:val="heading 9"/>
    <w:basedOn w:val="Normal"/>
    <w:next w:val="Normal"/>
    <w:rsid w:val="001B789F"/>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TSNormal">
    <w:name w:val="ATS Normal"/>
    <w:basedOn w:val="Normal"/>
    <w:qFormat/>
    <w:rsid w:val="001B789F"/>
    <w:pPr>
      <w:spacing w:before="120" w:after="120"/>
    </w:pPr>
    <w:rPr>
      <w:lang w:eastAsia="en-GB"/>
    </w:rPr>
  </w:style>
  <w:style w:type="paragraph" w:customStyle="1" w:styleId="ATSBullet1">
    <w:name w:val="ATS Bullet 1"/>
    <w:basedOn w:val="ATSNormal"/>
    <w:qFormat/>
    <w:rsid w:val="001B789F"/>
    <w:pPr>
      <w:numPr>
        <w:numId w:val="17"/>
      </w:numPr>
      <w:spacing w:before="60" w:after="0"/>
    </w:pPr>
  </w:style>
  <w:style w:type="paragraph" w:customStyle="1" w:styleId="ATSBullet2">
    <w:name w:val="ATS Bullet 2"/>
    <w:basedOn w:val="ATSNormal"/>
    <w:qFormat/>
    <w:rsid w:val="001B789F"/>
    <w:pPr>
      <w:numPr>
        <w:numId w:val="18"/>
      </w:numPr>
      <w:tabs>
        <w:tab w:val="left" w:pos="720"/>
      </w:tabs>
      <w:spacing w:before="60" w:after="0"/>
    </w:pPr>
  </w:style>
  <w:style w:type="paragraph" w:customStyle="1" w:styleId="ATSCompact">
    <w:name w:val="ATS Compact"/>
    <w:basedOn w:val="ATSNormal"/>
    <w:qFormat/>
    <w:rsid w:val="001B789F"/>
    <w:pPr>
      <w:spacing w:before="0" w:after="0"/>
    </w:pPr>
  </w:style>
  <w:style w:type="paragraph" w:customStyle="1" w:styleId="ATSHeading1">
    <w:name w:val="ATS Heading 1"/>
    <w:basedOn w:val="ATSNormal"/>
    <w:next w:val="ATSNormal"/>
    <w:qFormat/>
    <w:rsid w:val="001B789F"/>
    <w:pPr>
      <w:spacing w:before="360" w:after="360"/>
      <w:jc w:val="center"/>
    </w:pPr>
    <w:rPr>
      <w:rFonts w:ascii="Arial" w:hAnsi="Arial"/>
      <w:b/>
      <w:sz w:val="32"/>
    </w:rPr>
  </w:style>
  <w:style w:type="paragraph" w:customStyle="1" w:styleId="ATSHeading2">
    <w:name w:val="ATS Heading 2"/>
    <w:basedOn w:val="ATSNormal"/>
    <w:next w:val="ATSNormal"/>
    <w:link w:val="ATSHeading2Char"/>
    <w:qFormat/>
    <w:rsid w:val="001B789F"/>
    <w:pPr>
      <w:spacing w:before="480"/>
      <w:jc w:val="both"/>
    </w:pPr>
    <w:rPr>
      <w:rFonts w:ascii="Arial" w:hAnsi="Arial"/>
      <w:b/>
      <w:i/>
      <w:sz w:val="24"/>
      <w:szCs w:val="22"/>
    </w:rPr>
  </w:style>
  <w:style w:type="paragraph" w:customStyle="1" w:styleId="ATSHeading3">
    <w:name w:val="ATS Heading 3"/>
    <w:basedOn w:val="ATSNormal"/>
    <w:next w:val="ATSNormal"/>
    <w:qFormat/>
    <w:rsid w:val="001B789F"/>
    <w:pPr>
      <w:spacing w:before="240" w:after="60"/>
    </w:pPr>
    <w:rPr>
      <w:b/>
    </w:rPr>
  </w:style>
  <w:style w:type="paragraph" w:customStyle="1" w:styleId="ATSHeading4">
    <w:name w:val="ATS Heading 4"/>
    <w:basedOn w:val="ATSNormal"/>
    <w:next w:val="ATSNormal"/>
    <w:qFormat/>
    <w:rsid w:val="001B789F"/>
    <w:pPr>
      <w:spacing w:before="240" w:after="60"/>
    </w:pPr>
    <w:rPr>
      <w:i/>
    </w:rPr>
  </w:style>
  <w:style w:type="paragraph" w:customStyle="1" w:styleId="AtsNumber">
    <w:name w:val="Ats Number"/>
    <w:basedOn w:val="ATSNormal"/>
    <w:qFormat/>
    <w:rsid w:val="001B789F"/>
    <w:pPr>
      <w:spacing w:before="60" w:after="0"/>
    </w:pPr>
  </w:style>
  <w:style w:type="paragraph" w:customStyle="1" w:styleId="ATSNumber1">
    <w:name w:val="ATS Number 1"/>
    <w:basedOn w:val="ATSNormal"/>
    <w:qFormat/>
    <w:rsid w:val="001B789F"/>
    <w:pPr>
      <w:numPr>
        <w:numId w:val="19"/>
      </w:numPr>
      <w:spacing w:before="60" w:after="0"/>
    </w:pPr>
  </w:style>
  <w:style w:type="paragraph" w:customStyle="1" w:styleId="ATSNumber2">
    <w:name w:val="ATS Number 2"/>
    <w:basedOn w:val="ATSNormal"/>
    <w:autoRedefine/>
    <w:qFormat/>
    <w:rsid w:val="001B789F"/>
    <w:pPr>
      <w:numPr>
        <w:numId w:val="20"/>
      </w:numPr>
      <w:spacing w:after="0"/>
      <w:jc w:val="both"/>
    </w:pPr>
  </w:style>
  <w:style w:type="paragraph" w:customStyle="1" w:styleId="ATSQuote">
    <w:name w:val="ATS Quote"/>
    <w:basedOn w:val="Normal"/>
    <w:qFormat/>
    <w:rsid w:val="001B789F"/>
    <w:pPr>
      <w:ind w:left="357"/>
    </w:pPr>
    <w:rPr>
      <w:i/>
      <w:szCs w:val="18"/>
    </w:rPr>
  </w:style>
  <w:style w:type="paragraph" w:customStyle="1" w:styleId="ATSTitle">
    <w:name w:val="ATS Title"/>
    <w:basedOn w:val="Normal"/>
    <w:qFormat/>
    <w:rsid w:val="001B789F"/>
    <w:pPr>
      <w:spacing w:before="360" w:after="360"/>
      <w:contextualSpacing/>
      <w:jc w:val="center"/>
    </w:pPr>
    <w:rPr>
      <w:rFonts w:ascii="Arial" w:hAnsi="Arial"/>
      <w:b/>
      <w:sz w:val="48"/>
    </w:rPr>
  </w:style>
  <w:style w:type="paragraph" w:styleId="Textodeglobo">
    <w:name w:val="Balloon Text"/>
    <w:basedOn w:val="Normal"/>
    <w:semiHidden/>
    <w:rsid w:val="001B789F"/>
    <w:rPr>
      <w:rFonts w:ascii="Tahoma" w:hAnsi="Tahoma" w:cs="Tahoma"/>
      <w:sz w:val="16"/>
      <w:szCs w:val="16"/>
    </w:rPr>
  </w:style>
  <w:style w:type="character" w:customStyle="1" w:styleId="BodyTextChar">
    <w:name w:val="Body Text Char"/>
    <w:semiHidden/>
    <w:rsid w:val="001B789F"/>
    <w:rPr>
      <w:sz w:val="24"/>
      <w:szCs w:val="22"/>
      <w:lang w:val="en-US" w:eastAsia="zh-CN" w:bidi="ar-SA"/>
    </w:rPr>
  </w:style>
  <w:style w:type="character" w:customStyle="1" w:styleId="CharacterStyle1">
    <w:name w:val="Character Style 1"/>
    <w:semiHidden/>
    <w:rsid w:val="001B789F"/>
    <w:rPr>
      <w:sz w:val="22"/>
      <w:szCs w:val="22"/>
    </w:rPr>
  </w:style>
  <w:style w:type="character" w:customStyle="1" w:styleId="descriptions1">
    <w:name w:val="descriptions1"/>
    <w:semiHidden/>
    <w:rsid w:val="001B789F"/>
    <w:rPr>
      <w:rFonts w:ascii="Verdana" w:hAnsi="Verdana" w:hint="default"/>
      <w:b/>
      <w:bCs/>
      <w:i w:val="0"/>
      <w:iCs w:val="0"/>
      <w:caps w:val="0"/>
      <w:smallCaps w:val="0"/>
      <w:color w:val="585858"/>
      <w:sz w:val="12"/>
      <w:szCs w:val="12"/>
    </w:rPr>
  </w:style>
  <w:style w:type="paragraph" w:styleId="Mapadeldocumento">
    <w:name w:val="Document Map"/>
    <w:basedOn w:val="Normal"/>
    <w:semiHidden/>
    <w:rsid w:val="001B789F"/>
    <w:pPr>
      <w:shd w:val="clear" w:color="auto" w:fill="000080"/>
    </w:pPr>
    <w:rPr>
      <w:rFonts w:ascii="Tahoma" w:hAnsi="Tahoma" w:cs="Tahoma"/>
      <w:sz w:val="20"/>
      <w:szCs w:val="20"/>
    </w:rPr>
  </w:style>
  <w:style w:type="character" w:styleId="Refdenotaalfinal">
    <w:name w:val="endnote reference"/>
    <w:semiHidden/>
    <w:rsid w:val="001B789F"/>
    <w:rPr>
      <w:vertAlign w:val="superscript"/>
    </w:rPr>
  </w:style>
  <w:style w:type="paragraph" w:styleId="Textonotaalfinal">
    <w:name w:val="endnote text"/>
    <w:basedOn w:val="Normal"/>
    <w:semiHidden/>
    <w:rsid w:val="001B789F"/>
    <w:rPr>
      <w:sz w:val="20"/>
      <w:szCs w:val="20"/>
    </w:rPr>
  </w:style>
  <w:style w:type="character" w:styleId="Hipervnculovisitado">
    <w:name w:val="FollowedHyperlink"/>
    <w:semiHidden/>
    <w:rsid w:val="001B789F"/>
    <w:rPr>
      <w:color w:val="800080"/>
      <w:u w:val="single"/>
    </w:rPr>
  </w:style>
  <w:style w:type="paragraph" w:styleId="Piedepgina">
    <w:name w:val="footer"/>
    <w:basedOn w:val="Normal"/>
    <w:semiHidden/>
    <w:rsid w:val="001B789F"/>
    <w:pPr>
      <w:tabs>
        <w:tab w:val="center" w:pos="4419"/>
        <w:tab w:val="right" w:pos="8838"/>
      </w:tabs>
    </w:pPr>
  </w:style>
  <w:style w:type="character" w:styleId="Refdenotaalpie">
    <w:name w:val="footnote reference"/>
    <w:uiPriority w:val="99"/>
    <w:rsid w:val="001B789F"/>
    <w:rPr>
      <w:vertAlign w:val="superscript"/>
    </w:rPr>
  </w:style>
  <w:style w:type="paragraph" w:styleId="Textonotapie">
    <w:name w:val="footnote text"/>
    <w:basedOn w:val="Normal"/>
    <w:rsid w:val="001B789F"/>
    <w:rPr>
      <w:szCs w:val="22"/>
    </w:rPr>
  </w:style>
  <w:style w:type="paragraph" w:styleId="Encabezado">
    <w:name w:val="header"/>
    <w:basedOn w:val="Normal"/>
    <w:semiHidden/>
    <w:rsid w:val="001B789F"/>
    <w:pPr>
      <w:tabs>
        <w:tab w:val="center" w:pos="4419"/>
        <w:tab w:val="right" w:pos="8838"/>
      </w:tabs>
    </w:pPr>
  </w:style>
  <w:style w:type="character" w:styleId="Hipervnculo">
    <w:name w:val="Hyperlink"/>
    <w:uiPriority w:val="99"/>
    <w:rsid w:val="001B789F"/>
    <w:rPr>
      <w:color w:val="660000"/>
      <w:u w:val="single"/>
    </w:rPr>
  </w:style>
  <w:style w:type="paragraph" w:styleId="NormalWeb">
    <w:name w:val="Normal (Web)"/>
    <w:basedOn w:val="Normal"/>
    <w:semiHidden/>
    <w:rsid w:val="001B789F"/>
    <w:pPr>
      <w:spacing w:before="100" w:beforeAutospacing="1" w:after="100" w:afterAutospacing="1"/>
      <w:jc w:val="both"/>
    </w:pPr>
    <w:rPr>
      <w:sz w:val="24"/>
      <w:lang w:val="en-AU" w:eastAsia="en-AU"/>
    </w:rPr>
  </w:style>
  <w:style w:type="character" w:styleId="Nmerodepgina">
    <w:name w:val="page number"/>
    <w:basedOn w:val="Fuentedeprrafopredeter"/>
    <w:semiHidden/>
    <w:rsid w:val="001B789F"/>
  </w:style>
  <w:style w:type="character" w:styleId="Textoennegrita">
    <w:name w:val="Strong"/>
    <w:rsid w:val="001B789F"/>
    <w:rPr>
      <w:b/>
      <w:bCs/>
    </w:rPr>
  </w:style>
  <w:style w:type="table" w:styleId="Tablaconcuadrcula">
    <w:name w:val="Table Grid"/>
    <w:basedOn w:val="Tablanormal"/>
    <w:semiHidden/>
    <w:rsid w:val="001B7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1">
    <w:name w:val="tag1"/>
    <w:semiHidden/>
    <w:rsid w:val="001B789F"/>
    <w:rPr>
      <w:rFonts w:ascii="Verdana" w:hAnsi="Verdana" w:hint="default"/>
      <w:b w:val="0"/>
      <w:bCs w:val="0"/>
      <w:i w:val="0"/>
      <w:iCs w:val="0"/>
      <w:caps w:val="0"/>
      <w:smallCaps w:val="0"/>
      <w:strike w:val="0"/>
      <w:dstrike w:val="0"/>
      <w:color w:val="585858"/>
      <w:sz w:val="12"/>
      <w:szCs w:val="12"/>
      <w:u w:val="none"/>
      <w:effect w:val="none"/>
    </w:rPr>
  </w:style>
  <w:style w:type="paragraph" w:customStyle="1" w:styleId="TexteFr">
    <w:name w:val="TexteFr"/>
    <w:basedOn w:val="Normal"/>
    <w:semiHidden/>
    <w:rsid w:val="001B789F"/>
    <w:pPr>
      <w:pBdr>
        <w:top w:val="single" w:sz="4" w:space="1" w:color="auto"/>
        <w:left w:val="single" w:sz="4" w:space="4" w:color="auto"/>
        <w:bottom w:val="single" w:sz="4" w:space="1" w:color="auto"/>
        <w:right w:val="single" w:sz="4" w:space="4" w:color="auto"/>
      </w:pBdr>
      <w:shd w:val="pct10" w:color="000000" w:fill="auto"/>
      <w:tabs>
        <w:tab w:val="left" w:pos="1711"/>
        <w:tab w:val="left" w:pos="2209"/>
        <w:tab w:val="left" w:pos="2760"/>
        <w:tab w:val="left" w:pos="5101"/>
        <w:tab w:val="left" w:pos="5886"/>
        <w:tab w:val="left" w:pos="7128"/>
      </w:tabs>
      <w:ind w:left="272" w:hanging="272"/>
      <w:jc w:val="both"/>
    </w:pPr>
    <w:rPr>
      <w:szCs w:val="22"/>
      <w:lang w:val="fr-FR" w:eastAsia="en-AU"/>
    </w:rPr>
  </w:style>
  <w:style w:type="paragraph" w:customStyle="1" w:styleId="TextEn">
    <w:name w:val="TextEn"/>
    <w:basedOn w:val="Normal"/>
    <w:semiHidden/>
    <w:rsid w:val="001B789F"/>
    <w:pPr>
      <w:spacing w:after="120"/>
    </w:pPr>
    <w:rPr>
      <w:szCs w:val="22"/>
    </w:rPr>
  </w:style>
  <w:style w:type="paragraph" w:customStyle="1" w:styleId="TextEnSingle">
    <w:name w:val="TextEnSingle"/>
    <w:basedOn w:val="TextEn"/>
    <w:semiHidden/>
    <w:rsid w:val="001B789F"/>
    <w:pPr>
      <w:spacing w:after="0"/>
    </w:pPr>
  </w:style>
  <w:style w:type="paragraph" w:customStyle="1" w:styleId="TextSp">
    <w:name w:val="TextSp"/>
    <w:basedOn w:val="Normal"/>
    <w:semiHidden/>
    <w:rsid w:val="001B789F"/>
    <w:pPr>
      <w:spacing w:after="120"/>
    </w:pPr>
    <w:rPr>
      <w:szCs w:val="22"/>
      <w:lang w:val="es-AR" w:eastAsia="es-ES"/>
    </w:rPr>
  </w:style>
  <w:style w:type="paragraph" w:styleId="TDC1">
    <w:name w:val="toc 1"/>
    <w:basedOn w:val="Normal"/>
    <w:next w:val="Normal"/>
    <w:autoRedefine/>
    <w:semiHidden/>
    <w:rsid w:val="001B789F"/>
    <w:rPr>
      <w:b/>
      <w:bCs/>
      <w:i/>
      <w:iCs/>
      <w:sz w:val="24"/>
    </w:rPr>
  </w:style>
  <w:style w:type="paragraph" w:styleId="TDC2">
    <w:name w:val="toc 2"/>
    <w:basedOn w:val="Normal"/>
    <w:next w:val="Normal"/>
    <w:autoRedefine/>
    <w:semiHidden/>
    <w:rsid w:val="001B789F"/>
    <w:pPr>
      <w:ind w:left="220"/>
    </w:pPr>
    <w:rPr>
      <w:b/>
      <w:bCs/>
      <w:szCs w:val="22"/>
    </w:rPr>
  </w:style>
  <w:style w:type="paragraph" w:styleId="TDC3">
    <w:name w:val="toc 3"/>
    <w:basedOn w:val="Normal"/>
    <w:next w:val="Normal"/>
    <w:autoRedefine/>
    <w:semiHidden/>
    <w:rsid w:val="001B789F"/>
    <w:pPr>
      <w:ind w:left="440"/>
    </w:pPr>
    <w:rPr>
      <w:sz w:val="20"/>
      <w:szCs w:val="20"/>
    </w:rPr>
  </w:style>
  <w:style w:type="paragraph" w:styleId="TDC4">
    <w:name w:val="toc 4"/>
    <w:basedOn w:val="Normal"/>
    <w:next w:val="Normal"/>
    <w:autoRedefine/>
    <w:semiHidden/>
    <w:rsid w:val="001B789F"/>
    <w:pPr>
      <w:ind w:left="660"/>
    </w:pPr>
    <w:rPr>
      <w:sz w:val="20"/>
      <w:szCs w:val="20"/>
    </w:rPr>
  </w:style>
  <w:style w:type="paragraph" w:styleId="TDC5">
    <w:name w:val="toc 5"/>
    <w:basedOn w:val="Normal"/>
    <w:next w:val="Normal"/>
    <w:autoRedefine/>
    <w:semiHidden/>
    <w:rsid w:val="001B789F"/>
    <w:pPr>
      <w:ind w:left="880"/>
    </w:pPr>
    <w:rPr>
      <w:sz w:val="20"/>
      <w:szCs w:val="20"/>
    </w:rPr>
  </w:style>
  <w:style w:type="paragraph" w:styleId="TDC6">
    <w:name w:val="toc 6"/>
    <w:basedOn w:val="Normal"/>
    <w:next w:val="Normal"/>
    <w:autoRedefine/>
    <w:semiHidden/>
    <w:rsid w:val="001B789F"/>
    <w:pPr>
      <w:ind w:left="1100"/>
    </w:pPr>
    <w:rPr>
      <w:sz w:val="20"/>
      <w:szCs w:val="20"/>
    </w:rPr>
  </w:style>
  <w:style w:type="paragraph" w:styleId="TDC7">
    <w:name w:val="toc 7"/>
    <w:basedOn w:val="Normal"/>
    <w:next w:val="Normal"/>
    <w:autoRedefine/>
    <w:semiHidden/>
    <w:rsid w:val="001B789F"/>
    <w:pPr>
      <w:ind w:left="1320"/>
    </w:pPr>
    <w:rPr>
      <w:sz w:val="20"/>
      <w:szCs w:val="20"/>
    </w:rPr>
  </w:style>
  <w:style w:type="paragraph" w:styleId="TDC8">
    <w:name w:val="toc 8"/>
    <w:basedOn w:val="Normal"/>
    <w:next w:val="Normal"/>
    <w:autoRedefine/>
    <w:semiHidden/>
    <w:rsid w:val="001B789F"/>
    <w:pPr>
      <w:ind w:left="1540"/>
    </w:pPr>
    <w:rPr>
      <w:sz w:val="20"/>
      <w:szCs w:val="20"/>
    </w:rPr>
  </w:style>
  <w:style w:type="paragraph" w:styleId="TDC9">
    <w:name w:val="toc 9"/>
    <w:basedOn w:val="Normal"/>
    <w:next w:val="Normal"/>
    <w:autoRedefine/>
    <w:semiHidden/>
    <w:rsid w:val="001B789F"/>
    <w:pPr>
      <w:ind w:left="1760"/>
    </w:pPr>
    <w:rPr>
      <w:sz w:val="20"/>
      <w:szCs w:val="20"/>
    </w:rPr>
  </w:style>
  <w:style w:type="paragraph" w:customStyle="1" w:styleId="TytApp">
    <w:name w:val="Tyt. App."/>
    <w:basedOn w:val="Normal"/>
    <w:autoRedefine/>
    <w:semiHidden/>
    <w:rsid w:val="001B789F"/>
    <w:pPr>
      <w:widowControl w:val="0"/>
      <w:numPr>
        <w:ilvl w:val="12"/>
      </w:numPr>
      <w:tabs>
        <w:tab w:val="left" w:pos="90"/>
        <w:tab w:val="left" w:pos="737"/>
        <w:tab w:val="left" w:pos="2835"/>
      </w:tabs>
      <w:spacing w:before="180" w:after="40" w:line="260" w:lineRule="exact"/>
      <w:jc w:val="center"/>
    </w:pPr>
    <w:rPr>
      <w:b/>
      <w:snapToGrid w:val="0"/>
      <w:color w:val="000000"/>
      <w:sz w:val="24"/>
      <w:szCs w:val="20"/>
      <w:lang w:eastAsia="es-ES"/>
    </w:rPr>
  </w:style>
  <w:style w:type="paragraph" w:styleId="Prrafodelista">
    <w:name w:val="List Paragraph"/>
    <w:basedOn w:val="Normal"/>
    <w:uiPriority w:val="34"/>
    <w:rsid w:val="00BF077B"/>
    <w:pPr>
      <w:ind w:left="720"/>
    </w:pPr>
  </w:style>
  <w:style w:type="character" w:styleId="Ttulodellibro">
    <w:name w:val="Book Title"/>
    <w:uiPriority w:val="33"/>
    <w:rsid w:val="00BF077B"/>
    <w:rPr>
      <w:b/>
      <w:bCs/>
      <w:smallCaps/>
      <w:spacing w:val="5"/>
    </w:rPr>
  </w:style>
  <w:style w:type="paragraph" w:customStyle="1" w:styleId="ATSMeasureEmphasis">
    <w:name w:val="ATS Measure Emphasis"/>
    <w:basedOn w:val="Normal"/>
    <w:qFormat/>
    <w:rsid w:val="009E64FE"/>
    <w:pPr>
      <w:spacing w:before="120" w:after="360"/>
    </w:pPr>
    <w:rPr>
      <w:b/>
      <w:sz w:val="24"/>
      <w:lang w:eastAsia="en-GB"/>
    </w:rPr>
  </w:style>
  <w:style w:type="character" w:customStyle="1" w:styleId="ATSHeading2Char">
    <w:name w:val="ATS Heading 2 Char"/>
    <w:link w:val="ATSHeading2"/>
    <w:locked/>
    <w:rsid w:val="00314F93"/>
    <w:rPr>
      <w:rFonts w:ascii="Arial" w:hAnsi="Arial"/>
      <w:b/>
      <w:i/>
      <w:sz w:val="24"/>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creativecommons.org/licenses/by/4.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creativecommons.org/licenses/by/4.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i.org/10.1038/s41561-025-01911-0" TargetMode="External"/><Relationship Id="rId13" Type="http://schemas.openxmlformats.org/officeDocument/2006/relationships/hyperlink" Target="https://doi.org/10.1038/s43017-025-00746-y" TargetMode="External"/><Relationship Id="rId18" Type="http://schemas.openxmlformats.org/officeDocument/2006/relationships/hyperlink" Target="https://doi.org/10.1111/gcb.70290" TargetMode="External"/><Relationship Id="rId3" Type="http://schemas.openxmlformats.org/officeDocument/2006/relationships/hyperlink" Target="https://wmo.int/news/media-centre/wmo-confirms-2025-was-one-of-warmest-years-record" TargetMode="External"/><Relationship Id="rId21" Type="http://schemas.openxmlformats.org/officeDocument/2006/relationships/hyperlink" Target="https://doi.org/10.1111%2F1365-2656.70201" TargetMode="External"/><Relationship Id="rId7" Type="http://schemas.openxmlformats.org/officeDocument/2006/relationships/hyperlink" Target="https://doi.org/10.1038/s43247-025-02792-2" TargetMode="External"/><Relationship Id="rId12" Type="http://schemas.openxmlformats.org/officeDocument/2006/relationships/hyperlink" Target="https://doi.org/10.5194/tc-19-1641-2025" TargetMode="External"/><Relationship Id="rId17" Type="http://schemas.openxmlformats.org/officeDocument/2006/relationships/hyperlink" Target="https://doi.org/10.106/j.marpolbul.2025.118142" TargetMode="External"/><Relationship Id="rId2" Type="http://schemas.openxmlformats.org/officeDocument/2006/relationships/hyperlink" Target="https://doi.org/10.1038/s41586-025-09349-5" TargetMode="External"/><Relationship Id="rId16" Type="http://schemas.openxmlformats.org/officeDocument/2006/relationships/hyperlink" Target="https://doi.org/10.1038/s41561-025-01802-4" TargetMode="External"/><Relationship Id="rId20" Type="http://schemas.openxmlformats.org/officeDocument/2006/relationships/hyperlink" Target="https://doi.org/10.1038/s42003-025-09014-7" TargetMode="External"/><Relationship Id="rId1" Type="http://schemas.openxmlformats.org/officeDocument/2006/relationships/hyperlink" Target="http://www.scar.org" TargetMode="External"/><Relationship Id="rId6" Type="http://schemas.openxmlformats.org/officeDocument/2006/relationships/hyperlink" Target="https://doi.org/10.1038/s43247-023-00961-9" TargetMode="External"/><Relationship Id="rId11" Type="http://schemas.openxmlformats.org/officeDocument/2006/relationships/hyperlink" Target="https://doi.org/10.1038/s41558-025-02363-5" TargetMode="External"/><Relationship Id="rId24" Type="http://schemas.openxmlformats.org/officeDocument/2006/relationships/hyperlink" Target="https://doi.org/10.1038/s44358-025-00113-1" TargetMode="External"/><Relationship Id="rId5" Type="http://schemas.openxmlformats.org/officeDocument/2006/relationships/hyperlink" Target="https://doi.org/10.1029/2025GL116688" TargetMode="External"/><Relationship Id="rId15" Type="http://schemas.openxmlformats.org/officeDocument/2006/relationships/hyperlink" Target="https://doi.org/10.1038/s41558-025-02554-0" TargetMode="External"/><Relationship Id="rId23" Type="http://schemas.openxmlformats.org/officeDocument/2006/relationships/hyperlink" Target="https://doi.org/10.1002/ecog.08175" TargetMode="External"/><Relationship Id="rId10" Type="http://schemas.openxmlformats.org/officeDocument/2006/relationships/hyperlink" Target="https://doi.org/10.1038/s43017-024-00634-x" TargetMode="External"/><Relationship Id="rId19" Type="http://schemas.openxmlformats.org/officeDocument/2006/relationships/hyperlink" Target="https://doi.org/10.1038/s41598-026-36897-1" TargetMode="External"/><Relationship Id="rId4" Type="http://schemas.openxmlformats.org/officeDocument/2006/relationships/hyperlink" Target="https://doi.org/10.1029/2025GL115256" TargetMode="External"/><Relationship Id="rId9" Type="http://schemas.openxmlformats.org/officeDocument/2006/relationships/hyperlink" Target="https://doi.org/10.1038/s41467-026-69011-0" TargetMode="External"/><Relationship Id="rId14" Type="http://schemas.openxmlformats.org/officeDocument/2006/relationships/hyperlink" Target="https://doi.org/10.1126/sciadv.aea0024" TargetMode="External"/><Relationship Id="rId22" Type="http://schemas.openxmlformats.org/officeDocument/2006/relationships/hyperlink" Target="https://doi.org/10.1002/gcb4.700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D6A62-F981-4292-A123-1E093CC7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1685</Words>
  <Characters>9271</Characters>
  <Application>Microsoft Office Word</Application>
  <DocSecurity>0</DocSecurity>
  <Lines>77</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(Paper title:)</vt:lpstr>
      <vt:lpstr>(Paper title:)</vt:lpstr>
    </vt:vector>
  </TitlesOfParts>
  <Company>ATS</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creator>Mauro</dc:creator>
  <cp:lastModifiedBy>Lepe Zamora Rodrigo</cp:lastModifiedBy>
  <cp:revision>2</cp:revision>
  <cp:lastPrinted>2008-01-22T18:20:00Z</cp:lastPrinted>
  <dcterms:created xsi:type="dcterms:W3CDTF">2026-04-24T12:11:00Z</dcterms:created>
  <dcterms:modified xsi:type="dcterms:W3CDTF">2026-04-24T12:11:00Z</dcterms:modified>
</cp:coreProperties>
</file>