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pPr>
    </w:p>
    <w:p>
      <w:pPr>
        <w:spacing w:after="120"/>
        <w:jc w:val="center"/>
      </w:pPr>
      <w:r>
        <w:rPr>
          <w:rFonts w:ascii="Calibri" w:cs="Calibri" w:eastAsia="Calibri" w:hAnsi="Calibri"/>
          <w:b/>
          <w:bCs/>
          <w:caps/>
          <w:color w:val="1F3864"/>
          <w:sz w:val="26"/>
          <w:szCs w:val="26"/>
        </w:rPr>
        <w:t xml:space="preserve">ARMADA DE CHILE</w:t>
      </w:r>
    </w:p>
    <w:p>
      <w:pPr>
        <w:spacing w:after="500"/>
        <w:jc w:val="center"/>
      </w:pPr>
      <w:r>
        <w:rPr>
          <w:rFonts w:ascii="Calibri" w:cs="Calibri" w:eastAsia="Calibri" w:hAnsi="Calibri"/>
          <w:b/>
          <w:bCs/>
          <w:color w:val="A97E2F"/>
          <w:sz w:val="30"/>
          <w:szCs w:val="30"/>
        </w:rPr>
        <w:t xml:space="preserve">ESCUELA NAVAL "ARTURO PRAT"</w:t>
      </w:r>
    </w:p>
    <w:p>
      <w:pPr>
        <w:spacing w:after="0"/>
      </w:pPr>
      <w:r>
        <w:rPr>
          <w:rFonts w:ascii="Calibri" w:cs="Calibri" w:eastAsia="Calibri" w:hAnsi="Calibri"/>
          <w:b/>
          <w:bCs/>
          <w:color w:val="1F3864"/>
          <w:sz w:val="96"/>
          <w:szCs w:val="96"/>
        </w:rPr>
        <w:t xml:space="preserve">Plan</w:t>
      </w:r>
    </w:p>
    <w:p>
      <w:pPr>
        <w:spacing w:after="0"/>
      </w:pPr>
      <w:r>
        <w:rPr>
          <w:rFonts w:ascii="Calibri" w:cs="Calibri" w:eastAsia="Calibri" w:hAnsi="Calibri"/>
          <w:b/>
          <w:bCs/>
          <w:color w:val="1F3864"/>
          <w:sz w:val="64"/>
          <w:szCs w:val="64"/>
        </w:rPr>
        <w:t xml:space="preserve">Estratégico</w:t>
      </w:r>
    </w:p>
    <w:p>
      <w:pPr>
        <w:spacing w:after="200"/>
      </w:pPr>
      <w:r>
        <w:rPr>
          <w:rFonts w:ascii="Calibri" w:cs="Calibri" w:eastAsia="Calibri" w:hAnsi="Calibri"/>
          <w:b/>
          <w:bCs/>
          <w:color w:val="1F3864"/>
          <w:sz w:val="64"/>
          <w:szCs w:val="64"/>
        </w:rPr>
        <w:t xml:space="preserve">Institucional</w:t>
      </w:r>
    </w:p>
    <w:p>
      <w:pPr>
        <w:spacing w:after="60"/>
        <w:jc w:val="right"/>
      </w:pPr>
      <w:r>
        <w:rPr>
          <w:rFonts w:ascii="Calibri" w:cs="Calibri" w:eastAsia="Calibri" w:hAnsi="Calibri"/>
          <w:color w:val="5A6B80"/>
          <w:sz w:val="56"/>
          <w:szCs w:val="56"/>
        </w:rPr>
        <w:t xml:space="preserve">2026</w:t>
      </w:r>
    </w:p>
    <w:p>
      <w:pPr>
        <w:spacing w:after="300"/>
        <w:jc w:val="right"/>
      </w:pPr>
      <w:r>
        <w:rPr>
          <w:rFonts w:ascii="Calibri" w:cs="Calibri" w:eastAsia="Calibri" w:hAnsi="Calibri"/>
          <w:b/>
          <w:bCs/>
          <w:color w:val="1F3864"/>
          <w:sz w:val="56"/>
          <w:szCs w:val="56"/>
        </w:rPr>
        <w:t xml:space="preserve">|2032</w:t>
      </w:r>
    </w:p>
    <w:p>
      <w:pPr>
        <w:spacing w:after="400"/>
      </w:pPr>
      <w:r>
        <w:rPr>
          <w:rFonts w:ascii="Calibri" w:cs="Calibri" w:eastAsia="Calibri" w:hAnsi="Calibri"/>
          <w:color w:val="1B6CA8"/>
          <w:sz w:val="28"/>
          <w:szCs w:val="28"/>
        </w:rPr>
        <w:t xml:space="preserve">Formando líderes íntegros para servir a la Patria en el mar</w:t>
      </w:r>
    </w:p>
    <w:p>
      <w:pPr>
        <w:jc w:val="center"/>
      </w:pPr>
      <w:r>
        <w:drawing>
          <wp:inline distT="0" distB="0" distL="0" distR="0">
            <wp:extent cx="5715000" cy="357187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3571875"/>
                    </a:xfrm>
                    <a:prstGeom prst="rect">
                      <a:avLst/>
                    </a:prstGeom>
                  </pic:spPr>
                </pic:pic>
              </a:graphicData>
            </a:graphic>
          </wp:inline>
        </w:drawing>
      </w:r>
    </w:p>
    <w:p>
      <w:pPr>
        <w:spacing w:before="100"/>
        <w:jc w:val="center"/>
      </w:pPr>
      <w:r>
        <w:drawing>
          <wp:inline distT="0" distB="0" distL="0" distR="0">
            <wp:extent cx="5715000" cy="22860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2286000"/>
                    </a:xfrm>
                    <a:prstGeom prst="rect">
                      <a:avLst/>
                    </a:prstGeom>
                  </pic:spPr>
                </pic:pic>
              </a:graphicData>
            </a:graphic>
          </wp:inline>
        </w:drawing>
      </w:r>
    </w:p>
    <w:p>
      <w:r>
        <w:br w:type="page"/>
      </w:r>
    </w:p>
    <w:p>
      <w:pPr>
        <w:spacing w:after="300" w:before="200"/>
      </w:pPr>
      <w:r>
        <w:rPr>
          <w:rFonts w:ascii="Calibri" w:cs="Calibri" w:eastAsia="Calibri" w:hAnsi="Calibri"/>
          <w:b/>
          <w:bCs/>
          <w:caps/>
          <w:color w:val="1F3864"/>
          <w:sz w:val="48"/>
          <w:szCs w:val="48"/>
        </w:rPr>
        <w:t xml:space="preserve">Índice</w:t>
      </w:r>
    </w:p>
    <w:sdt>
      <w:sdtPr>
        <w:alias w:val="Tabla de contenido"/>
      </w:sdtPr>
      <w:sdtContent>
        <w:p>
          <w:r>
            <w:fldChar w:fldCharType="begin" w:dirty="true"/>
            <w:instrText xml:space="preserve">TOC \h \o "1-2"</w:instrText>
            <w:fldChar w:fldCharType="separate"/>
          </w:r>
        </w:p>
        <w:p>
          <w:r>
            <w:fldChar w:fldCharType="end"/>
          </w:r>
        </w:p>
      </w:sdtContent>
    </w:sdt>
    <w:p>
      <w:pPr>
        <w:spacing w:after="0" w:before="0" w:line="300"/>
        <w:jc w:val="both"/>
      </w:pPr>
      <w:r>
        <w:rPr>
          <w:rFonts w:ascii="Calibri" w:cs="Calibri" w:eastAsia="Calibri" w:hAnsi="Calibri"/>
          <w:b w:val="false"/>
          <w:bCs w:val="false"/>
          <w:i/>
          <w:iCs/>
          <w:color w:val="5A6B80"/>
          <w:sz w:val="18"/>
          <w:szCs w:val="18"/>
        </w:rPr>
        <w:t xml:space="preserve">Nota: actualice esta tabla en Word (clic derecho → Actualizar campos) para reflejar la paginación final.</w:t>
      </w:r>
    </w:p>
    <w:p>
      <w:r>
        <w:br w:type="page"/>
      </w:r>
    </w:p>
    <w:p>
      <w:pPr>
        <w:pStyle w:val="Heading1"/>
        <w:spacing w:after="100"/>
      </w:pPr>
      <w:r>
        <w:rPr>
          <w:rFonts w:ascii="Calibri" w:cs="Calibri" w:eastAsia="Calibri" w:hAnsi="Calibri"/>
          <w:b/>
          <w:bCs/>
          <w:color w:val="1F3864"/>
          <w:sz w:val="48"/>
          <w:szCs w:val="48"/>
        </w:rPr>
        <w:t xml:space="preserve">PALABRAS DEL DIRECTOR</w:t>
      </w:r>
    </w:p>
    <w:p>
      <w:pPr>
        <w:spacing w:after="200"/>
        <w:jc w:val="center"/>
      </w:pPr>
      <w:r>
        <w:drawing>
          <wp:inline distT="0" distB="0" distL="0" distR="0">
            <wp:extent cx="2476500" cy="30289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2476500" cy="3028950"/>
                    </a:xfrm>
                    <a:prstGeom prst="rect">
                      <a:avLst/>
                    </a:prstGeom>
                  </pic:spPr>
                </pic:pic>
              </a:graphicData>
            </a:graphic>
          </wp:inline>
        </w:drawing>
      </w:r>
    </w:p>
    <w:p>
      <w:pPr>
        <w:spacing w:after="200" w:before="0" w:line="300"/>
        <w:jc w:val="both"/>
      </w:pPr>
      <w:r>
        <w:rPr>
          <w:rFonts w:ascii="Calibri" w:cs="Calibri" w:eastAsia="Calibri" w:hAnsi="Calibri"/>
          <w:b w:val="false"/>
          <w:bCs w:val="false"/>
          <w:i w:val="false"/>
          <w:iCs w:val="false"/>
          <w:color w:val="333333"/>
          <w:sz w:val="22"/>
          <w:szCs w:val="22"/>
        </w:rPr>
        <w:t xml:space="preserve">La Escuela Naval “Arturo Prat” es la institución matriz de la formación de los Oficiales de la Armada de Chile. Desde su creación, su propósito esencial ha sido entregar al país hombres y mujeres íntegros, formados en valores, competencias profesionales y liderazgo, capaces de asumir responsabilidades crecientes en tiempos de paz y de guerra. Su labor trasciende el ámbito estrictamente académico: integra la disciplina militar, la formación física, el desarrollo ético y el compromiso con la Patria.</w:t>
      </w:r>
    </w:p>
    <w:p>
      <w:pPr>
        <w:spacing w:after="200" w:before="0" w:line="300"/>
        <w:jc w:val="both"/>
      </w:pPr>
      <w:r>
        <w:rPr>
          <w:rFonts w:ascii="Calibri" w:cs="Calibri" w:eastAsia="Calibri" w:hAnsi="Calibri"/>
          <w:b w:val="false"/>
          <w:bCs w:val="false"/>
          <w:i w:val="false"/>
          <w:iCs w:val="false"/>
          <w:color w:val="333333"/>
          <w:sz w:val="22"/>
          <w:szCs w:val="22"/>
        </w:rPr>
        <w:t xml:space="preserve">La importancia estratégica de la Escuela radica en que constituye el punto de inicio del ciclo profesional del Oficial de Marina. Aquí se definen los cimientos de su identidad institucional, su comprensión del rol de la Armada en la defensa y seguridad nacional, y su vocación de servicio hacia la comunidad.</w:t>
      </w:r>
    </w:p>
    <w:p>
      <w:pPr>
        <w:spacing w:after="200" w:before="0" w:line="300"/>
        <w:jc w:val="both"/>
      </w:pPr>
      <w:r>
        <w:rPr>
          <w:rFonts w:ascii="Calibri" w:cs="Calibri" w:eastAsia="Calibri" w:hAnsi="Calibri"/>
          <w:b w:val="false"/>
          <w:bCs w:val="false"/>
          <w:i w:val="false"/>
          <w:iCs w:val="false"/>
          <w:color w:val="333333"/>
          <w:sz w:val="22"/>
          <w:szCs w:val="22"/>
        </w:rPr>
        <w:t xml:space="preserve">En su permanente búsqueda de excelencia, la Escuela Naval promueve una cultura de mejoramiento continuo. Fruto de ese compromiso, y tras un riguroso proceso de autoevaluación desarrollado entre 2023 y 2024, la Comisión Nacional de Acreditación resolvió, con fecha 17 de junio de 2025, acreditar a la Escuela Naval en el nivel de excelencia por seis años, en las dimensiones de Docencia y Resultados del Proceso de Formación, Gestión Estratégica y Recursos Institucionales y Aseguramiento Interno de la Calidad, así como en las dimensiones voluntarias de Vinculación con el Medio e Investigación, Creación y/o Innovación.</w:t>
      </w:r>
    </w:p>
    <w:p>
      <w:pPr>
        <w:spacing w:after="200" w:before="0" w:line="300"/>
        <w:jc w:val="both"/>
      </w:pPr>
      <w:r>
        <w:rPr>
          <w:rFonts w:ascii="Calibri" w:cs="Calibri" w:eastAsia="Calibri" w:hAnsi="Calibri"/>
          <w:b w:val="false"/>
          <w:bCs w:val="false"/>
          <w:i w:val="false"/>
          <w:iCs w:val="false"/>
          <w:color w:val="333333"/>
          <w:sz w:val="22"/>
          <w:szCs w:val="22"/>
        </w:rPr>
        <w:t xml:space="preserve">Este reconocimiento honra, pero sobre todo compromete. El Plan Estratégico Institucional 2026–2032 que se presenta a continuación es la carta de navegación con la cual la Escuela proyectará ese estándar de excelencia hacia su próximo proceso de acreditación, que se iniciará el primer semestre de 2030. En él se recogen los aprendizajes de los procesos anteriores, las observaciones formuladas por la CNA y el trabajo de toda la organización, para asegurar que la institución continúe siendo referente en la formación de líderes navales que resguarden los intereses marítimos, la soberanía y la seguridad nacional.</w:t>
      </w:r>
    </w:p>
    <w:p>
      <w:pPr>
        <w:spacing w:after="200" w:before="0" w:line="300"/>
        <w:jc w:val="both"/>
      </w:pPr>
      <w:r>
        <w:rPr>
          <w:rFonts w:ascii="Calibri" w:cs="Calibri" w:eastAsia="Calibri" w:hAnsi="Calibri"/>
          <w:b w:val="false"/>
          <w:bCs w:val="false"/>
          <w:i w:val="false"/>
          <w:iCs w:val="false"/>
          <w:color w:val="333333"/>
          <w:sz w:val="22"/>
          <w:szCs w:val="22"/>
        </w:rPr>
        <w:t xml:space="preserve">Con la dedicación de cada integrante de esta dotación, y fieles a nuestro lema, habremos de conquistar, una vez más, el futuro de la Escuela Naval.</w:t>
      </w:r>
    </w:p>
    <w:p>
      <w:pPr>
        <w:spacing w:after="300"/>
      </w:pPr>
    </w:p>
    <w:p>
      <w:pPr>
        <w:spacing w:after="20" w:before="0" w:line="300"/>
        <w:jc w:val="center"/>
      </w:pPr>
      <w:r>
        <w:rPr>
          <w:rFonts w:ascii="Calibri" w:cs="Calibri" w:eastAsia="Calibri" w:hAnsi="Calibri"/>
          <w:b/>
          <w:bCs/>
          <w:i w:val="false"/>
          <w:iCs w:val="false"/>
          <w:color w:val="333333"/>
          <w:sz w:val="22"/>
          <w:szCs w:val="22"/>
        </w:rPr>
        <w:t xml:space="preserve">[Nombre del Director]</w:t>
      </w:r>
    </w:p>
    <w:p>
      <w:pPr>
        <w:spacing w:after="200" w:before="0" w:line="300"/>
        <w:jc w:val="center"/>
      </w:pPr>
      <w:r>
        <w:rPr>
          <w:rFonts w:ascii="Calibri" w:cs="Calibri" w:eastAsia="Calibri" w:hAnsi="Calibri"/>
          <w:b w:val="false"/>
          <w:bCs w:val="false"/>
          <w:i w:val="false"/>
          <w:iCs w:val="false"/>
          <w:color w:val="5A6B80"/>
          <w:sz w:val="20"/>
          <w:szCs w:val="20"/>
        </w:rPr>
        <w:t xml:space="preserve">Director de la Escuela Naval “Arturo Prat”</w:t>
      </w:r>
    </w:p>
    <w:p>
      <w:r>
        <w:br w:type="page"/>
      </w:r>
    </w:p>
    <w:p>
      <w:pPr>
        <w:pStyle w:val="Heading1"/>
        <w:spacing w:after="0"/>
      </w:pPr>
      <w:r>
        <w:rPr>
          <w:sz w:val="2"/>
          <w:szCs w:val="2"/>
        </w:rPr>
        <w:t xml:space="preserve"> </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9360"/>
      </w:tblGrid>
      <w:tr>
        <w:tc>
          <w:tcPr>
            <w:tcW w:type="dxa" w:w="9360"/>
            <w:shd w:fill="1F3864" w:val="clear"/>
            <w:tcMar>
              <w:top w:type="dxa" w:w="100"/>
              <w:left w:type="dxa" w:w="100"/>
              <w:bottom w:type="dxa" w:w="100"/>
              <w:right w:type="dxa" w:w="100"/>
            </w:tcMar>
          </w:tcPr>
          <w:p>
            <w:pPr>
              <w:spacing w:after="40" w:before="260"/>
              <w:ind w:left="500" w:right="400"/>
              <w:jc w:val="left"/>
            </w:pPr>
            <w:r>
              <w:rPr>
                <w:rFonts w:ascii="Calibri" w:cs="Calibri" w:eastAsia="Calibri" w:hAnsi="Calibri"/>
                <w:b/>
                <w:bCs/>
                <w:caps/>
                <w:color w:val="FFFFFF"/>
                <w:sz w:val="44"/>
                <w:szCs w:val="44"/>
              </w:rPr>
              <w:t xml:space="preserve">FORMULACIÓN</w:t>
            </w:r>
          </w:p>
          <w:p>
            <w:pPr>
              <w:spacing w:after="260" w:before="40"/>
              <w:ind w:left="500" w:right="400"/>
              <w:jc w:val="left"/>
            </w:pPr>
            <w:r>
              <w:rPr>
                <w:rFonts w:ascii="Calibri" w:cs="Calibri" w:eastAsia="Calibri" w:hAnsi="Calibri"/>
                <w:b w:val="false"/>
                <w:bCs w:val="false"/>
                <w:caps/>
                <w:color w:val="FFFFFF"/>
                <w:sz w:val="28"/>
                <w:szCs w:val="28"/>
              </w:rPr>
              <w:t xml:space="preserve">del Plan Estratégico Institucional 2026–2032</w:t>
            </w:r>
          </w:p>
        </w:tc>
      </w:tr>
    </w:tbl>
    <w:p>
      <w:pPr>
        <w:spacing w:after="200"/>
      </w:pPr>
    </w:p>
    <w:p>
      <w:pPr>
        <w:spacing w:after="200" w:before="0" w:line="300"/>
        <w:jc w:val="both"/>
      </w:pPr>
      <w:r>
        <w:rPr>
          <w:rFonts w:ascii="Calibri" w:cs="Calibri" w:eastAsia="Calibri" w:hAnsi="Calibri"/>
          <w:b w:val="false"/>
          <w:bCs w:val="false"/>
          <w:i w:val="false"/>
          <w:iCs w:val="false"/>
          <w:color w:val="333333"/>
          <w:sz w:val="22"/>
          <w:szCs w:val="22"/>
        </w:rPr>
        <w:t xml:space="preserve">El Plan Estratégico Institucional 2026–2032 corresponde a un nuevo ejercicio de planificación de la Escuela Naval, elaborado sobre la base del Plan Estratégico 2018–2025, la experiencia acumulada en cuatro procesos de acreditación institucional y el aprendizaje organizacional derivado del proceso de autoevaluación 2023–2024 y de la visita de pares evaluadores de noviembre de 2024.</w:t>
      </w:r>
    </w:p>
    <w:p>
      <w:pPr>
        <w:spacing w:after="200" w:before="0" w:line="300"/>
        <w:jc w:val="both"/>
      </w:pPr>
      <w:r>
        <w:rPr>
          <w:rFonts w:ascii="Calibri" w:cs="Calibri" w:eastAsia="Calibri" w:hAnsi="Calibri"/>
          <w:b w:val="false"/>
          <w:bCs w:val="false"/>
          <w:i w:val="false"/>
          <w:iCs w:val="false"/>
          <w:color w:val="333333"/>
          <w:sz w:val="22"/>
          <w:szCs w:val="22"/>
        </w:rPr>
        <w:t xml:space="preserve">Su formulación se desarrolló mediante una metodología participativa de tipo Bottom-Up: cada cargo, división y departamento identificó sus procesos y experiencias, aportando a los análisis PESTEL y FODA institucionales y a la revisión de la Visión y la Misión. Estas propuestas fueron validadas en instancias de conversación y reuniones estratégicas, incorporando además referentes de otros establecimientos de educación superior.</w:t>
      </w:r>
    </w:p>
    <w:p>
      <w:pPr>
        <w:spacing w:after="200" w:before="0" w:line="300"/>
        <w:jc w:val="both"/>
      </w:pPr>
      <w:r>
        <w:rPr>
          <w:rFonts w:ascii="Calibri" w:cs="Calibri" w:eastAsia="Calibri" w:hAnsi="Calibri"/>
          <w:b w:val="false"/>
          <w:bCs w:val="false"/>
          <w:i w:val="false"/>
          <w:iCs w:val="false"/>
          <w:color w:val="333333"/>
          <w:sz w:val="22"/>
          <w:szCs w:val="22"/>
        </w:rPr>
        <w:t xml:space="preserve">A diferencia de versiones anteriores, este Plan organiza su acción en ocho Lineamientos Estratégicos, estructura que asegura la cobertura explícita y trazable de las cinco dimensiones del sistema de acreditación establecido por la Ley N° 21.091 y los criterios y estándares vigentes de la Comisión Nacional de Acreditación: Docencia y Resultados del Proceso de Formación; Gestión Estratégica y Recursos Institucionales; Aseguramiento Interno de la Calidad; Vinculación con el Medio; e Investigación, Creación y/o Innovación. Cada lineamiento define objetivos estratégicos y planes de acción que serán objeto de seguimiento anual mediante el Sistema de Indicadores Institucionales (KPI–CMI) y el Sistema Interno de Aseguramiento de la Calidad (SIAC).</w:t>
      </w:r>
    </w:p>
    <w:p>
      <w:pPr>
        <w:spacing w:after="100"/>
      </w:pP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3120"/>
        <w:gridCol w:w="3120"/>
        <w:gridCol w:w="3120"/>
      </w:tblGrid>
      <w:tr>
        <w:tc>
          <w:tcPr>
            <w:tcW w:type="dxa" w:w="3120"/>
            <w:shd w:fill="EAEFF5" w:val="clear"/>
            <w:tcMar>
              <w:top w:type="dxa" w:w="150"/>
              <w:left w:type="dxa" w:w="150"/>
              <w:bottom w:type="dxa" w:w="150"/>
              <w:right w:type="dxa" w:w="150"/>
            </w:tcMar>
            <w:vAlign w:val="center"/>
          </w:tcPr>
          <w:p>
            <w:pPr>
              <w:spacing w:after="40"/>
              <w:jc w:val="center"/>
            </w:pPr>
            <w:r>
              <w:rPr>
                <w:rFonts w:ascii="Calibri" w:cs="Calibri" w:eastAsia="Calibri" w:hAnsi="Calibri"/>
                <w:b/>
                <w:bCs/>
                <w:color w:val="1F3864"/>
                <w:sz w:val="52"/>
                <w:szCs w:val="52"/>
              </w:rPr>
              <w:t xml:space="preserve">6 años</w:t>
            </w:r>
          </w:p>
          <w:p>
            <w:pPr>
              <w:jc w:val="center"/>
            </w:pPr>
            <w:r>
              <w:rPr>
                <w:rFonts w:ascii="Calibri" w:cs="Calibri" w:eastAsia="Calibri" w:hAnsi="Calibri"/>
                <w:color w:val="5A6B80"/>
                <w:sz w:val="19"/>
                <w:szCs w:val="19"/>
              </w:rPr>
              <w:t xml:space="preserve">Acreditación institucional en nivel de excelencia (CNA, Res. Ex. N° 790/2025)</w:t>
            </w:r>
          </w:p>
        </w:tc>
        <w:tc>
          <w:tcPr>
            <w:tcW w:type="dxa" w:w="3120"/>
            <w:shd w:fill="EAEFF5" w:val="clear"/>
            <w:tcMar>
              <w:top w:type="dxa" w:w="150"/>
              <w:left w:type="dxa" w:w="150"/>
              <w:bottom w:type="dxa" w:w="150"/>
              <w:right w:type="dxa" w:w="150"/>
            </w:tcMar>
            <w:vAlign w:val="center"/>
          </w:tcPr>
          <w:p>
            <w:pPr>
              <w:spacing w:after="40"/>
              <w:jc w:val="center"/>
            </w:pPr>
            <w:r>
              <w:rPr>
                <w:rFonts w:ascii="Calibri" w:cs="Calibri" w:eastAsia="Calibri" w:hAnsi="Calibri"/>
                <w:b/>
                <w:bCs/>
                <w:color w:val="A97E2F"/>
                <w:sz w:val="52"/>
                <w:szCs w:val="52"/>
              </w:rPr>
              <w:t xml:space="preserve">5</w:t>
            </w:r>
          </w:p>
          <w:p>
            <w:pPr>
              <w:jc w:val="center"/>
            </w:pPr>
            <w:r>
              <w:rPr>
                <w:rFonts w:ascii="Calibri" w:cs="Calibri" w:eastAsia="Calibri" w:hAnsi="Calibri"/>
                <w:color w:val="5A6B80"/>
                <w:sz w:val="19"/>
                <w:szCs w:val="19"/>
              </w:rPr>
              <w:t xml:space="preserve">Dimensiones acreditadas, incluidas las dos voluntarias</w:t>
            </w:r>
          </w:p>
        </w:tc>
        <w:tc>
          <w:tcPr>
            <w:tcW w:type="dxa" w:w="3120"/>
            <w:shd w:fill="EAEFF5" w:val="clear"/>
            <w:tcMar>
              <w:top w:type="dxa" w:w="150"/>
              <w:left w:type="dxa" w:w="150"/>
              <w:bottom w:type="dxa" w:w="150"/>
              <w:right w:type="dxa" w:w="150"/>
            </w:tcMar>
            <w:vAlign w:val="center"/>
          </w:tcPr>
          <w:p>
            <w:pPr>
              <w:spacing w:after="40"/>
              <w:jc w:val="center"/>
            </w:pPr>
            <w:r>
              <w:rPr>
                <w:rFonts w:ascii="Calibri" w:cs="Calibri" w:eastAsia="Calibri" w:hAnsi="Calibri"/>
                <w:b/>
                <w:bCs/>
                <w:color w:val="8C2B2B"/>
                <w:sz w:val="52"/>
                <w:szCs w:val="52"/>
              </w:rPr>
              <w:t xml:space="preserve">2030</w:t>
            </w:r>
          </w:p>
          <w:p>
            <w:pPr>
              <w:jc w:val="center"/>
            </w:pPr>
            <w:r>
              <w:rPr>
                <w:rFonts w:ascii="Calibri" w:cs="Calibri" w:eastAsia="Calibri" w:hAnsi="Calibri"/>
                <w:color w:val="5A6B80"/>
                <w:sz w:val="19"/>
                <w:szCs w:val="19"/>
              </w:rPr>
              <w:t xml:space="preserve">Inicio del próximo proceso de acreditación institucional</w:t>
            </w:r>
          </w:p>
        </w:tc>
      </w:tr>
    </w:tbl>
    <w:p>
      <w:pPr>
        <w:spacing w:after="200"/>
      </w:pPr>
    </w:p>
    <w:p>
      <w:pPr>
        <w:spacing w:after="200" w:before="0" w:line="300"/>
        <w:jc w:val="both"/>
      </w:pPr>
      <w:r>
        <w:rPr>
          <w:rFonts w:ascii="Calibri" w:cs="Calibri" w:eastAsia="Calibri" w:hAnsi="Calibri"/>
          <w:b w:val="false"/>
          <w:bCs w:val="false"/>
          <w:i w:val="false"/>
          <w:iCs w:val="false"/>
          <w:color w:val="333333"/>
          <w:sz w:val="22"/>
          <w:szCs w:val="22"/>
        </w:rPr>
        <w:t xml:space="preserve">El diagnóstico institucional consideró el seguimiento del plan anterior, los resultados del proceso de autoevaluación y acreditación, las brechas identificadas respecto de los criterios y estándares CNA, las tendencias en educación superior y de defensa, y el análisis del entorno político, económico, social, tecnológico, medioambiental y legal. Sobre esa base se establecieron las fortalezas, oportunidades, debilidades y amenazas que fundamentan los lineamientos de este Plan.</w:t>
      </w:r>
    </w:p>
    <w:p>
      <w:r>
        <w:br w:type="page"/>
      </w:r>
    </w:p>
    <w:p>
      <w:pPr>
        <w:pStyle w:val="Heading1"/>
        <w:spacing w:after="0"/>
      </w:pPr>
      <w:r>
        <w:rPr>
          <w:sz w:val="2"/>
          <w:szCs w:val="2"/>
        </w:rPr>
        <w:t xml:space="preserve"> </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9360"/>
      </w:tblGrid>
      <w:tr>
        <w:tc>
          <w:tcPr>
            <w:tcW w:type="dxa" w:w="9360"/>
            <w:shd w:fill="1F3864" w:val="clear"/>
            <w:tcMar>
              <w:top w:type="dxa" w:w="100"/>
              <w:left w:type="dxa" w:w="100"/>
              <w:bottom w:type="dxa" w:w="100"/>
              <w:right w:type="dxa" w:w="100"/>
            </w:tcMar>
          </w:tcPr>
          <w:p>
            <w:pPr>
              <w:spacing w:after="260" w:before="260"/>
              <w:ind w:left="500" w:right="400"/>
              <w:jc w:val="left"/>
            </w:pPr>
            <w:r>
              <w:rPr>
                <w:rFonts w:ascii="Calibri" w:cs="Calibri" w:eastAsia="Calibri" w:hAnsi="Calibri"/>
                <w:b/>
                <w:bCs/>
                <w:caps/>
                <w:color w:val="FFFFFF"/>
                <w:sz w:val="44"/>
                <w:szCs w:val="44"/>
              </w:rPr>
              <w:t xml:space="preserve">MISIÓN  ·  VISIÓN</w:t>
            </w:r>
          </w:p>
        </w:tc>
      </w:tr>
    </w:tbl>
    <w:p>
      <w:pPr>
        <w:spacing w:after="200"/>
      </w:pP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4680"/>
        <w:gridCol w:w="4680"/>
      </w:tblGrid>
      <w:tr>
        <w:tc>
          <w:tcPr>
            <w:tcW w:type="dxa" w:w="4680"/>
            <w:shd w:fill="F2F5FA" w:val="clear"/>
            <w:tcMar>
              <w:top w:type="dxa" w:w="200"/>
              <w:left w:type="dxa" w:w="250"/>
              <w:bottom w:type="dxa" w:w="200"/>
              <w:right w:type="dxa" w:w="250"/>
            </w:tcMar>
          </w:tcPr>
          <w:p>
            <w:pPr>
              <w:spacing w:after="160"/>
              <w:jc w:val="center"/>
            </w:pPr>
            <w:r>
              <w:rPr>
                <w:rFonts w:ascii="Calibri" w:cs="Calibri" w:eastAsia="Calibri" w:hAnsi="Calibri"/>
                <w:b/>
                <w:bCs/>
                <w:caps/>
                <w:color w:val="1F3864"/>
                <w:sz w:val="40"/>
                <w:szCs w:val="40"/>
              </w:rPr>
              <w:t xml:space="preserve">Misión</w:t>
            </w:r>
          </w:p>
          <w:p>
            <w:pPr>
              <w:spacing w:after="140" w:line="300"/>
              <w:jc w:val="center"/>
            </w:pPr>
            <w:r>
              <w:rPr>
                <w:rFonts w:ascii="Calibri" w:cs="Calibri" w:eastAsia="Calibri" w:hAnsi="Calibri"/>
                <w:i/>
                <w:iCs/>
                <w:color w:val="333333"/>
                <w:sz w:val="23"/>
                <w:szCs w:val="23"/>
              </w:rPr>
              <w:t xml:space="preserve">“Seleccionar y formar integralmente a los futuros oficiales de la Armada de Chile, en coherencia con el proyecto educativo institucional, con el propósito de entregar al servicio hombres y mujeres líderes, con el carácter para asumir crecientes responsabilidades y con el potencial de conducir los destinos institucionales en tiempo de paz y de guerra”.</w:t>
            </w:r>
          </w:p>
          <w:p>
            <w:pPr>
              <w:jc w:val="center"/>
            </w:pPr>
            <w:r>
              <w:rPr>
                <w:rFonts w:ascii="Calibri" w:cs="Calibri" w:eastAsia="Calibri" w:hAnsi="Calibri"/>
                <w:color w:val="5A6B80"/>
                <w:sz w:val="18"/>
                <w:szCs w:val="18"/>
              </w:rPr>
              <w:t xml:space="preserve">Coherente con el Proyecto Educativo Institucional de la Armada y el Reglamento Orgánico de la Escuela.</w:t>
            </w:r>
          </w:p>
        </w:tc>
        <w:tc>
          <w:tcPr>
            <w:tcW w:type="dxa" w:w="4680"/>
            <w:shd w:fill="F2F5FA" w:val="clear"/>
            <w:tcMar>
              <w:top w:type="dxa" w:w="200"/>
              <w:left w:type="dxa" w:w="250"/>
              <w:bottom w:type="dxa" w:w="200"/>
              <w:right w:type="dxa" w:w="250"/>
            </w:tcMar>
          </w:tcPr>
          <w:p>
            <w:pPr>
              <w:spacing w:after="160"/>
              <w:jc w:val="center"/>
            </w:pPr>
            <w:r>
              <w:rPr>
                <w:rFonts w:ascii="Calibri" w:cs="Calibri" w:eastAsia="Calibri" w:hAnsi="Calibri"/>
                <w:b/>
                <w:bCs/>
                <w:caps/>
                <w:color w:val="1F3864"/>
                <w:sz w:val="40"/>
                <w:szCs w:val="40"/>
              </w:rPr>
              <w:t xml:space="preserve">Visión 2026–2032</w:t>
            </w:r>
          </w:p>
          <w:p>
            <w:pPr>
              <w:spacing w:after="140" w:line="300"/>
              <w:jc w:val="center"/>
            </w:pPr>
            <w:r>
              <w:rPr>
                <w:rFonts w:ascii="Calibri" w:cs="Calibri" w:eastAsia="Calibri" w:hAnsi="Calibri"/>
                <w:i/>
                <w:iCs/>
                <w:color w:val="333333"/>
                <w:sz w:val="23"/>
                <w:szCs w:val="23"/>
              </w:rPr>
              <w:t xml:space="preserve">“Ser una Institución de Educación Superior de Excelencia, reconocida en el ámbito nacional e internacional como la formadora de Oficiales de Marina íntegros, que mantienen los Valores y Tradiciones navales al servicio de la Patria”.</w:t>
            </w:r>
          </w:p>
          <w:p>
            <w:pPr>
              <w:jc w:val="center"/>
            </w:pPr>
            <w:r>
              <w:rPr>
                <w:rFonts w:ascii="Calibri" w:cs="Calibri" w:eastAsia="Calibri" w:hAnsi="Calibri"/>
                <w:color w:val="5A6B80"/>
                <w:sz w:val="18"/>
                <w:szCs w:val="18"/>
              </w:rPr>
              <w:t xml:space="preserve">Validada mediante el proceso participativo Bottom-Up de formulación del presente Plan.</w:t>
            </w:r>
          </w:p>
        </w:tc>
      </w:tr>
    </w:tbl>
    <w:p>
      <w:pPr>
        <w:spacing w:after="240"/>
      </w:pPr>
    </w:p>
    <w:p>
      <w:pPr>
        <w:spacing w:after="200" w:before="0" w:line="300"/>
        <w:jc w:val="both"/>
      </w:pPr>
      <w:r>
        <w:rPr>
          <w:rFonts w:ascii="Calibri" w:cs="Calibri" w:eastAsia="Calibri" w:hAnsi="Calibri"/>
          <w:b w:val="false"/>
          <w:bCs w:val="false"/>
          <w:i w:val="false"/>
          <w:iCs w:val="false"/>
          <w:color w:val="333333"/>
          <w:sz w:val="22"/>
          <w:szCs w:val="22"/>
        </w:rPr>
        <w:t xml:space="preserve">La gestión educacional de la Escuela Naval se sustenta en tres pilares: el Modelo Educativo, el Modelo de Formación —que articula los seis submodelos de formación militar-naval, académica, profesional, valórica, físico-deportiva y cultural— y la Gestión Pedagógica, integrados en el Modelo de Educación Naval Orientado a Competencias (MEDOC), cuya implementación se inició el año 2024 y deberá estar consolidada al año 2029.</w:t>
      </w:r>
    </w:p>
    <w:p>
      <w:r>
        <w:br w:type="page"/>
      </w:r>
    </w:p>
    <w:p>
      <w:pPr>
        <w:pStyle w:val="Heading1"/>
        <w:spacing w:after="0"/>
      </w:pPr>
      <w:r>
        <w:rPr>
          <w:sz w:val="2"/>
          <w:szCs w:val="2"/>
        </w:rPr>
        <w:t xml:space="preserve"> </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9360"/>
      </w:tblGrid>
      <w:tr>
        <w:tc>
          <w:tcPr>
            <w:tcW w:type="dxa" w:w="9360"/>
            <w:shd w:fill="1F3864" w:val="clear"/>
            <w:tcMar>
              <w:top w:type="dxa" w:w="100"/>
              <w:left w:type="dxa" w:w="100"/>
              <w:bottom w:type="dxa" w:w="100"/>
              <w:right w:type="dxa" w:w="100"/>
            </w:tcMar>
          </w:tcPr>
          <w:p>
            <w:pPr>
              <w:spacing w:after="40" w:before="260"/>
              <w:ind w:left="500" w:right="400"/>
              <w:jc w:val="left"/>
            </w:pPr>
            <w:r>
              <w:rPr>
                <w:rFonts w:ascii="Calibri" w:cs="Calibri" w:eastAsia="Calibri" w:hAnsi="Calibri"/>
                <w:b/>
                <w:bCs/>
                <w:caps/>
                <w:color w:val="FFFFFF"/>
                <w:sz w:val="44"/>
                <w:szCs w:val="44"/>
              </w:rPr>
              <w:t xml:space="preserve">LINEAMIENTOS ESTRATÉGICOS</w:t>
            </w:r>
          </w:p>
          <w:p>
            <w:pPr>
              <w:spacing w:after="260" w:before="40"/>
              <w:ind w:left="500" w:right="400"/>
              <w:jc w:val="left"/>
            </w:pPr>
            <w:r>
              <w:rPr>
                <w:rFonts w:ascii="Calibri" w:cs="Calibri" w:eastAsia="Calibri" w:hAnsi="Calibri"/>
                <w:b w:val="false"/>
                <w:bCs w:val="false"/>
                <w:caps w:val="false"/>
                <w:color w:val="FFFFFF"/>
                <w:sz w:val="26"/>
                <w:szCs w:val="26"/>
              </w:rPr>
              <w:t xml:space="preserve">Los ocho lineamientos que enmarcan los objetivos del período 2026–2032 son:</w:t>
            </w:r>
          </w:p>
        </w:tc>
      </w:tr>
    </w:tbl>
    <w:p>
      <w:pPr>
        <w:spacing w:after="200"/>
      </w:pPr>
    </w:p>
    <w:tbl>
      <w:tblPr>
        <w:tblW w:type="pct" w:w="100%"/>
        <w:tblBorders>
          <w:top w:val="single" w:color="FFFFFF" w:sz="24"/>
          <w:left w:val="single" w:color="FFFFFF" w:sz="24"/>
          <w:bottom w:val="single" w:color="FFFFFF" w:sz="24"/>
          <w:right w:val="single" w:color="FFFFFF" w:sz="24"/>
          <w:insideH w:val="single" w:color="FFFFFF" w:sz="24"/>
          <w:insideV w:val="single" w:color="FFFFFF" w:sz="24"/>
        </w:tblBorders>
      </w:tblPr>
      <w:tblGrid>
        <w:gridCol w:w="4680"/>
        <w:gridCol w:w="4680"/>
      </w:tblGrid>
      <w:tr>
        <w:tc>
          <w:tcPr>
            <w:tcW w:type="dxa" w:w="4680"/>
            <w:shd w:fill="1F3864" w:val="clear"/>
            <w:tcMar>
              <w:top w:type="dxa" w:w="140"/>
              <w:left w:type="dxa" w:w="200"/>
              <w:bottom w:type="dxa" w:w="140"/>
              <w:right w:type="dxa" w:w="200"/>
            </w:tcMar>
            <w:vAlign w:val="center"/>
          </w:tcPr>
          <w:p>
            <w:pPr>
              <w:spacing w:after="40" w:line="300"/>
              <w:jc w:val="left"/>
            </w:pPr>
            <w:r>
              <w:rPr>
                <w:rFonts w:ascii="Calibri" w:cs="Calibri" w:eastAsia="Calibri" w:hAnsi="Calibri"/>
                <w:b/>
                <w:bCs/>
                <w:color w:val="FFFFFF"/>
                <w:sz w:val="52"/>
                <w:szCs w:val="52"/>
              </w:rPr>
              <w:t xml:space="preserve">1  </w:t>
            </w:r>
            <w:r>
              <w:rPr>
                <w:rFonts w:ascii="Calibri" w:cs="Calibri" w:eastAsia="Calibri" w:hAnsi="Calibri"/>
                <w:b/>
                <w:bCs/>
                <w:color w:val="FFFFFF"/>
                <w:sz w:val="24"/>
                <w:szCs w:val="24"/>
              </w:rPr>
              <w:t xml:space="preserve">IDENTIDAD NAVAL</w:t>
            </w:r>
          </w:p>
          <w:p>
            <w:r>
              <w:rPr>
                <w:rFonts w:ascii="Calibri" w:cs="Calibri" w:eastAsia="Calibri" w:hAnsi="Calibri"/>
                <w:i/>
                <w:iCs/>
                <w:color w:val="F0EAD8"/>
                <w:sz w:val="19"/>
                <w:szCs w:val="19"/>
              </w:rPr>
              <w:t xml:space="preserve">y valores como desafío permanente</w:t>
            </w:r>
          </w:p>
        </w:tc>
        <w:tc>
          <w:tcPr>
            <w:tcW w:type="dxa" w:w="4680"/>
            <w:shd w:fill="A97E2F" w:val="clear"/>
            <w:tcMar>
              <w:top w:type="dxa" w:w="140"/>
              <w:left w:type="dxa" w:w="200"/>
              <w:bottom w:type="dxa" w:w="140"/>
              <w:right w:type="dxa" w:w="200"/>
            </w:tcMar>
            <w:vAlign w:val="center"/>
          </w:tcPr>
          <w:p>
            <w:pPr>
              <w:spacing w:after="40" w:line="300"/>
              <w:jc w:val="left"/>
            </w:pPr>
            <w:r>
              <w:rPr>
                <w:rFonts w:ascii="Calibri" w:cs="Calibri" w:eastAsia="Calibri" w:hAnsi="Calibri"/>
                <w:b/>
                <w:bCs/>
                <w:color w:val="FFFFFF"/>
                <w:sz w:val="52"/>
                <w:szCs w:val="52"/>
              </w:rPr>
              <w:t xml:space="preserve">2  </w:t>
            </w:r>
            <w:r>
              <w:rPr>
                <w:rFonts w:ascii="Calibri" w:cs="Calibri" w:eastAsia="Calibri" w:hAnsi="Calibri"/>
                <w:b/>
                <w:bCs/>
                <w:color w:val="FFFFFF"/>
                <w:sz w:val="24"/>
                <w:szCs w:val="24"/>
              </w:rPr>
              <w:t xml:space="preserve">ADMISIÓN Y TRAYECTORIA</w:t>
            </w:r>
          </w:p>
          <w:p>
            <w:r>
              <w:rPr>
                <w:rFonts w:ascii="Calibri" w:cs="Calibri" w:eastAsia="Calibri" w:hAnsi="Calibri"/>
                <w:i/>
                <w:iCs/>
                <w:color w:val="F0EAD8"/>
                <w:sz w:val="19"/>
                <w:szCs w:val="19"/>
              </w:rPr>
              <w:t xml:space="preserve">calidad en la captación, selección y progresión del cadete</w:t>
            </w:r>
          </w:p>
        </w:tc>
      </w:tr>
      <w:tr>
        <w:tc>
          <w:tcPr>
            <w:tcW w:type="dxa" w:w="4680"/>
            <w:shd w:fill="8C2B2B" w:val="clear"/>
            <w:tcMar>
              <w:top w:type="dxa" w:w="140"/>
              <w:left w:type="dxa" w:w="200"/>
              <w:bottom w:type="dxa" w:w="140"/>
              <w:right w:type="dxa" w:w="200"/>
            </w:tcMar>
            <w:vAlign w:val="center"/>
          </w:tcPr>
          <w:p>
            <w:pPr>
              <w:spacing w:after="40" w:line="300"/>
              <w:jc w:val="left"/>
            </w:pPr>
            <w:r>
              <w:rPr>
                <w:rFonts w:ascii="Calibri" w:cs="Calibri" w:eastAsia="Calibri" w:hAnsi="Calibri"/>
                <w:b/>
                <w:bCs/>
                <w:color w:val="FFFFFF"/>
                <w:sz w:val="52"/>
                <w:szCs w:val="52"/>
              </w:rPr>
              <w:t xml:space="preserve">3  </w:t>
            </w:r>
            <w:r>
              <w:rPr>
                <w:rFonts w:ascii="Calibri" w:cs="Calibri" w:eastAsia="Calibri" w:hAnsi="Calibri"/>
                <w:b/>
                <w:bCs/>
                <w:color w:val="FFFFFF"/>
                <w:sz w:val="24"/>
                <w:szCs w:val="24"/>
              </w:rPr>
              <w:t xml:space="preserve">FORMACIÓN INTEGRAL</w:t>
            </w:r>
          </w:p>
          <w:p>
            <w:r>
              <w:rPr>
                <w:rFonts w:ascii="Calibri" w:cs="Calibri" w:eastAsia="Calibri" w:hAnsi="Calibri"/>
                <w:i/>
                <w:iCs/>
                <w:color w:val="F0EAD8"/>
                <w:sz w:val="19"/>
                <w:szCs w:val="19"/>
              </w:rPr>
              <w:t xml:space="preserve">orientada a competencias (MEDOC) para la transformación del cadete</w:t>
            </w:r>
          </w:p>
        </w:tc>
        <w:tc>
          <w:tcPr>
            <w:tcW w:type="dxa" w:w="4680"/>
            <w:shd w:fill="7A6A3F" w:val="clear"/>
            <w:tcMar>
              <w:top w:type="dxa" w:w="140"/>
              <w:left w:type="dxa" w:w="200"/>
              <w:bottom w:type="dxa" w:w="140"/>
              <w:right w:type="dxa" w:w="200"/>
            </w:tcMar>
            <w:vAlign w:val="center"/>
          </w:tcPr>
          <w:p>
            <w:pPr>
              <w:spacing w:after="40" w:line="300"/>
              <w:jc w:val="left"/>
            </w:pPr>
            <w:r>
              <w:rPr>
                <w:rFonts w:ascii="Calibri" w:cs="Calibri" w:eastAsia="Calibri" w:hAnsi="Calibri"/>
                <w:b/>
                <w:bCs/>
                <w:color w:val="FFFFFF"/>
                <w:sz w:val="52"/>
                <w:szCs w:val="52"/>
              </w:rPr>
              <w:t xml:space="preserve">4  </w:t>
            </w:r>
            <w:r>
              <w:rPr>
                <w:rFonts w:ascii="Calibri" w:cs="Calibri" w:eastAsia="Calibri" w:hAnsi="Calibri"/>
                <w:b/>
                <w:bCs/>
                <w:color w:val="FFFFFF"/>
                <w:sz w:val="24"/>
                <w:szCs w:val="24"/>
              </w:rPr>
              <w:t xml:space="preserve">INNOVACIÓN</w:t>
            </w:r>
          </w:p>
          <w:p>
            <w:r>
              <w:rPr>
                <w:rFonts w:ascii="Calibri" w:cs="Calibri" w:eastAsia="Calibri" w:hAnsi="Calibri"/>
                <w:i/>
                <w:iCs/>
                <w:color w:val="F0EAD8"/>
                <w:sz w:val="19"/>
                <w:szCs w:val="19"/>
              </w:rPr>
              <w:t xml:space="preserve">investigación aplicada y transformación digital</w:t>
            </w:r>
          </w:p>
        </w:tc>
      </w:tr>
      <w:tr>
        <w:tc>
          <w:tcPr>
            <w:tcW w:type="dxa" w:w="4680"/>
            <w:shd w:fill="5B8A50" w:val="clear"/>
            <w:tcMar>
              <w:top w:type="dxa" w:w="140"/>
              <w:left w:type="dxa" w:w="200"/>
              <w:bottom w:type="dxa" w:w="140"/>
              <w:right w:type="dxa" w:w="200"/>
            </w:tcMar>
            <w:vAlign w:val="center"/>
          </w:tcPr>
          <w:p>
            <w:pPr>
              <w:spacing w:after="40" w:line="300"/>
              <w:jc w:val="left"/>
            </w:pPr>
            <w:r>
              <w:rPr>
                <w:rFonts w:ascii="Calibri" w:cs="Calibri" w:eastAsia="Calibri" w:hAnsi="Calibri"/>
                <w:b/>
                <w:bCs/>
                <w:color w:val="FFFFFF"/>
                <w:sz w:val="52"/>
                <w:szCs w:val="52"/>
              </w:rPr>
              <w:t xml:space="preserve">5  </w:t>
            </w:r>
            <w:r>
              <w:rPr>
                <w:rFonts w:ascii="Calibri" w:cs="Calibri" w:eastAsia="Calibri" w:hAnsi="Calibri"/>
                <w:b/>
                <w:bCs/>
                <w:color w:val="FFFFFF"/>
                <w:sz w:val="24"/>
                <w:szCs w:val="24"/>
              </w:rPr>
              <w:t xml:space="preserve">VINCULACIÓN CON EL MEDIO</w:t>
            </w:r>
          </w:p>
          <w:p>
            <w:r>
              <w:rPr>
                <w:rFonts w:ascii="Calibri" w:cs="Calibri" w:eastAsia="Calibri" w:hAnsi="Calibri"/>
                <w:i/>
                <w:iCs/>
                <w:color w:val="F0EAD8"/>
                <w:sz w:val="19"/>
                <w:szCs w:val="19"/>
              </w:rPr>
              <w:t xml:space="preserve">como agente de diálogo con el entorno relevante</w:t>
            </w:r>
          </w:p>
        </w:tc>
        <w:tc>
          <w:tcPr>
            <w:tcW w:type="dxa" w:w="4680"/>
            <w:shd w:fill="3E5A3A" w:val="clear"/>
            <w:tcMar>
              <w:top w:type="dxa" w:w="140"/>
              <w:left w:type="dxa" w:w="200"/>
              <w:bottom w:type="dxa" w:w="140"/>
              <w:right w:type="dxa" w:w="200"/>
            </w:tcMar>
            <w:vAlign w:val="center"/>
          </w:tcPr>
          <w:p>
            <w:pPr>
              <w:spacing w:after="40" w:line="300"/>
              <w:jc w:val="left"/>
            </w:pPr>
            <w:r>
              <w:rPr>
                <w:rFonts w:ascii="Calibri" w:cs="Calibri" w:eastAsia="Calibri" w:hAnsi="Calibri"/>
                <w:b/>
                <w:bCs/>
                <w:color w:val="FFFFFF"/>
                <w:sz w:val="52"/>
                <w:szCs w:val="52"/>
              </w:rPr>
              <w:t xml:space="preserve">6  </w:t>
            </w:r>
            <w:r>
              <w:rPr>
                <w:rFonts w:ascii="Calibri" w:cs="Calibri" w:eastAsia="Calibri" w:hAnsi="Calibri"/>
                <w:b/>
                <w:bCs/>
                <w:color w:val="FFFFFF"/>
                <w:sz w:val="24"/>
                <w:szCs w:val="24"/>
              </w:rPr>
              <w:t xml:space="preserve">GOBERNANZA</w:t>
            </w:r>
          </w:p>
          <w:p>
            <w:r>
              <w:rPr>
                <w:rFonts w:ascii="Calibri" w:cs="Calibri" w:eastAsia="Calibri" w:hAnsi="Calibri"/>
                <w:i/>
                <w:iCs/>
                <w:color w:val="F0EAD8"/>
                <w:sz w:val="19"/>
                <w:szCs w:val="19"/>
              </w:rPr>
              <w:t xml:space="preserve">gestión institucional, recursos y sostenibilidad</w:t>
            </w:r>
          </w:p>
        </w:tc>
      </w:tr>
      <w:tr>
        <w:tc>
          <w:tcPr>
            <w:tcW w:type="dxa" w:w="4680"/>
            <w:shd w:fill="7E3040" w:val="clear"/>
            <w:tcMar>
              <w:top w:type="dxa" w:w="140"/>
              <w:left w:type="dxa" w:w="200"/>
              <w:bottom w:type="dxa" w:w="140"/>
              <w:right w:type="dxa" w:w="200"/>
            </w:tcMar>
            <w:vAlign w:val="center"/>
          </w:tcPr>
          <w:p>
            <w:pPr>
              <w:spacing w:after="40" w:line="300"/>
              <w:jc w:val="left"/>
            </w:pPr>
            <w:r>
              <w:rPr>
                <w:rFonts w:ascii="Calibri" w:cs="Calibri" w:eastAsia="Calibri" w:hAnsi="Calibri"/>
                <w:b/>
                <w:bCs/>
                <w:color w:val="FFFFFF"/>
                <w:sz w:val="52"/>
                <w:szCs w:val="52"/>
              </w:rPr>
              <w:t xml:space="preserve">7  </w:t>
            </w:r>
            <w:r>
              <w:rPr>
                <w:rFonts w:ascii="Calibri" w:cs="Calibri" w:eastAsia="Calibri" w:hAnsi="Calibri"/>
                <w:b/>
                <w:bCs/>
                <w:color w:val="FFFFFF"/>
                <w:sz w:val="24"/>
                <w:szCs w:val="24"/>
              </w:rPr>
              <w:t xml:space="preserve">PERSONAS Y CONVIVENCIA</w:t>
            </w:r>
          </w:p>
          <w:p>
            <w:r>
              <w:rPr>
                <w:rFonts w:ascii="Calibri" w:cs="Calibri" w:eastAsia="Calibri" w:hAnsi="Calibri"/>
                <w:i/>
                <w:iCs/>
                <w:color w:val="F0EAD8"/>
                <w:sz w:val="19"/>
                <w:szCs w:val="19"/>
              </w:rPr>
              <w:t xml:space="preserve">desarrollo del capital humano y cultura organizacional</w:t>
            </w:r>
          </w:p>
        </w:tc>
        <w:tc>
          <w:tcPr>
            <w:tcW w:type="dxa" w:w="4680"/>
            <w:shd w:fill="1B6CA8" w:val="clear"/>
            <w:tcMar>
              <w:top w:type="dxa" w:w="140"/>
              <w:left w:type="dxa" w:w="200"/>
              <w:bottom w:type="dxa" w:w="140"/>
              <w:right w:type="dxa" w:w="200"/>
            </w:tcMar>
            <w:vAlign w:val="center"/>
          </w:tcPr>
          <w:p>
            <w:pPr>
              <w:spacing w:after="40" w:line="300"/>
              <w:jc w:val="left"/>
            </w:pPr>
            <w:r>
              <w:rPr>
                <w:rFonts w:ascii="Calibri" w:cs="Calibri" w:eastAsia="Calibri" w:hAnsi="Calibri"/>
                <w:b/>
                <w:bCs/>
                <w:color w:val="FFFFFF"/>
                <w:sz w:val="52"/>
                <w:szCs w:val="52"/>
              </w:rPr>
              <w:t xml:space="preserve">8  </w:t>
            </w:r>
            <w:r>
              <w:rPr>
                <w:rFonts w:ascii="Calibri" w:cs="Calibri" w:eastAsia="Calibri" w:hAnsi="Calibri"/>
                <w:b/>
                <w:bCs/>
                <w:color w:val="FFFFFF"/>
                <w:sz w:val="24"/>
                <w:szCs w:val="24"/>
              </w:rPr>
              <w:t xml:space="preserve">ASEGURAMIENTO DE LA CALIDAD</w:t>
            </w:r>
          </w:p>
          <w:p>
            <w:r>
              <w:rPr>
                <w:rFonts w:ascii="Calibri" w:cs="Calibri" w:eastAsia="Calibri" w:hAnsi="Calibri"/>
                <w:i/>
                <w:iCs/>
                <w:color w:val="F0EAD8"/>
                <w:sz w:val="19"/>
                <w:szCs w:val="19"/>
              </w:rPr>
              <w:t xml:space="preserve">y compromiso con la excelencia</w:t>
            </w:r>
          </w:p>
        </w:tc>
      </w:tr>
    </w:tbl>
    <w:p>
      <w:pPr>
        <w:spacing w:after="240"/>
      </w:pPr>
    </w:p>
    <w:p>
      <w:pPr>
        <w:spacing w:after="200" w:before="0" w:line="300"/>
        <w:jc w:val="both"/>
      </w:pPr>
      <w:r>
        <w:rPr>
          <w:rFonts w:ascii="Calibri" w:cs="Calibri" w:eastAsia="Calibri" w:hAnsi="Calibri"/>
          <w:b w:val="false"/>
          <w:bCs w:val="false"/>
          <w:i w:val="false"/>
          <w:iCs w:val="false"/>
          <w:color w:val="333333"/>
          <w:sz w:val="22"/>
          <w:szCs w:val="22"/>
        </w:rPr>
        <w:t xml:space="preserve">En estos lineamientos se concentran los principales desafíos que asume la Escuela Naval. Desde su identidad institucional, la Escuela se compromete a renovar las formas en que se expresa el Ethos Naval y a proyectarlo en cada actividad formativa. Desde la perspectiva de las tareas misionales, se enfoca en la consolidación del MEDOC, en la calidad de la admisión y progresión de los cadetes, en la innovación aplicada al ámbito marítimo y en una vinculación bidireccional con su entorno relevante.</w:t>
      </w:r>
    </w:p>
    <w:p>
      <w:pPr>
        <w:spacing w:after="200" w:before="0" w:line="300"/>
        <w:jc w:val="both"/>
      </w:pPr>
      <w:r>
        <w:rPr>
          <w:rFonts w:ascii="Calibri" w:cs="Calibri" w:eastAsia="Calibri" w:hAnsi="Calibri"/>
          <w:b w:val="false"/>
          <w:bCs w:val="false"/>
          <w:i w:val="false"/>
          <w:iCs w:val="false"/>
          <w:color w:val="333333"/>
          <w:sz w:val="22"/>
          <w:szCs w:val="22"/>
        </w:rPr>
        <w:t xml:space="preserve">Desde una perspectiva transversal, la Escuela estará comprometida con el cuidado de las personas que la integran, con la sana convivencia y la prevención del acoso conforme a las leyes N° 21.369 y N° 21.643, con la sostenibilidad financiera, social y medioambiental, y con una gestión basada en evidencia. Todo lo anterior, en el marco de un compromiso permanente con el aseguramiento interno de la calidad, cuyo horizonte inmediato es el proceso de acreditación que se iniciará el año 2030.</w:t>
      </w:r>
    </w:p>
    <w:p>
      <w:r>
        <w:br w:type="page"/>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9360"/>
      </w:tblGrid>
      <w:tr>
        <w:tc>
          <w:tcPr>
            <w:tcW w:type="dxa" w:w="9360"/>
            <w:shd w:fill="1F3864" w:val="clear"/>
            <w:tcMar>
              <w:top w:type="dxa" w:w="100"/>
              <w:left w:type="dxa" w:w="100"/>
              <w:bottom w:type="dxa" w:w="100"/>
              <w:right w:type="dxa" w:w="100"/>
            </w:tcMar>
          </w:tcPr>
          <w:p>
            <w:pPr>
              <w:spacing w:after="260" w:before="260"/>
              <w:ind w:left="500" w:right="400"/>
              <w:jc w:val="left"/>
            </w:pPr>
            <w:r>
              <w:rPr>
                <w:rFonts w:ascii="Calibri" w:cs="Calibri" w:eastAsia="Calibri" w:hAnsi="Calibri"/>
                <w:b/>
                <w:bCs/>
                <w:caps w:val="false"/>
                <w:color w:val="FFFFFF"/>
                <w:sz w:val="26"/>
                <w:szCs w:val="26"/>
              </w:rPr>
              <w:t xml:space="preserve">La siguiente figura resume los lineamientos estratégicos desde las perspectivas de identidad, misionales y transversales</w:t>
            </w:r>
          </w:p>
        </w:tc>
      </w:tr>
    </w:tbl>
    <w:p>
      <w:pPr>
        <w:spacing w:after="200"/>
      </w:pPr>
    </w:p>
    <w:p>
      <w:pPr>
        <w:jc w:val="center"/>
      </w:pPr>
      <w:r>
        <w:drawing>
          <wp:inline distT="0" distB="0" distL="0" distR="0">
            <wp:extent cx="5334000" cy="53340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334000" cy="5334000"/>
                    </a:xfrm>
                    <a:prstGeom prst="rect">
                      <a:avLst/>
                    </a:prstGeom>
                  </pic:spPr>
                </pic:pic>
              </a:graphicData>
            </a:graphic>
          </wp:inline>
        </w:drawing>
      </w:r>
    </w:p>
    <w:p>
      <w:r>
        <w:br w:type="page"/>
      </w:r>
    </w:p>
    <w:p>
      <w:pPr>
        <w:pStyle w:val="Heading1"/>
        <w:spacing w:after="0"/>
      </w:pPr>
      <w:r>
        <w:rPr>
          <w:sz w:val="2"/>
          <w:szCs w:val="2"/>
        </w:rPr>
        <w:t xml:space="preserve"> </w:t>
      </w:r>
    </w:p>
    <w:p>
      <w:pPr>
        <w:spacing w:after="300" w:before="200"/>
      </w:pPr>
      <w:r>
        <w:rPr>
          <w:rFonts w:ascii="Calibri" w:cs="Calibri" w:eastAsia="Calibri" w:hAnsi="Calibri"/>
          <w:b/>
          <w:bCs/>
          <w:caps/>
          <w:color w:val="1F3864"/>
          <w:sz w:val="48"/>
          <w:szCs w:val="48"/>
        </w:rPr>
        <w:t xml:space="preserve">Objetivos estratégicos y planes de acción</w:t>
      </w:r>
    </w:p>
    <w:p>
      <w:pPr>
        <w:spacing w:after="200" w:before="0" w:line="300"/>
        <w:jc w:val="both"/>
      </w:pPr>
      <w:r>
        <w:rPr>
          <w:rFonts w:ascii="Calibri" w:cs="Calibri" w:eastAsia="Calibri" w:hAnsi="Calibri"/>
          <w:b w:val="false"/>
          <w:bCs w:val="false"/>
          <w:i w:val="false"/>
          <w:iCs w:val="false"/>
          <w:color w:val="333333"/>
          <w:sz w:val="22"/>
          <w:szCs w:val="22"/>
        </w:rPr>
        <w:t xml:space="preserve">A continuación, para cada lineamiento estratégico se presentan los objetivos y los principales planes de acción, definidos conforme a las propuestas del conjunto de la organización. Este Plan, al igual que los anteriores, considera un proceso de seguimiento anual de sus avances y del nivel de logro de sus metas mediante el sistema KPI–CMI descrito en el Anexo “A”. Las metas se revisarán el año 2029, en forma previa al inicio del proceso de acreditación, con el fin de asegurar su pertinencia.</w:t>
      </w:r>
    </w:p>
    <w:p>
      <w:r>
        <w:br w:type="page"/>
      </w:r>
    </w:p>
    <w:p>
      <w:pPr>
        <w:pStyle w:val="Heading2"/>
        <w:spacing w:after="0"/>
      </w:pPr>
      <w:r>
        <w:rPr>
          <w:color w:val="FFFFFF"/>
          <w:sz w:val="2"/>
          <w:szCs w:val="2"/>
        </w:rPr>
        <w:t xml:space="preserve">1. IDENTIDAD NAVAL y valores como desafío permanente</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2000"/>
        <w:gridCol w:w="7360"/>
      </w:tblGrid>
      <w:tr>
        <w:tc>
          <w:tcPr>
            <w:tcW w:type="dxa" w:w="2000"/>
            <w:shd w:fill="1F3864" w:val="clear"/>
            <w:tcMar>
              <w:top w:type="dxa" w:w="200"/>
              <w:left w:type="dxa" w:w="150"/>
              <w:bottom w:type="dxa" w:w="200"/>
              <w:right w:type="dxa" w:w="150"/>
            </w:tcMar>
            <w:vAlign w:val="center"/>
          </w:tcPr>
          <w:p>
            <w:pPr>
              <w:jc w:val="center"/>
            </w:pPr>
            <w:r>
              <w:rPr>
                <w:rFonts w:ascii="Calibri" w:cs="Calibri" w:eastAsia="Calibri" w:hAnsi="Calibri"/>
                <w:b/>
                <w:bCs/>
                <w:color w:val="FFFFFF"/>
                <w:sz w:val="130"/>
                <w:szCs w:val="130"/>
              </w:rPr>
              <w:t xml:space="preserve">1</w:t>
            </w:r>
          </w:p>
        </w:tc>
        <w:tc>
          <w:tcPr>
            <w:tcW w:type="dxa" w:w="7360"/>
            <w:shd w:fill="1F3864" w:val="clear"/>
            <w:tcMar>
              <w:top w:type="dxa" w:w="200"/>
              <w:left w:type="dxa" w:w="300"/>
              <w:bottom w:type="dxa" w:w="200"/>
              <w:right w:type="dxa" w:w="300"/>
            </w:tcMar>
            <w:vAlign w:val="center"/>
          </w:tcPr>
          <w:p>
            <w:pPr>
              <w:spacing w:after="40"/>
            </w:pPr>
            <w:r>
              <w:rPr>
                <w:rFonts w:ascii="Calibri" w:cs="Calibri" w:eastAsia="Calibri" w:hAnsi="Calibri"/>
                <w:b/>
                <w:bCs/>
                <w:caps/>
                <w:color w:val="FFFFFF"/>
                <w:sz w:val="40"/>
                <w:szCs w:val="40"/>
              </w:rPr>
              <w:t xml:space="preserve">IDENTIDAD NAVAL</w:t>
            </w:r>
          </w:p>
          <w:p>
            <w:pPr>
              <w:spacing w:after="40"/>
            </w:pPr>
            <w:r>
              <w:rPr>
                <w:rFonts w:ascii="Calibri" w:cs="Calibri" w:eastAsia="Calibri" w:hAnsi="Calibri"/>
                <w:b w:val="false"/>
                <w:bCs w:val="false"/>
                <w:caps/>
                <w:color w:val="E7E0CF"/>
                <w:sz w:val="28"/>
                <w:szCs w:val="28"/>
              </w:rPr>
              <w:t xml:space="preserve">y valores como desafío permanente</w:t>
            </w:r>
          </w:p>
        </w:tc>
      </w:tr>
    </w:tbl>
    <w:p>
      <w:pPr>
        <w:spacing w:after="300"/>
      </w:pPr>
    </w:p>
    <w:p>
      <w:pPr>
        <w:jc w:val="center"/>
      </w:pPr>
      <w:r>
        <w:drawing>
          <wp:inline distT="0" distB="0" distL="0" distR="0">
            <wp:extent cx="5905500" cy="36957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5905500" cy="3695700"/>
                    </a:xfrm>
                    <a:prstGeom prst="rect">
                      <a:avLst/>
                    </a:prstGeom>
                  </pic:spPr>
                </pic:pic>
              </a:graphicData>
            </a:graphic>
          </wp:inline>
        </w:drawing>
      </w:r>
    </w:p>
    <w:p>
      <w:r>
        <w:br w:type="page"/>
      </w:r>
    </w:p>
    <w:p>
      <w:pPr>
        <w:spacing w:after="200" w:before="0" w:line="300"/>
        <w:jc w:val="both"/>
      </w:pPr>
      <w:r>
        <w:rPr>
          <w:rFonts w:ascii="Calibri" w:cs="Calibri" w:eastAsia="Calibri" w:hAnsi="Calibri"/>
          <w:b w:val="false"/>
          <w:bCs w:val="false"/>
          <w:i w:val="false"/>
          <w:iCs w:val="false"/>
          <w:color w:val="333333"/>
          <w:sz w:val="22"/>
          <w:szCs w:val="22"/>
        </w:rPr>
        <w:t xml:space="preserve">La Escuela Naval “Arturo Prat” es la institución matriz de la formación de los Oficiales de la Armada de Chile, reconocida por el Estado como Instituto de Educación Superior. Su identidad se funda en las virtudes morales básicas —justicia, prudencia, fortaleza, templanza y obediencia—, en los valores fundamentales de la Armada y en el Código de Honor del Cadete, que en conjunto configuran el Ethos Naval.</w:t>
      </w:r>
    </w:p>
    <w:p>
      <w:pPr>
        <w:spacing w:after="200" w:before="0" w:line="300"/>
        <w:jc w:val="both"/>
      </w:pPr>
      <w:r>
        <w:rPr>
          <w:rFonts w:ascii="Calibri" w:cs="Calibri" w:eastAsia="Calibri" w:hAnsi="Calibri"/>
          <w:b w:val="false"/>
          <w:bCs w:val="false"/>
          <w:i w:val="false"/>
          <w:iCs w:val="false"/>
          <w:color w:val="333333"/>
          <w:sz w:val="22"/>
          <w:szCs w:val="22"/>
        </w:rPr>
        <w:t xml:space="preserve">Esta identidad impregna todas las actividades de la Escuela y constituye el elemento diferenciador de su proyecto formativo respecto de las carreras tradicionales y de otras escuelas matrices. En tiempos de cambio acelerado, se multiplican los desafíos para renovar las formas en que dicha identidad se expresa, resguardando a la vez la reputación institucional ante una sociedad que demanda mayor transparencia y responsabilidad.</w:t>
      </w:r>
    </w:p>
    <w:p>
      <w:pPr>
        <w:spacing w:after="60" w:before="320"/>
      </w:pPr>
      <w:r>
        <w:rPr>
          <w:rFonts w:ascii="Calibri" w:cs="Calibri" w:eastAsia="Calibri" w:hAnsi="Calibri"/>
          <w:b/>
          <w:bCs/>
          <w:color w:val="1F3864"/>
          <w:sz w:val="32"/>
          <w:szCs w:val="32"/>
        </w:rPr>
        <w:t xml:space="preserve">OBJETIVO 1.1: </w:t>
      </w:r>
      <w:r>
        <w:rPr>
          <w:rFonts w:ascii="Calibri" w:cs="Calibri" w:eastAsia="Calibri" w:hAnsi="Calibri"/>
          <w:color w:val="1F3864"/>
          <w:sz w:val="32"/>
          <w:szCs w:val="32"/>
        </w:rPr>
        <w:t xml:space="preserve">Fortalecer la identidad, los valores y las tradiciones navales en la formación del cadete</w:t>
      </w:r>
    </w:p>
    <w:p>
      <w:pPr>
        <w:pBdr>
          <w:bottom w:val="single" w:color="1F3864" w:sz="8" w:space="4"/>
        </w:pBdr>
        <w:spacing w:after="200"/>
      </w:pPr>
      <w:r>
        <w:rPr>
          <w:rFonts w:ascii="Calibri" w:cs="Calibri" w:eastAsia="Calibri" w:hAnsi="Calibri"/>
          <w:b/>
          <w:bCs/>
          <w:caps/>
          <w:color w:val="1F3864"/>
          <w:sz w:val="24"/>
          <w:szCs w:val="24"/>
        </w:rPr>
        <w:t xml:space="preserve">PLANES DE ACCIÓN</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700"/>
        <w:gridCol w:w="8660"/>
      </w:tblGrid>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1F3864"/>
                <w:sz w:val="30"/>
                <w:szCs w:val="30"/>
              </w:rPr>
              <w:t xml:space="preserve">⬤</w:t>
            </w:r>
          </w:p>
        </w:tc>
        <w:tc>
          <w:tcPr>
            <w:tcW w:type="dxa" w:w="8660"/>
            <w:tcBorders>
              <w:top w:val="none" w:color="FFFFFF" w:sz="0"/>
              <w:left w:val="single" w:color="1F3864"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consolidará el modelo valórico de formación, midiendo anualmente la internalización de los valores institucionales —honor, deber, lealtad, disciplina y compromiso con el servicio— mediante los indicadores formativos del sistema KPI–CMI.</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1F3864"/>
                <w:sz w:val="30"/>
                <w:szCs w:val="30"/>
              </w:rPr>
              <w:t xml:space="preserve">⬤</w:t>
            </w:r>
          </w:p>
        </w:tc>
        <w:tc>
          <w:tcPr>
            <w:tcW w:type="dxa" w:w="8660"/>
            <w:tcBorders>
              <w:top w:val="none" w:color="FFFFFF" w:sz="0"/>
              <w:left w:val="single" w:color="1F3864"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reforzará, a través del plan humanista integral, la comunicación efectiva, el pensamiento crítico y reflexivo y la formación ética de los cadetes.</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1F3864"/>
                <w:sz w:val="30"/>
                <w:szCs w:val="30"/>
              </w:rPr>
              <w:t xml:space="preserve">⬤</w:t>
            </w:r>
          </w:p>
        </w:tc>
        <w:tc>
          <w:tcPr>
            <w:tcW w:type="dxa" w:w="8660"/>
            <w:tcBorders>
              <w:top w:val="none" w:color="FFFFFF" w:sz="0"/>
              <w:left w:val="single" w:color="1F3864"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mantendrán y potenciarán las actividades de ceremonial, tradiciones e historia naval como instancias formativas explícitas del modelo cultural.</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1F3864"/>
                <w:sz w:val="30"/>
                <w:szCs w:val="30"/>
              </w:rPr>
              <w:t xml:space="preserve">⬤</w:t>
            </w:r>
          </w:p>
        </w:tc>
        <w:tc>
          <w:tcPr>
            <w:tcW w:type="dxa" w:w="8660"/>
            <w:tcBorders>
              <w:top w:val="none" w:color="FFFFFF" w:sz="0"/>
              <w:left w:val="single" w:color="1F3864"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promoverá el ejemplo ético de oficiales, instructores y docentes como principal instrumento de formación valórica, incorporándolo a los programas de inducción y liderazgo institucional.</w:t>
            </w:r>
          </w:p>
        </w:tc>
      </w:tr>
    </w:tbl>
    <w:p>
      <w:pPr>
        <w:spacing w:after="60" w:before="320"/>
      </w:pPr>
      <w:r>
        <w:rPr>
          <w:rFonts w:ascii="Calibri" w:cs="Calibri" w:eastAsia="Calibri" w:hAnsi="Calibri"/>
          <w:b/>
          <w:bCs/>
          <w:color w:val="1F3864"/>
          <w:sz w:val="32"/>
          <w:szCs w:val="32"/>
        </w:rPr>
        <w:t xml:space="preserve">OBJETIVO 1.2: </w:t>
      </w:r>
      <w:r>
        <w:rPr>
          <w:rFonts w:ascii="Calibri" w:cs="Calibri" w:eastAsia="Calibri" w:hAnsi="Calibri"/>
          <w:color w:val="1F3864"/>
          <w:sz w:val="32"/>
          <w:szCs w:val="32"/>
        </w:rPr>
        <w:t xml:space="preserve">Proyectar el prestigio y el reconocimiento de la Escuela como institución de educación superior de excelencia</w:t>
      </w:r>
    </w:p>
    <w:p>
      <w:pPr>
        <w:pBdr>
          <w:bottom w:val="single" w:color="1F3864" w:sz="8" w:space="4"/>
        </w:pBdr>
        <w:spacing w:after="200"/>
      </w:pPr>
      <w:r>
        <w:rPr>
          <w:rFonts w:ascii="Calibri" w:cs="Calibri" w:eastAsia="Calibri" w:hAnsi="Calibri"/>
          <w:b/>
          <w:bCs/>
          <w:caps/>
          <w:color w:val="1F3864"/>
          <w:sz w:val="24"/>
          <w:szCs w:val="24"/>
        </w:rPr>
        <w:t xml:space="preserve">PLANES DE ACCIÓN</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700"/>
        <w:gridCol w:w="8660"/>
      </w:tblGrid>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1F3864"/>
                <w:sz w:val="30"/>
                <w:szCs w:val="30"/>
              </w:rPr>
              <w:t xml:space="preserve">⬤</w:t>
            </w:r>
          </w:p>
        </w:tc>
        <w:tc>
          <w:tcPr>
            <w:tcW w:type="dxa" w:w="8660"/>
            <w:tcBorders>
              <w:top w:val="none" w:color="FFFFFF" w:sz="0"/>
              <w:left w:val="single" w:color="1F3864"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elaborará un plan de comunicación estratégica que difunda el proyecto educativo, los resultados institucionales y la condición de institución acreditada en nivel de excelencia, hacia la Armada, el sistema de educación superior y la comunidad.</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1F3864"/>
                <w:sz w:val="30"/>
                <w:szCs w:val="30"/>
              </w:rPr>
              <w:t xml:space="preserve">⬤</w:t>
            </w:r>
          </w:p>
        </w:tc>
        <w:tc>
          <w:tcPr>
            <w:tcW w:type="dxa" w:w="8660"/>
            <w:tcBorders>
              <w:top w:val="none" w:color="FFFFFF" w:sz="0"/>
              <w:left w:val="single" w:color="1F3864"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fortalecerá la presencia institucional en medios digitales y redes sociales, con protocolos robustos que resguarden la reputación de la Escuela y de sus cadetes.</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1F3864"/>
                <w:sz w:val="30"/>
                <w:szCs w:val="30"/>
              </w:rPr>
              <w:t xml:space="preserve">⬤</w:t>
            </w:r>
          </w:p>
        </w:tc>
        <w:tc>
          <w:tcPr>
            <w:tcW w:type="dxa" w:w="8660"/>
            <w:tcBorders>
              <w:top w:val="none" w:color="FFFFFF" w:sz="0"/>
              <w:left w:val="single" w:color="1F3864"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destacará la diferenciación del modelo formativo naval, relevando la integración de valores, innovación pedagógica y vinculación cívico-militar.</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1F3864"/>
                <w:sz w:val="30"/>
                <w:szCs w:val="30"/>
              </w:rPr>
              <w:t xml:space="preserve">⬤</w:t>
            </w:r>
          </w:p>
        </w:tc>
        <w:tc>
          <w:tcPr>
            <w:tcW w:type="dxa" w:w="8660"/>
            <w:tcBorders>
              <w:top w:val="none" w:color="FFFFFF" w:sz="0"/>
              <w:left w:val="single" w:color="1F3864"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dará seguimiento a la percepción pública de la institución a través de estudios de opinión disponibles, incorporando sus resultados al análisis institucional anual.</w:t>
            </w:r>
          </w:p>
        </w:tc>
      </w:tr>
    </w:tbl>
    <w:p>
      <w:r>
        <w:br w:type="page"/>
      </w:r>
    </w:p>
    <w:p>
      <w:pPr>
        <w:pStyle w:val="Heading2"/>
        <w:spacing w:after="0"/>
      </w:pPr>
      <w:r>
        <w:rPr>
          <w:color w:val="FFFFFF"/>
          <w:sz w:val="2"/>
          <w:szCs w:val="2"/>
        </w:rPr>
        <w:t xml:space="preserve">2. ADMISIÓN Y TRAYECTORIA calidad en la captación, selección y progresión del cadete</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2000"/>
        <w:gridCol w:w="7360"/>
      </w:tblGrid>
      <w:tr>
        <w:tc>
          <w:tcPr>
            <w:tcW w:type="dxa" w:w="2000"/>
            <w:shd w:fill="A97E2F" w:val="clear"/>
            <w:tcMar>
              <w:top w:type="dxa" w:w="200"/>
              <w:left w:type="dxa" w:w="150"/>
              <w:bottom w:type="dxa" w:w="200"/>
              <w:right w:type="dxa" w:w="150"/>
            </w:tcMar>
            <w:vAlign w:val="center"/>
          </w:tcPr>
          <w:p>
            <w:pPr>
              <w:jc w:val="center"/>
            </w:pPr>
            <w:r>
              <w:rPr>
                <w:rFonts w:ascii="Calibri" w:cs="Calibri" w:eastAsia="Calibri" w:hAnsi="Calibri"/>
                <w:b/>
                <w:bCs/>
                <w:color w:val="FFFFFF"/>
                <w:sz w:val="130"/>
                <w:szCs w:val="130"/>
              </w:rPr>
              <w:t xml:space="preserve">2</w:t>
            </w:r>
          </w:p>
        </w:tc>
        <w:tc>
          <w:tcPr>
            <w:tcW w:type="dxa" w:w="7360"/>
            <w:shd w:fill="A97E2F" w:val="clear"/>
            <w:tcMar>
              <w:top w:type="dxa" w:w="200"/>
              <w:left w:type="dxa" w:w="300"/>
              <w:bottom w:type="dxa" w:w="200"/>
              <w:right w:type="dxa" w:w="300"/>
            </w:tcMar>
            <w:vAlign w:val="center"/>
          </w:tcPr>
          <w:p>
            <w:pPr>
              <w:spacing w:after="40"/>
            </w:pPr>
            <w:r>
              <w:rPr>
                <w:rFonts w:ascii="Calibri" w:cs="Calibri" w:eastAsia="Calibri" w:hAnsi="Calibri"/>
                <w:b/>
                <w:bCs/>
                <w:caps/>
                <w:color w:val="FFFFFF"/>
                <w:sz w:val="40"/>
                <w:szCs w:val="40"/>
              </w:rPr>
              <w:t xml:space="preserve">ADMISIÓN Y TRAYECTORIA</w:t>
            </w:r>
          </w:p>
          <w:p>
            <w:pPr>
              <w:spacing w:after="40"/>
            </w:pPr>
            <w:r>
              <w:rPr>
                <w:rFonts w:ascii="Calibri" w:cs="Calibri" w:eastAsia="Calibri" w:hAnsi="Calibri"/>
                <w:b w:val="false"/>
                <w:bCs w:val="false"/>
                <w:caps/>
                <w:color w:val="E7E0CF"/>
                <w:sz w:val="28"/>
                <w:szCs w:val="28"/>
              </w:rPr>
              <w:t xml:space="preserve">calidad en la captación, selección y progresión del cadete</w:t>
            </w:r>
          </w:p>
        </w:tc>
      </w:tr>
    </w:tbl>
    <w:p>
      <w:pPr>
        <w:spacing w:after="300"/>
      </w:pPr>
    </w:p>
    <w:p>
      <w:pPr>
        <w:jc w:val="center"/>
      </w:pPr>
      <w:r>
        <w:drawing>
          <wp:inline distT="0" distB="0" distL="0" distR="0">
            <wp:extent cx="5905500" cy="36957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5905500" cy="3695700"/>
                    </a:xfrm>
                    <a:prstGeom prst="rect">
                      <a:avLst/>
                    </a:prstGeom>
                  </pic:spPr>
                </pic:pic>
              </a:graphicData>
            </a:graphic>
          </wp:inline>
        </w:drawing>
      </w:r>
    </w:p>
    <w:p>
      <w:r>
        <w:br w:type="page"/>
      </w:r>
    </w:p>
    <w:p>
      <w:pPr>
        <w:spacing w:after="200" w:before="0" w:line="300"/>
        <w:jc w:val="both"/>
      </w:pPr>
      <w:r>
        <w:rPr>
          <w:rFonts w:ascii="Calibri" w:cs="Calibri" w:eastAsia="Calibri" w:hAnsi="Calibri"/>
          <w:b w:val="false"/>
          <w:bCs w:val="false"/>
          <w:i w:val="false"/>
          <w:iCs w:val="false"/>
          <w:color w:val="333333"/>
          <w:sz w:val="22"/>
          <w:szCs w:val="22"/>
        </w:rPr>
        <w:t xml:space="preserve">El proceso de admisión es la puerta de entrada a la institución y debe garantizar transparencia, justicia, igualdad de oportunidades y pertinencia en la selección de los cadetes. Considera difusión, evaluación y acompañamiento inicial, con el fin de captar jóvenes con vocación, disciplina y capacidades que respondan al perfil definido por la Armada de Chile.</w:t>
      </w:r>
    </w:p>
    <w:p>
      <w:pPr>
        <w:spacing w:after="200" w:before="0" w:line="300"/>
        <w:jc w:val="both"/>
      </w:pPr>
      <w:r>
        <w:rPr>
          <w:rFonts w:ascii="Calibri" w:cs="Calibri" w:eastAsia="Calibri" w:hAnsi="Calibri"/>
          <w:b w:val="false"/>
          <w:bCs w:val="false"/>
          <w:i w:val="false"/>
          <w:iCs w:val="false"/>
          <w:color w:val="333333"/>
          <w:sz w:val="22"/>
          <w:szCs w:val="22"/>
        </w:rPr>
        <w:t xml:space="preserve">En coherencia con los criterios de la CNA sobre resultados del proceso formativo, este lineamiento incorpora además el seguimiento de la trayectoria del cadete: su progresión académica, retención y logro del perfil de egreso, cerrando el ciclo entre el perfil de ingreso y el título profesional de Oficial de Marina.</w:t>
      </w:r>
    </w:p>
    <w:p>
      <w:pPr>
        <w:spacing w:after="60" w:before="320"/>
      </w:pPr>
      <w:r>
        <w:rPr>
          <w:rFonts w:ascii="Calibri" w:cs="Calibri" w:eastAsia="Calibri" w:hAnsi="Calibri"/>
          <w:b/>
          <w:bCs/>
          <w:color w:val="A97E2F"/>
          <w:sz w:val="32"/>
          <w:szCs w:val="32"/>
        </w:rPr>
        <w:t xml:space="preserve">OBJETIVO 2.1: </w:t>
      </w:r>
      <w:r>
        <w:rPr>
          <w:rFonts w:ascii="Calibri" w:cs="Calibri" w:eastAsia="Calibri" w:hAnsi="Calibri"/>
          <w:color w:val="A97E2F"/>
          <w:sz w:val="32"/>
          <w:szCs w:val="32"/>
        </w:rPr>
        <w:t xml:space="preserve">Realizar procesos de admisión transparentes, modernos y alineados con el perfil institucional</w:t>
      </w:r>
    </w:p>
    <w:p>
      <w:pPr>
        <w:pBdr>
          <w:bottom w:val="single" w:color="A97E2F" w:sz="8" w:space="4"/>
        </w:pBdr>
        <w:spacing w:after="200"/>
      </w:pPr>
      <w:r>
        <w:rPr>
          <w:rFonts w:ascii="Calibri" w:cs="Calibri" w:eastAsia="Calibri" w:hAnsi="Calibri"/>
          <w:b/>
          <w:bCs/>
          <w:caps/>
          <w:color w:val="A97E2F"/>
          <w:sz w:val="24"/>
          <w:szCs w:val="24"/>
        </w:rPr>
        <w:t xml:space="preserve">PLANES DE ACCIÓN</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700"/>
        <w:gridCol w:w="8660"/>
      </w:tblGrid>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A97E2F"/>
                <w:sz w:val="30"/>
                <w:szCs w:val="30"/>
              </w:rPr>
              <w:t xml:space="preserve">⬤</w:t>
            </w:r>
          </w:p>
        </w:tc>
        <w:tc>
          <w:tcPr>
            <w:tcW w:type="dxa" w:w="8660"/>
            <w:tcBorders>
              <w:top w:val="none" w:color="FFFFFF" w:sz="0"/>
              <w:left w:val="single" w:color="A97E2F"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mantendrá actualizado y se mejorará el sistema digital de admisión, con trazabilidad completa del postulante y métricas de gestión en cada etapa del proceso.</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A97E2F"/>
                <w:sz w:val="30"/>
                <w:szCs w:val="30"/>
              </w:rPr>
              <w:t xml:space="preserve">⬤</w:t>
            </w:r>
          </w:p>
        </w:tc>
        <w:tc>
          <w:tcPr>
            <w:tcW w:type="dxa" w:w="8660"/>
            <w:tcBorders>
              <w:top w:val="none" w:color="FFFFFF" w:sz="0"/>
              <w:left w:val="single" w:color="A97E2F"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avanzará hacia un modelo de admisión con capacidad predictiva, que relacione los resultados de selección con el desempeño posterior del cadete y el logro del perfil de egreso.</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A97E2F"/>
                <w:sz w:val="30"/>
                <w:szCs w:val="30"/>
              </w:rPr>
              <w:t xml:space="preserve">⬤</w:t>
            </w:r>
          </w:p>
        </w:tc>
        <w:tc>
          <w:tcPr>
            <w:tcW w:type="dxa" w:w="8660"/>
            <w:tcBorders>
              <w:top w:val="none" w:color="FFFFFF" w:sz="0"/>
              <w:left w:val="single" w:color="A97E2F"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fortalecerá la difusión en redes sociales y medios digitales segmentados, comunicando la carrera y la esencia del Oficial de Marina.</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A97E2F"/>
                <w:sz w:val="30"/>
                <w:szCs w:val="30"/>
              </w:rPr>
              <w:t xml:space="preserve">⬤</w:t>
            </w:r>
          </w:p>
        </w:tc>
        <w:tc>
          <w:tcPr>
            <w:tcW w:type="dxa" w:w="8660"/>
            <w:tcBorders>
              <w:top w:val="none" w:color="FFFFFF" w:sz="0"/>
              <w:left w:val="single" w:color="A97E2F"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mantendrán y perfeccionarán los instrumentos de evaluación académica, físico-deportiva, médica y psicológica, verificando periódicamente su validez y pertinencia.</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A97E2F"/>
                <w:sz w:val="30"/>
                <w:szCs w:val="30"/>
              </w:rPr>
              <w:t xml:space="preserve">⬤</w:t>
            </w:r>
          </w:p>
        </w:tc>
        <w:tc>
          <w:tcPr>
            <w:tcW w:type="dxa" w:w="8660"/>
            <w:tcBorders>
              <w:top w:val="none" w:color="FFFFFF" w:sz="0"/>
              <w:left w:val="single" w:color="A97E2F"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capacitará anualmente al personal que participa en las entrevistas personales de los postulantes, estandarizando criterios de evaluación.</w:t>
            </w:r>
          </w:p>
        </w:tc>
      </w:tr>
    </w:tbl>
    <w:p>
      <w:pPr>
        <w:spacing w:after="60" w:before="320"/>
      </w:pPr>
      <w:r>
        <w:rPr>
          <w:rFonts w:ascii="Calibri" w:cs="Calibri" w:eastAsia="Calibri" w:hAnsi="Calibri"/>
          <w:b/>
          <w:bCs/>
          <w:color w:val="A97E2F"/>
          <w:sz w:val="32"/>
          <w:szCs w:val="32"/>
        </w:rPr>
        <w:t xml:space="preserve">OBJETIVO 2.2: </w:t>
      </w:r>
      <w:r>
        <w:rPr>
          <w:rFonts w:ascii="Calibri" w:cs="Calibri" w:eastAsia="Calibri" w:hAnsi="Calibri"/>
          <w:color w:val="A97E2F"/>
          <w:sz w:val="32"/>
          <w:szCs w:val="32"/>
        </w:rPr>
        <w:t xml:space="preserve">Asegurar la satisfacción del postulante y la equidad en el acceso</w:t>
      </w:r>
    </w:p>
    <w:p>
      <w:pPr>
        <w:pBdr>
          <w:bottom w:val="single" w:color="A97E2F" w:sz="8" w:space="4"/>
        </w:pBdr>
        <w:spacing w:after="200"/>
      </w:pPr>
      <w:r>
        <w:rPr>
          <w:rFonts w:ascii="Calibri" w:cs="Calibri" w:eastAsia="Calibri" w:hAnsi="Calibri"/>
          <w:b/>
          <w:bCs/>
          <w:caps/>
          <w:color w:val="A97E2F"/>
          <w:sz w:val="24"/>
          <w:szCs w:val="24"/>
        </w:rPr>
        <w:t xml:space="preserve">PLANES DE ACCIÓN</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700"/>
        <w:gridCol w:w="8660"/>
      </w:tblGrid>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A97E2F"/>
                <w:sz w:val="30"/>
                <w:szCs w:val="30"/>
              </w:rPr>
              <w:t xml:space="preserve">⬤</w:t>
            </w:r>
          </w:p>
        </w:tc>
        <w:tc>
          <w:tcPr>
            <w:tcW w:type="dxa" w:w="8660"/>
            <w:tcBorders>
              <w:top w:val="none" w:color="FFFFFF" w:sz="0"/>
              <w:left w:val="single" w:color="A97E2F"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realizarán evaluaciones periódicas de satisfacción de postulantes, incorporando sus resultados a los planes de mejora del proceso de admisión.</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A97E2F"/>
                <w:sz w:val="30"/>
                <w:szCs w:val="30"/>
              </w:rPr>
              <w:t xml:space="preserve">⬤</w:t>
            </w:r>
          </w:p>
        </w:tc>
        <w:tc>
          <w:tcPr>
            <w:tcW w:type="dxa" w:w="8660"/>
            <w:tcBorders>
              <w:top w:val="none" w:color="FFFFFF" w:sz="0"/>
              <w:left w:val="single" w:color="A97E2F"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establecerán mecanismos y metas anuales de captación de postulantes, resguardando la igualdad de oportunidades y la cobertura territorial de la difusión.</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A97E2F"/>
                <w:sz w:val="30"/>
                <w:szCs w:val="30"/>
              </w:rPr>
              <w:t xml:space="preserve">⬤</w:t>
            </w:r>
          </w:p>
        </w:tc>
        <w:tc>
          <w:tcPr>
            <w:tcW w:type="dxa" w:w="8660"/>
            <w:tcBorders>
              <w:top w:val="none" w:color="FFFFFF" w:sz="0"/>
              <w:left w:val="single" w:color="A97E2F"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analizará comparativamente el desempeño de los alumnos que ingresan desde IV medio respecto de quienes provienen de otras instituciones de educación superior, para retroalimentar el modelo de selección.</w:t>
            </w:r>
          </w:p>
        </w:tc>
      </w:tr>
    </w:tbl>
    <w:p>
      <w:pPr>
        <w:spacing w:after="60" w:before="320"/>
      </w:pPr>
      <w:r>
        <w:rPr>
          <w:rFonts w:ascii="Calibri" w:cs="Calibri" w:eastAsia="Calibri" w:hAnsi="Calibri"/>
          <w:b/>
          <w:bCs/>
          <w:color w:val="A97E2F"/>
          <w:sz w:val="32"/>
          <w:szCs w:val="32"/>
        </w:rPr>
        <w:t xml:space="preserve">OBJETIVO 2.3: </w:t>
      </w:r>
      <w:r>
        <w:rPr>
          <w:rFonts w:ascii="Calibri" w:cs="Calibri" w:eastAsia="Calibri" w:hAnsi="Calibri"/>
          <w:color w:val="A97E2F"/>
          <w:sz w:val="32"/>
          <w:szCs w:val="32"/>
        </w:rPr>
        <w:t xml:space="preserve">Monitorear la progresión, retención y logro del perfil de egreso de los cadetes</w:t>
      </w:r>
    </w:p>
    <w:p>
      <w:pPr>
        <w:pBdr>
          <w:bottom w:val="single" w:color="A97E2F" w:sz="8" w:space="4"/>
        </w:pBdr>
        <w:spacing w:after="200"/>
      </w:pPr>
      <w:r>
        <w:rPr>
          <w:rFonts w:ascii="Calibri" w:cs="Calibri" w:eastAsia="Calibri" w:hAnsi="Calibri"/>
          <w:b/>
          <w:bCs/>
          <w:caps/>
          <w:color w:val="A97E2F"/>
          <w:sz w:val="24"/>
          <w:szCs w:val="24"/>
        </w:rPr>
        <w:t xml:space="preserve">PLANES DE ACCIÓN</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700"/>
        <w:gridCol w:w="8660"/>
      </w:tblGrid>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A97E2F"/>
                <w:sz w:val="30"/>
                <w:szCs w:val="30"/>
              </w:rPr>
              <w:t xml:space="preserve">⬤</w:t>
            </w:r>
          </w:p>
        </w:tc>
        <w:tc>
          <w:tcPr>
            <w:tcW w:type="dxa" w:w="8660"/>
            <w:tcBorders>
              <w:top w:val="none" w:color="FFFFFF" w:sz="0"/>
              <w:left w:val="single" w:color="A97E2F"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implementará un sistema de seguimiento de cohortes que mida progresión curricular, retención, causales de baja y titulación oportuna, con reportes anuales al comité estratégico.</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A97E2F"/>
                <w:sz w:val="30"/>
                <w:szCs w:val="30"/>
              </w:rPr>
              <w:t xml:space="preserve">⬤</w:t>
            </w:r>
          </w:p>
        </w:tc>
        <w:tc>
          <w:tcPr>
            <w:tcW w:type="dxa" w:w="8660"/>
            <w:tcBorders>
              <w:top w:val="none" w:color="FFFFFF" w:sz="0"/>
              <w:left w:val="single" w:color="A97E2F"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articularán alertas tempranas académicas y psicosociales con los programas de consultorías, tutorías y apoyo al cadete.</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A97E2F"/>
                <w:sz w:val="30"/>
                <w:szCs w:val="30"/>
              </w:rPr>
              <w:t xml:space="preserve">⬤</w:t>
            </w:r>
          </w:p>
        </w:tc>
        <w:tc>
          <w:tcPr>
            <w:tcW w:type="dxa" w:w="8660"/>
            <w:tcBorders>
              <w:top w:val="none" w:color="FFFFFF" w:sz="0"/>
              <w:left w:val="single" w:color="A97E2F"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evaluará periódicamente la coherencia entre el perfil de ingreso, el plan de estudios y el perfil de egreso de los cuatro escalafones: Ejecutivos e Ingenieros Navales, Infantería de Marina, Abastecimiento y Litoral.</w:t>
            </w:r>
          </w:p>
        </w:tc>
      </w:tr>
    </w:tbl>
    <w:p>
      <w:r>
        <w:br w:type="page"/>
      </w:r>
    </w:p>
    <w:p>
      <w:pPr>
        <w:pStyle w:val="Heading2"/>
        <w:spacing w:after="0"/>
      </w:pPr>
      <w:r>
        <w:rPr>
          <w:color w:val="FFFFFF"/>
          <w:sz w:val="2"/>
          <w:szCs w:val="2"/>
        </w:rPr>
        <w:t xml:space="preserve">3. FORMACIÓN INTEGRAL orientada a competencias (MEDOC) para la transformación del cadete</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2000"/>
        <w:gridCol w:w="7360"/>
      </w:tblGrid>
      <w:tr>
        <w:tc>
          <w:tcPr>
            <w:tcW w:type="dxa" w:w="2000"/>
            <w:shd w:fill="8C2B2B" w:val="clear"/>
            <w:tcMar>
              <w:top w:type="dxa" w:w="200"/>
              <w:left w:type="dxa" w:w="150"/>
              <w:bottom w:type="dxa" w:w="200"/>
              <w:right w:type="dxa" w:w="150"/>
            </w:tcMar>
            <w:vAlign w:val="center"/>
          </w:tcPr>
          <w:p>
            <w:pPr>
              <w:jc w:val="center"/>
            </w:pPr>
            <w:r>
              <w:rPr>
                <w:rFonts w:ascii="Calibri" w:cs="Calibri" w:eastAsia="Calibri" w:hAnsi="Calibri"/>
                <w:b/>
                <w:bCs/>
                <w:color w:val="FFFFFF"/>
                <w:sz w:val="130"/>
                <w:szCs w:val="130"/>
              </w:rPr>
              <w:t xml:space="preserve">3</w:t>
            </w:r>
          </w:p>
        </w:tc>
        <w:tc>
          <w:tcPr>
            <w:tcW w:type="dxa" w:w="7360"/>
            <w:shd w:fill="8C2B2B" w:val="clear"/>
            <w:tcMar>
              <w:top w:type="dxa" w:w="200"/>
              <w:left w:type="dxa" w:w="300"/>
              <w:bottom w:type="dxa" w:w="200"/>
              <w:right w:type="dxa" w:w="300"/>
            </w:tcMar>
            <w:vAlign w:val="center"/>
          </w:tcPr>
          <w:p>
            <w:pPr>
              <w:spacing w:after="40"/>
            </w:pPr>
            <w:r>
              <w:rPr>
                <w:rFonts w:ascii="Calibri" w:cs="Calibri" w:eastAsia="Calibri" w:hAnsi="Calibri"/>
                <w:b/>
                <w:bCs/>
                <w:caps/>
                <w:color w:val="FFFFFF"/>
                <w:sz w:val="40"/>
                <w:szCs w:val="40"/>
              </w:rPr>
              <w:t xml:space="preserve">FORMACIÓN INTEGRAL</w:t>
            </w:r>
          </w:p>
          <w:p>
            <w:pPr>
              <w:spacing w:after="40"/>
            </w:pPr>
            <w:r>
              <w:rPr>
                <w:rFonts w:ascii="Calibri" w:cs="Calibri" w:eastAsia="Calibri" w:hAnsi="Calibri"/>
                <w:b w:val="false"/>
                <w:bCs w:val="false"/>
                <w:caps/>
                <w:color w:val="E7E0CF"/>
                <w:sz w:val="28"/>
                <w:szCs w:val="28"/>
              </w:rPr>
              <w:t xml:space="preserve">orientada a competencias (MEDOC) para la transformación del cadete</w:t>
            </w:r>
          </w:p>
        </w:tc>
      </w:tr>
    </w:tbl>
    <w:p>
      <w:pPr>
        <w:spacing w:after="300"/>
      </w:pPr>
    </w:p>
    <w:p>
      <w:pPr>
        <w:jc w:val="center"/>
      </w:pPr>
      <w:r>
        <w:drawing>
          <wp:inline distT="0" distB="0" distL="0" distR="0">
            <wp:extent cx="5905500" cy="36957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5905500" cy="3695700"/>
                    </a:xfrm>
                    <a:prstGeom prst="rect">
                      <a:avLst/>
                    </a:prstGeom>
                  </pic:spPr>
                </pic:pic>
              </a:graphicData>
            </a:graphic>
          </wp:inline>
        </w:drawing>
      </w:r>
    </w:p>
    <w:p>
      <w:r>
        <w:br w:type="page"/>
      </w:r>
    </w:p>
    <w:p>
      <w:pPr>
        <w:spacing w:after="200" w:before="0" w:line="300"/>
        <w:jc w:val="both"/>
      </w:pPr>
      <w:r>
        <w:rPr>
          <w:rFonts w:ascii="Calibri" w:cs="Calibri" w:eastAsia="Calibri" w:hAnsi="Calibri"/>
          <w:b w:val="false"/>
          <w:bCs w:val="false"/>
          <w:i w:val="false"/>
          <w:iCs w:val="false"/>
          <w:color w:val="333333"/>
          <w:sz w:val="22"/>
          <w:szCs w:val="22"/>
        </w:rPr>
        <w:t xml:space="preserve">La Escuela Naval, primer estamento formador del Oficial de Marina, sustenta su gestión educacional en tres pilares: el Modelo Educativo, el Modelo de Formación y la Gestión Pedagógica, integrados en el Modelo de Educación Naval Orientado a Competencias (MEDOC), cuya implementación se inició el año 2024 y deberá estar consolidada al año 2029.</w:t>
      </w:r>
    </w:p>
    <w:p>
      <w:pPr>
        <w:spacing w:after="200" w:before="0" w:line="300"/>
        <w:jc w:val="both"/>
      </w:pPr>
      <w:r>
        <w:rPr>
          <w:rFonts w:ascii="Calibri" w:cs="Calibri" w:eastAsia="Calibri" w:hAnsi="Calibri"/>
          <w:b w:val="false"/>
          <w:bCs w:val="false"/>
          <w:i w:val="false"/>
          <w:iCs w:val="false"/>
          <w:color w:val="333333"/>
          <w:sz w:val="22"/>
          <w:szCs w:val="22"/>
        </w:rPr>
        <w:t xml:space="preserve">El MEDOC articula las dimensiones académica, militar-naval, profesional, valórica, físico-deportiva y cultural de la formación, concibiendo al cadete como centro y protagonista del proceso educativo. Su consolidación exige actualización curricular permanente, metodologías activas, uso de simuladores, acompañamiento académico y psicosocial, evaluación de resultados de aprendizaje y un cuerpo docente competente y comprometido con el proyecto educativo.</w:t>
      </w:r>
    </w:p>
    <w:p>
      <w:pPr>
        <w:spacing w:after="60" w:before="320"/>
      </w:pPr>
      <w:r>
        <w:rPr>
          <w:rFonts w:ascii="Calibri" w:cs="Calibri" w:eastAsia="Calibri" w:hAnsi="Calibri"/>
          <w:b/>
          <w:bCs/>
          <w:color w:val="8C2B2B"/>
          <w:sz w:val="32"/>
          <w:szCs w:val="32"/>
        </w:rPr>
        <w:t xml:space="preserve">OBJETIVO 3.1: </w:t>
      </w:r>
      <w:r>
        <w:rPr>
          <w:rFonts w:ascii="Calibri" w:cs="Calibri" w:eastAsia="Calibri" w:hAnsi="Calibri"/>
          <w:color w:val="8C2B2B"/>
          <w:sz w:val="32"/>
          <w:szCs w:val="32"/>
        </w:rPr>
        <w:t xml:space="preserve">Consolidar el modelo educativo integral por competencias, asegurando el logro del perfil de egreso</w:t>
      </w:r>
    </w:p>
    <w:p>
      <w:pPr>
        <w:pBdr>
          <w:bottom w:val="single" w:color="8C2B2B" w:sz="8" w:space="4"/>
        </w:pBdr>
        <w:spacing w:after="200"/>
      </w:pPr>
      <w:r>
        <w:rPr>
          <w:rFonts w:ascii="Calibri" w:cs="Calibri" w:eastAsia="Calibri" w:hAnsi="Calibri"/>
          <w:b/>
          <w:bCs/>
          <w:caps/>
          <w:color w:val="8C2B2B"/>
          <w:sz w:val="24"/>
          <w:szCs w:val="24"/>
        </w:rPr>
        <w:t xml:space="preserve">PLANES DE ACCIÓN</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700"/>
        <w:gridCol w:w="8660"/>
      </w:tblGrid>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8C2B2B"/>
                <w:sz w:val="30"/>
                <w:szCs w:val="30"/>
              </w:rPr>
              <w:t xml:space="preserve">⬤</w:t>
            </w:r>
          </w:p>
        </w:tc>
        <w:tc>
          <w:tcPr>
            <w:tcW w:type="dxa" w:w="8660"/>
            <w:tcBorders>
              <w:top w:val="none" w:color="FFFFFF" w:sz="0"/>
              <w:left w:val="single" w:color="8C2B2B"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completará la implementación del MEDOC en todos los planes de estudio al año 2029, evaluando y midiendo anualmente su grado de avance por asignatura, área de formación y cohorte.</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8C2B2B"/>
                <w:sz w:val="30"/>
                <w:szCs w:val="30"/>
              </w:rPr>
              <w:t xml:space="preserve">⬤</w:t>
            </w:r>
          </w:p>
        </w:tc>
        <w:tc>
          <w:tcPr>
            <w:tcW w:type="dxa" w:w="8660"/>
            <w:tcBorders>
              <w:top w:val="none" w:color="FFFFFF" w:sz="0"/>
              <w:left w:val="single" w:color="8C2B2B"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actualizarán en forma permanente los programas curriculares, incorporando metodologías activas, simulaciones avanzadas y aprendizaje en contextos reales de la profesión naval.</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8C2B2B"/>
                <w:sz w:val="30"/>
                <w:szCs w:val="30"/>
              </w:rPr>
              <w:t xml:space="preserve">⬤</w:t>
            </w:r>
          </w:p>
        </w:tc>
        <w:tc>
          <w:tcPr>
            <w:tcW w:type="dxa" w:w="8660"/>
            <w:tcBorders>
              <w:top w:val="none" w:color="FFFFFF" w:sz="0"/>
              <w:left w:val="single" w:color="8C2B2B"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mantendrá un vínculo estrecho y continuo con las direcciones técnicas, unidades y reparticiones de la Armada, para asegurar que los contenidos impartidos sean congruentes con las necesidades operativas del servicio naval.</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8C2B2B"/>
                <w:sz w:val="30"/>
                <w:szCs w:val="30"/>
              </w:rPr>
              <w:t xml:space="preserve">⬤</w:t>
            </w:r>
          </w:p>
        </w:tc>
        <w:tc>
          <w:tcPr>
            <w:tcW w:type="dxa" w:w="8660"/>
            <w:tcBorders>
              <w:top w:val="none" w:color="FFFFFF" w:sz="0"/>
              <w:left w:val="single" w:color="8C2B2B"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fomentará la ejecución de actividades de aprendizaje en unidades y reparticiones, generando una aproximación significativa del cadete con su futuro quehacer profesional.</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8C2B2B"/>
                <w:sz w:val="30"/>
                <w:szCs w:val="30"/>
              </w:rPr>
              <w:t xml:space="preserve">⬤</w:t>
            </w:r>
          </w:p>
        </w:tc>
        <w:tc>
          <w:tcPr>
            <w:tcW w:type="dxa" w:w="8660"/>
            <w:tcBorders>
              <w:top w:val="none" w:color="FFFFFF" w:sz="0"/>
              <w:left w:val="single" w:color="8C2B2B"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implementarán mecanismos de evaluación continua y retroalimentación del aprendizaje, incluida la medición del logro de los resultados de aprendizaje y de las competencias del perfil de egreso.</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8C2B2B"/>
                <w:sz w:val="30"/>
                <w:szCs w:val="30"/>
              </w:rPr>
              <w:t xml:space="preserve">⬤</w:t>
            </w:r>
          </w:p>
        </w:tc>
        <w:tc>
          <w:tcPr>
            <w:tcW w:type="dxa" w:w="8660"/>
            <w:tcBorders>
              <w:top w:val="none" w:color="FFFFFF" w:sz="0"/>
              <w:left w:val="single" w:color="8C2B2B"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fortalecerán las competencias de comunicación bilingüe, con prioridad en el idioma inglés, conforme a la política educacional de la Armada.</w:t>
            </w:r>
          </w:p>
        </w:tc>
      </w:tr>
    </w:tbl>
    <w:p>
      <w:pPr>
        <w:spacing w:after="60" w:before="320"/>
      </w:pPr>
      <w:r>
        <w:rPr>
          <w:rFonts w:ascii="Calibri" w:cs="Calibri" w:eastAsia="Calibri" w:hAnsi="Calibri"/>
          <w:b/>
          <w:bCs/>
          <w:color w:val="8C2B2B"/>
          <w:sz w:val="32"/>
          <w:szCs w:val="32"/>
        </w:rPr>
        <w:t xml:space="preserve">OBJETIVO 3.2: </w:t>
      </w:r>
      <w:r>
        <w:rPr>
          <w:rFonts w:ascii="Calibri" w:cs="Calibri" w:eastAsia="Calibri" w:hAnsi="Calibri"/>
          <w:color w:val="8C2B2B"/>
          <w:sz w:val="32"/>
          <w:szCs w:val="32"/>
        </w:rPr>
        <w:t xml:space="preserve">Fortalecer los procesos de enseñanza y aprendizaje y el desarrollo del cuerpo docente</w:t>
      </w:r>
    </w:p>
    <w:p>
      <w:pPr>
        <w:pBdr>
          <w:bottom w:val="single" w:color="8C2B2B" w:sz="8" w:space="4"/>
        </w:pBdr>
        <w:spacing w:after="200"/>
      </w:pPr>
      <w:r>
        <w:rPr>
          <w:rFonts w:ascii="Calibri" w:cs="Calibri" w:eastAsia="Calibri" w:hAnsi="Calibri"/>
          <w:b/>
          <w:bCs/>
          <w:caps/>
          <w:color w:val="8C2B2B"/>
          <w:sz w:val="24"/>
          <w:szCs w:val="24"/>
        </w:rPr>
        <w:t xml:space="preserve">PLANES DE ACCIÓN</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700"/>
        <w:gridCol w:w="8660"/>
      </w:tblGrid>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8C2B2B"/>
                <w:sz w:val="30"/>
                <w:szCs w:val="30"/>
              </w:rPr>
              <w:t xml:space="preserve">⬤</w:t>
            </w:r>
          </w:p>
        </w:tc>
        <w:tc>
          <w:tcPr>
            <w:tcW w:type="dxa" w:w="8660"/>
            <w:tcBorders>
              <w:top w:val="none" w:color="FFFFFF" w:sz="0"/>
              <w:left w:val="single" w:color="8C2B2B"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dispondrá de un cuerpo docente —civil y militar— en cantidad y calidad adecuadas a las necesidades del proyecto educativo, con perfiles definidos por área de formación.</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8C2B2B"/>
                <w:sz w:val="30"/>
                <w:szCs w:val="30"/>
              </w:rPr>
              <w:t xml:space="preserve">⬤</w:t>
            </w:r>
          </w:p>
        </w:tc>
        <w:tc>
          <w:tcPr>
            <w:tcW w:type="dxa" w:w="8660"/>
            <w:tcBorders>
              <w:top w:val="none" w:color="FFFFFF" w:sz="0"/>
              <w:left w:val="single" w:color="8C2B2B"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evaluará anualmente el desempeño docente para asegurar la competencia profesional en el proceso de enseñanza-aprendizaje, socializando los resultados y los planes de mejora asociados.</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8C2B2B"/>
                <w:sz w:val="30"/>
                <w:szCs w:val="30"/>
              </w:rPr>
              <w:t xml:space="preserve">⬤</w:t>
            </w:r>
          </w:p>
        </w:tc>
        <w:tc>
          <w:tcPr>
            <w:tcW w:type="dxa" w:w="8660"/>
            <w:tcBorders>
              <w:top w:val="none" w:color="FFFFFF" w:sz="0"/>
              <w:left w:val="single" w:color="8C2B2B"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promoverá el perfeccionamiento y la capacitación del cuerpo docente e instructores, con foco en el enfoque por competencias, metodologías activas y evaluación de aprendizajes.</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8C2B2B"/>
                <w:sz w:val="30"/>
                <w:szCs w:val="30"/>
              </w:rPr>
              <w:t xml:space="preserve">⬤</w:t>
            </w:r>
          </w:p>
        </w:tc>
        <w:tc>
          <w:tcPr>
            <w:tcW w:type="dxa" w:w="8660"/>
            <w:tcBorders>
              <w:top w:val="none" w:color="FFFFFF" w:sz="0"/>
              <w:left w:val="single" w:color="8C2B2B"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apoyará la participación de docentes en proyectos que aporten conocimiento a la sociedad, considerando siempre la visión marítima institucional.</w:t>
            </w:r>
          </w:p>
        </w:tc>
      </w:tr>
    </w:tbl>
    <w:p>
      <w:pPr>
        <w:spacing w:after="60" w:before="320"/>
      </w:pPr>
      <w:r>
        <w:rPr>
          <w:rFonts w:ascii="Calibri" w:cs="Calibri" w:eastAsia="Calibri" w:hAnsi="Calibri"/>
          <w:b/>
          <w:bCs/>
          <w:color w:val="8C2B2B"/>
          <w:sz w:val="32"/>
          <w:szCs w:val="32"/>
        </w:rPr>
        <w:t xml:space="preserve">OBJETIVO 3.3: </w:t>
      </w:r>
      <w:r>
        <w:rPr>
          <w:rFonts w:ascii="Calibri" w:cs="Calibri" w:eastAsia="Calibri" w:hAnsi="Calibri"/>
          <w:color w:val="8C2B2B"/>
          <w:sz w:val="32"/>
          <w:szCs w:val="32"/>
        </w:rPr>
        <w:t xml:space="preserve">Asegurar la formación integral y la satisfacción del cadete durante su proceso formativo</w:t>
      </w:r>
    </w:p>
    <w:p>
      <w:pPr>
        <w:pBdr>
          <w:bottom w:val="single" w:color="8C2B2B" w:sz="8" w:space="4"/>
        </w:pBdr>
        <w:spacing w:after="200"/>
      </w:pPr>
      <w:r>
        <w:rPr>
          <w:rFonts w:ascii="Calibri" w:cs="Calibri" w:eastAsia="Calibri" w:hAnsi="Calibri"/>
          <w:b/>
          <w:bCs/>
          <w:caps/>
          <w:color w:val="8C2B2B"/>
          <w:sz w:val="24"/>
          <w:szCs w:val="24"/>
        </w:rPr>
        <w:t xml:space="preserve">PLANES DE ACCIÓN</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700"/>
        <w:gridCol w:w="8660"/>
      </w:tblGrid>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8C2B2B"/>
                <w:sz w:val="30"/>
                <w:szCs w:val="30"/>
              </w:rPr>
              <w:t xml:space="preserve">⬤</w:t>
            </w:r>
          </w:p>
        </w:tc>
        <w:tc>
          <w:tcPr>
            <w:tcW w:type="dxa" w:w="8660"/>
            <w:tcBorders>
              <w:top w:val="none" w:color="FFFFFF" w:sz="0"/>
              <w:left w:val="single" w:color="8C2B2B"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mantendrá una educación integral basada en los seis modelos de formación: militar-naval, académica, profesional, valórica, físico-deportiva y cultural, con énfasis en la rigurosidad militar.</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8C2B2B"/>
                <w:sz w:val="30"/>
                <w:szCs w:val="30"/>
              </w:rPr>
              <w:t xml:space="preserve">⬤</w:t>
            </w:r>
          </w:p>
        </w:tc>
        <w:tc>
          <w:tcPr>
            <w:tcW w:type="dxa" w:w="8660"/>
            <w:tcBorders>
              <w:top w:val="none" w:color="FFFFFF" w:sz="0"/>
              <w:left w:val="single" w:color="8C2B2B"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potenciarán las consultorías y tutorías académicas y los programas de apoyo psicosocial, midiendo su cobertura y efectividad.</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8C2B2B"/>
                <w:sz w:val="30"/>
                <w:szCs w:val="30"/>
              </w:rPr>
              <w:t xml:space="preserve">⬤</w:t>
            </w:r>
          </w:p>
        </w:tc>
        <w:tc>
          <w:tcPr>
            <w:tcW w:type="dxa" w:w="8660"/>
            <w:tcBorders>
              <w:top w:val="none" w:color="FFFFFF" w:sz="0"/>
              <w:left w:val="single" w:color="8C2B2B"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medirá periódicamente la satisfacción del cadete respecto del proceso de formación, incorporando los resultados al ciclo anual de mejora continua.</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8C2B2B"/>
                <w:sz w:val="30"/>
                <w:szCs w:val="30"/>
              </w:rPr>
              <w:t xml:space="preserve">⬤</w:t>
            </w:r>
          </w:p>
        </w:tc>
        <w:tc>
          <w:tcPr>
            <w:tcW w:type="dxa" w:w="8660"/>
            <w:tcBorders>
              <w:top w:val="none" w:color="FFFFFF" w:sz="0"/>
              <w:left w:val="single" w:color="8C2B2B"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implementará un sistema de evaluación y retroalimentación formativa que mida el impacto real de los seis modelos de formación, con mejoras anuales al proceso.</w:t>
            </w:r>
          </w:p>
        </w:tc>
      </w:tr>
    </w:tbl>
    <w:p>
      <w:r>
        <w:br w:type="page"/>
      </w:r>
    </w:p>
    <w:p>
      <w:pPr>
        <w:pStyle w:val="Heading2"/>
        <w:spacing w:after="0"/>
      </w:pPr>
      <w:r>
        <w:rPr>
          <w:color w:val="FFFFFF"/>
          <w:sz w:val="2"/>
          <w:szCs w:val="2"/>
        </w:rPr>
        <w:t xml:space="preserve">4. INNOVACIÓN investigación aplicada y transformación digital</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2000"/>
        <w:gridCol w:w="7360"/>
      </w:tblGrid>
      <w:tr>
        <w:tc>
          <w:tcPr>
            <w:tcW w:type="dxa" w:w="2000"/>
            <w:shd w:fill="7A6A3F" w:val="clear"/>
            <w:tcMar>
              <w:top w:type="dxa" w:w="200"/>
              <w:left w:type="dxa" w:w="150"/>
              <w:bottom w:type="dxa" w:w="200"/>
              <w:right w:type="dxa" w:w="150"/>
            </w:tcMar>
            <w:vAlign w:val="center"/>
          </w:tcPr>
          <w:p>
            <w:pPr>
              <w:jc w:val="center"/>
            </w:pPr>
            <w:r>
              <w:rPr>
                <w:rFonts w:ascii="Calibri" w:cs="Calibri" w:eastAsia="Calibri" w:hAnsi="Calibri"/>
                <w:b/>
                <w:bCs/>
                <w:color w:val="FFFFFF"/>
                <w:sz w:val="130"/>
                <w:szCs w:val="130"/>
              </w:rPr>
              <w:t xml:space="preserve">4</w:t>
            </w:r>
          </w:p>
        </w:tc>
        <w:tc>
          <w:tcPr>
            <w:tcW w:type="dxa" w:w="7360"/>
            <w:shd w:fill="7A6A3F" w:val="clear"/>
            <w:tcMar>
              <w:top w:type="dxa" w:w="200"/>
              <w:left w:type="dxa" w:w="300"/>
              <w:bottom w:type="dxa" w:w="200"/>
              <w:right w:type="dxa" w:w="300"/>
            </w:tcMar>
            <w:vAlign w:val="center"/>
          </w:tcPr>
          <w:p>
            <w:pPr>
              <w:spacing w:after="40"/>
            </w:pPr>
            <w:r>
              <w:rPr>
                <w:rFonts w:ascii="Calibri" w:cs="Calibri" w:eastAsia="Calibri" w:hAnsi="Calibri"/>
                <w:b/>
                <w:bCs/>
                <w:caps/>
                <w:color w:val="FFFFFF"/>
                <w:sz w:val="40"/>
                <w:szCs w:val="40"/>
              </w:rPr>
              <w:t xml:space="preserve">INNOVACIÓN</w:t>
            </w:r>
          </w:p>
          <w:p>
            <w:pPr>
              <w:spacing w:after="40"/>
            </w:pPr>
            <w:r>
              <w:rPr>
                <w:rFonts w:ascii="Calibri" w:cs="Calibri" w:eastAsia="Calibri" w:hAnsi="Calibri"/>
                <w:b w:val="false"/>
                <w:bCs w:val="false"/>
                <w:caps/>
                <w:color w:val="E7E0CF"/>
                <w:sz w:val="28"/>
                <w:szCs w:val="28"/>
              </w:rPr>
              <w:t xml:space="preserve">investigación aplicada y transformación digital</w:t>
            </w:r>
          </w:p>
        </w:tc>
      </w:tr>
    </w:tbl>
    <w:p>
      <w:pPr>
        <w:spacing w:after="300"/>
      </w:pPr>
    </w:p>
    <w:p>
      <w:pPr>
        <w:jc w:val="center"/>
      </w:pPr>
      <w:r>
        <w:drawing>
          <wp:inline distT="0" distB="0" distL="0" distR="0">
            <wp:extent cx="5905500" cy="36957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cstate="none"/>
                    <a:srcRect/>
                    <a:stretch>
                      <a:fillRect/>
                    </a:stretch>
                  </pic:blipFill>
                  <pic:spPr bwMode="auto">
                    <a:xfrm>
                      <a:off x="0" y="0"/>
                      <a:ext cx="5905500" cy="3695700"/>
                    </a:xfrm>
                    <a:prstGeom prst="rect">
                      <a:avLst/>
                    </a:prstGeom>
                  </pic:spPr>
                </pic:pic>
              </a:graphicData>
            </a:graphic>
          </wp:inline>
        </w:drawing>
      </w:r>
    </w:p>
    <w:p>
      <w:r>
        <w:br w:type="page"/>
      </w:r>
    </w:p>
    <w:p>
      <w:pPr>
        <w:spacing w:after="200" w:before="0" w:line="300"/>
        <w:jc w:val="both"/>
      </w:pPr>
      <w:r>
        <w:rPr>
          <w:rFonts w:ascii="Calibri" w:cs="Calibri" w:eastAsia="Calibri" w:hAnsi="Calibri"/>
          <w:b w:val="false"/>
          <w:bCs w:val="false"/>
          <w:i w:val="false"/>
          <w:iCs w:val="false"/>
          <w:color w:val="333333"/>
          <w:sz w:val="22"/>
          <w:szCs w:val="22"/>
        </w:rPr>
        <w:t xml:space="preserve">La acreditación voluntaria de la dimensión de Investigación, Creación y/o Innovación compromete a la Escuela a consolidar una política y mecanismos formales que fomenten, evalúen y difundan estas actividades. El desarrollo de la ciberseguridad —impulsado por la Ley N° 21.663—, la inteligencia artificial, el análisis de datos, los simuladores y los gemelos digitales representan oportunidades para modernizar la enseñanza y mantener la competitividad de la formación naval.</w:t>
      </w:r>
    </w:p>
    <w:p>
      <w:pPr>
        <w:spacing w:after="200" w:before="0" w:line="300"/>
        <w:jc w:val="both"/>
      </w:pPr>
      <w:r>
        <w:rPr>
          <w:rFonts w:ascii="Calibri" w:cs="Calibri" w:eastAsia="Calibri" w:hAnsi="Calibri"/>
          <w:b w:val="false"/>
          <w:bCs w:val="false"/>
          <w:i w:val="false"/>
          <w:iCs w:val="false"/>
          <w:color w:val="333333"/>
          <w:sz w:val="22"/>
          <w:szCs w:val="22"/>
        </w:rPr>
        <w:t xml:space="preserve">Este lineamiento busca instalar una cultura de innovación e investigación aplicada vinculada al ámbito marítimo y de defensa, junto con avanzar sostenidamente en la transformación digital de los procesos formativos y de gestión de la Escuela.</w:t>
      </w:r>
    </w:p>
    <w:p>
      <w:pPr>
        <w:spacing w:after="60" w:before="320"/>
      </w:pPr>
      <w:r>
        <w:rPr>
          <w:rFonts w:ascii="Calibri" w:cs="Calibri" w:eastAsia="Calibri" w:hAnsi="Calibri"/>
          <w:b/>
          <w:bCs/>
          <w:color w:val="7A6A3F"/>
          <w:sz w:val="32"/>
          <w:szCs w:val="32"/>
        </w:rPr>
        <w:t xml:space="preserve">OBJETIVO 4.1: </w:t>
      </w:r>
      <w:r>
        <w:rPr>
          <w:rFonts w:ascii="Calibri" w:cs="Calibri" w:eastAsia="Calibri" w:hAnsi="Calibri"/>
          <w:color w:val="7A6A3F"/>
          <w:sz w:val="32"/>
          <w:szCs w:val="32"/>
        </w:rPr>
        <w:t xml:space="preserve">Desarrollar una cultura de innovación e investigación aplicada vinculada al ámbito marítimo y de la defensa</w:t>
      </w:r>
    </w:p>
    <w:p>
      <w:pPr>
        <w:pBdr>
          <w:bottom w:val="single" w:color="7A6A3F" w:sz="8" w:space="4"/>
        </w:pBdr>
        <w:spacing w:after="200"/>
      </w:pPr>
      <w:r>
        <w:rPr>
          <w:rFonts w:ascii="Calibri" w:cs="Calibri" w:eastAsia="Calibri" w:hAnsi="Calibri"/>
          <w:b/>
          <w:bCs/>
          <w:caps/>
          <w:color w:val="7A6A3F"/>
          <w:sz w:val="24"/>
          <w:szCs w:val="24"/>
        </w:rPr>
        <w:t xml:space="preserve">PLANES DE ACCIÓN</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700"/>
        <w:gridCol w:w="8660"/>
      </w:tblGrid>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7A6A3F"/>
                <w:sz w:val="30"/>
                <w:szCs w:val="30"/>
              </w:rPr>
              <w:t xml:space="preserve">⬤</w:t>
            </w:r>
          </w:p>
        </w:tc>
        <w:tc>
          <w:tcPr>
            <w:tcW w:type="dxa" w:w="8660"/>
            <w:tcBorders>
              <w:top w:val="none" w:color="FFFFFF" w:sz="0"/>
              <w:left w:val="single" w:color="7A6A3F"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formalizará una política institucional de investigación, creación e innovación, con criterios de apoyo, evaluación y difusión de resultados, en concordancia con la Misión y el proyecto educativo.</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7A6A3F"/>
                <w:sz w:val="30"/>
                <w:szCs w:val="30"/>
              </w:rPr>
              <w:t xml:space="preserve">⬤</w:t>
            </w:r>
          </w:p>
        </w:tc>
        <w:tc>
          <w:tcPr>
            <w:tcW w:type="dxa" w:w="8660"/>
            <w:tcBorders>
              <w:top w:val="none" w:color="FFFFFF" w:sz="0"/>
              <w:left w:val="single" w:color="7A6A3F"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implementarán proyectos de innovación tecnológica, académica y de gestión en áreas como ciberseguridad, sostenibilidad, digitalización de procesos, investigación aplicada, gestión del conocimiento e inteligencia artificial.</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7A6A3F"/>
                <w:sz w:val="30"/>
                <w:szCs w:val="30"/>
              </w:rPr>
              <w:t xml:space="preserve">⬤</w:t>
            </w:r>
          </w:p>
        </w:tc>
        <w:tc>
          <w:tcPr>
            <w:tcW w:type="dxa" w:w="8660"/>
            <w:tcBorders>
              <w:top w:val="none" w:color="FFFFFF" w:sz="0"/>
              <w:left w:val="single" w:color="7A6A3F"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generarán instancias que fomenten el desarrollo de la innovación en los cadetes —semilleros, concursos, ferias y proyectos interdisciplinarios—, reconociendo académicamente su participación.</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7A6A3F"/>
                <w:sz w:val="30"/>
                <w:szCs w:val="30"/>
              </w:rPr>
              <w:t xml:space="preserve">⬤</w:t>
            </w:r>
          </w:p>
        </w:tc>
        <w:tc>
          <w:tcPr>
            <w:tcW w:type="dxa" w:w="8660"/>
            <w:tcBorders>
              <w:top w:val="none" w:color="FFFFFF" w:sz="0"/>
              <w:left w:val="single" w:color="7A6A3F"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participará en programas y fondos de innovación a nivel nacional, ampliando las redes de colaboración con universidades, centros de investigación y la industria de defensa.</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7A6A3F"/>
                <w:sz w:val="30"/>
                <w:szCs w:val="30"/>
              </w:rPr>
              <w:t xml:space="preserve">⬤</w:t>
            </w:r>
          </w:p>
        </w:tc>
        <w:tc>
          <w:tcPr>
            <w:tcW w:type="dxa" w:w="8660"/>
            <w:tcBorders>
              <w:top w:val="none" w:color="FFFFFF" w:sz="0"/>
              <w:left w:val="single" w:color="7A6A3F"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desarrollará un plan anual de difusión de los resultados de investigación e innovación, al interior de la Armada y hacia las comunidades académicas externas.</w:t>
            </w:r>
          </w:p>
        </w:tc>
      </w:tr>
    </w:tbl>
    <w:p>
      <w:pPr>
        <w:spacing w:after="60" w:before="320"/>
      </w:pPr>
      <w:r>
        <w:rPr>
          <w:rFonts w:ascii="Calibri" w:cs="Calibri" w:eastAsia="Calibri" w:hAnsi="Calibri"/>
          <w:b/>
          <w:bCs/>
          <w:color w:val="7A6A3F"/>
          <w:sz w:val="32"/>
          <w:szCs w:val="32"/>
        </w:rPr>
        <w:t xml:space="preserve">OBJETIVO 4.2: </w:t>
      </w:r>
      <w:r>
        <w:rPr>
          <w:rFonts w:ascii="Calibri" w:cs="Calibri" w:eastAsia="Calibri" w:hAnsi="Calibri"/>
          <w:color w:val="7A6A3F"/>
          <w:sz w:val="32"/>
          <w:szCs w:val="32"/>
        </w:rPr>
        <w:t xml:space="preserve">Profundizar la transformación digital de los procesos formativos y de gestión</w:t>
      </w:r>
    </w:p>
    <w:p>
      <w:pPr>
        <w:pBdr>
          <w:bottom w:val="single" w:color="7A6A3F" w:sz="8" w:space="4"/>
        </w:pBdr>
        <w:spacing w:after="200"/>
      </w:pPr>
      <w:r>
        <w:rPr>
          <w:rFonts w:ascii="Calibri" w:cs="Calibri" w:eastAsia="Calibri" w:hAnsi="Calibri"/>
          <w:b/>
          <w:bCs/>
          <w:caps/>
          <w:color w:val="7A6A3F"/>
          <w:sz w:val="24"/>
          <w:szCs w:val="24"/>
        </w:rPr>
        <w:t xml:space="preserve">PLANES DE ACCIÓN</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700"/>
        <w:gridCol w:w="8660"/>
      </w:tblGrid>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7A6A3F"/>
                <w:sz w:val="30"/>
                <w:szCs w:val="30"/>
              </w:rPr>
              <w:t xml:space="preserve">⬤</w:t>
            </w:r>
          </w:p>
        </w:tc>
        <w:tc>
          <w:tcPr>
            <w:tcW w:type="dxa" w:w="8660"/>
            <w:tcBorders>
              <w:top w:val="none" w:color="FFFFFF" w:sz="0"/>
              <w:left w:val="single" w:color="7A6A3F"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ejecutará un plan de actualización e inversión en plataformas y sistemas tecnológicos que otorgue flexibilidad, robustez y altos estándares de calidad y seguridad a los procesos institucionales.</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7A6A3F"/>
                <w:sz w:val="30"/>
                <w:szCs w:val="30"/>
              </w:rPr>
              <w:t xml:space="preserve">⬤</w:t>
            </w:r>
          </w:p>
        </w:tc>
        <w:tc>
          <w:tcPr>
            <w:tcW w:type="dxa" w:w="8660"/>
            <w:tcBorders>
              <w:top w:val="none" w:color="FFFFFF" w:sz="0"/>
              <w:left w:val="single" w:color="7A6A3F"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realizará un levantamiento de los procesos institucionales aún no digitalizados y se establecerá un cronograma para su total implementación.</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7A6A3F"/>
                <w:sz w:val="30"/>
                <w:szCs w:val="30"/>
              </w:rPr>
              <w:t xml:space="preserve">⬤</w:t>
            </w:r>
          </w:p>
        </w:tc>
        <w:tc>
          <w:tcPr>
            <w:tcW w:type="dxa" w:w="8660"/>
            <w:tcBorders>
              <w:top w:val="none" w:color="FFFFFF" w:sz="0"/>
              <w:left w:val="single" w:color="7A6A3F"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fortalecerán las competencias digitales de cadetes, docentes, instructores y dotación, mediante propuestas formativas e instrumentos de apoyo específicos.</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7A6A3F"/>
                <w:sz w:val="30"/>
                <w:szCs w:val="30"/>
              </w:rPr>
              <w:t xml:space="preserve">⬤</w:t>
            </w:r>
          </w:p>
        </w:tc>
        <w:tc>
          <w:tcPr>
            <w:tcW w:type="dxa" w:w="8660"/>
            <w:tcBorders>
              <w:top w:val="none" w:color="FFFFFF" w:sz="0"/>
              <w:left w:val="single" w:color="7A6A3F"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desarrollará una política de ciberseguridad institucional que proteja los activos digitales de la Escuela, asegure la continuidad de los servicios y resguarde los datos y su confidencialidad.</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7A6A3F"/>
                <w:sz w:val="30"/>
                <w:szCs w:val="30"/>
              </w:rPr>
              <w:t xml:space="preserve">⬤</w:t>
            </w:r>
          </w:p>
        </w:tc>
        <w:tc>
          <w:tcPr>
            <w:tcW w:type="dxa" w:w="8660"/>
            <w:tcBorders>
              <w:top w:val="none" w:color="FFFFFF" w:sz="0"/>
              <w:left w:val="single" w:color="7A6A3F"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potenciará el uso de simuladores y herramientas digitales avanzadas en la instrucción, manteniendo la sintonía con los estándares internacionales de las academias navales.</w:t>
            </w:r>
          </w:p>
        </w:tc>
      </w:tr>
    </w:tbl>
    <w:p>
      <w:r>
        <w:br w:type="page"/>
      </w:r>
    </w:p>
    <w:p>
      <w:pPr>
        <w:pStyle w:val="Heading2"/>
        <w:spacing w:after="0"/>
      </w:pPr>
      <w:r>
        <w:rPr>
          <w:color w:val="FFFFFF"/>
          <w:sz w:val="2"/>
          <w:szCs w:val="2"/>
        </w:rPr>
        <w:t xml:space="preserve">5. VINCULACIÓN CON EL MEDIO como agente de diálogo con el entorno relevante</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2000"/>
        <w:gridCol w:w="7360"/>
      </w:tblGrid>
      <w:tr>
        <w:tc>
          <w:tcPr>
            <w:tcW w:type="dxa" w:w="2000"/>
            <w:shd w:fill="5B8A50" w:val="clear"/>
            <w:tcMar>
              <w:top w:type="dxa" w:w="200"/>
              <w:left w:type="dxa" w:w="150"/>
              <w:bottom w:type="dxa" w:w="200"/>
              <w:right w:type="dxa" w:w="150"/>
            </w:tcMar>
            <w:vAlign w:val="center"/>
          </w:tcPr>
          <w:p>
            <w:pPr>
              <w:jc w:val="center"/>
            </w:pPr>
            <w:r>
              <w:rPr>
                <w:rFonts w:ascii="Calibri" w:cs="Calibri" w:eastAsia="Calibri" w:hAnsi="Calibri"/>
                <w:b/>
                <w:bCs/>
                <w:color w:val="FFFFFF"/>
                <w:sz w:val="130"/>
                <w:szCs w:val="130"/>
              </w:rPr>
              <w:t xml:space="preserve">5</w:t>
            </w:r>
          </w:p>
        </w:tc>
        <w:tc>
          <w:tcPr>
            <w:tcW w:type="dxa" w:w="7360"/>
            <w:shd w:fill="5B8A50" w:val="clear"/>
            <w:tcMar>
              <w:top w:type="dxa" w:w="200"/>
              <w:left w:type="dxa" w:w="300"/>
              <w:bottom w:type="dxa" w:w="200"/>
              <w:right w:type="dxa" w:w="300"/>
            </w:tcMar>
            <w:vAlign w:val="center"/>
          </w:tcPr>
          <w:p>
            <w:pPr>
              <w:spacing w:after="40"/>
            </w:pPr>
            <w:r>
              <w:rPr>
                <w:rFonts w:ascii="Calibri" w:cs="Calibri" w:eastAsia="Calibri" w:hAnsi="Calibri"/>
                <w:b/>
                <w:bCs/>
                <w:caps/>
                <w:color w:val="FFFFFF"/>
                <w:sz w:val="40"/>
                <w:szCs w:val="40"/>
              </w:rPr>
              <w:t xml:space="preserve">VINCULACIÓN CON EL MEDIO</w:t>
            </w:r>
          </w:p>
          <w:p>
            <w:pPr>
              <w:spacing w:after="40"/>
            </w:pPr>
            <w:r>
              <w:rPr>
                <w:rFonts w:ascii="Calibri" w:cs="Calibri" w:eastAsia="Calibri" w:hAnsi="Calibri"/>
                <w:b w:val="false"/>
                <w:bCs w:val="false"/>
                <w:caps/>
                <w:color w:val="E7E0CF"/>
                <w:sz w:val="28"/>
                <w:szCs w:val="28"/>
              </w:rPr>
              <w:t xml:space="preserve">como agente de diálogo con el entorno relevante</w:t>
            </w:r>
          </w:p>
        </w:tc>
      </w:tr>
    </w:tbl>
    <w:p>
      <w:pPr>
        <w:spacing w:after="300"/>
      </w:pPr>
    </w:p>
    <w:p>
      <w:pPr>
        <w:jc w:val="center"/>
      </w:pPr>
      <w:r>
        <w:drawing>
          <wp:inline distT="0" distB="0" distL="0" distR="0">
            <wp:extent cx="5905500" cy="36957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cstate="none"/>
                    <a:srcRect/>
                    <a:stretch>
                      <a:fillRect/>
                    </a:stretch>
                  </pic:blipFill>
                  <pic:spPr bwMode="auto">
                    <a:xfrm>
                      <a:off x="0" y="0"/>
                      <a:ext cx="5905500" cy="3695700"/>
                    </a:xfrm>
                    <a:prstGeom prst="rect">
                      <a:avLst/>
                    </a:prstGeom>
                  </pic:spPr>
                </pic:pic>
              </a:graphicData>
            </a:graphic>
          </wp:inline>
        </w:drawing>
      </w:r>
    </w:p>
    <w:p>
      <w:r>
        <w:br w:type="page"/>
      </w:r>
    </w:p>
    <w:p>
      <w:pPr>
        <w:spacing w:after="200" w:before="0" w:line="300"/>
        <w:jc w:val="both"/>
      </w:pPr>
      <w:r>
        <w:rPr>
          <w:rFonts w:ascii="Calibri" w:cs="Calibri" w:eastAsia="Calibri" w:hAnsi="Calibri"/>
          <w:b w:val="false"/>
          <w:bCs w:val="false"/>
          <w:i w:val="false"/>
          <w:iCs w:val="false"/>
          <w:color w:val="333333"/>
          <w:sz w:val="22"/>
          <w:szCs w:val="22"/>
        </w:rPr>
        <w:t xml:space="preserve">La vinculación con el medio se orienta a establecer una relación significativa, permanente y de mutuo beneficio con los principales actores del entorno relevante de la Escuela: la Armada de Chile como actor principal y, en un nivel secundario, las escuelas matrices de las FF.AA. y de orden y seguridad, las instituciones de educación superior, las academias navales extranjeras, la comunidad civil y los ex alumnos.</w:t>
      </w:r>
    </w:p>
    <w:p>
      <w:pPr>
        <w:spacing w:after="200" w:before="0" w:line="300"/>
        <w:jc w:val="both"/>
      </w:pPr>
      <w:r>
        <w:rPr>
          <w:rFonts w:ascii="Calibri" w:cs="Calibri" w:eastAsia="Calibri" w:hAnsi="Calibri"/>
          <w:b w:val="false"/>
          <w:bCs w:val="false"/>
          <w:i w:val="false"/>
          <w:iCs w:val="false"/>
          <w:color w:val="333333"/>
          <w:sz w:val="22"/>
          <w:szCs w:val="22"/>
        </w:rPr>
        <w:t xml:space="preserve">Acreditada voluntariamente en esta dimensión, la Escuela debe consolidar una política de vinculación con indicadores de impacto verificables, mecanismos de evaluación continua y una bidireccionalidad demostrable: el entorno retroalimenta la formación de los cadetes y la Escuela aporta valor a su entorno.</w:t>
      </w:r>
    </w:p>
    <w:p>
      <w:pPr>
        <w:spacing w:after="60" w:before="320"/>
      </w:pPr>
      <w:r>
        <w:rPr>
          <w:rFonts w:ascii="Calibri" w:cs="Calibri" w:eastAsia="Calibri" w:hAnsi="Calibri"/>
          <w:b/>
          <w:bCs/>
          <w:color w:val="5B8A50"/>
          <w:sz w:val="32"/>
          <w:szCs w:val="32"/>
        </w:rPr>
        <w:t xml:space="preserve">OBJETIVO 5.1: </w:t>
      </w:r>
      <w:r>
        <w:rPr>
          <w:rFonts w:ascii="Calibri" w:cs="Calibri" w:eastAsia="Calibri" w:hAnsi="Calibri"/>
          <w:color w:val="5B8A50"/>
          <w:sz w:val="32"/>
          <w:szCs w:val="32"/>
        </w:rPr>
        <w:t xml:space="preserve">Consolidar la política y el modelo de vinculación con el medio, con impacto bidireccional medible</w:t>
      </w:r>
    </w:p>
    <w:p>
      <w:pPr>
        <w:pBdr>
          <w:bottom w:val="single" w:color="5B8A50" w:sz="8" w:space="4"/>
        </w:pBdr>
        <w:spacing w:after="200"/>
      </w:pPr>
      <w:r>
        <w:rPr>
          <w:rFonts w:ascii="Calibri" w:cs="Calibri" w:eastAsia="Calibri" w:hAnsi="Calibri"/>
          <w:b/>
          <w:bCs/>
          <w:caps/>
          <w:color w:val="5B8A50"/>
          <w:sz w:val="24"/>
          <w:szCs w:val="24"/>
        </w:rPr>
        <w:t xml:space="preserve">PLANES DE ACCIÓN</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700"/>
        <w:gridCol w:w="8660"/>
      </w:tblGrid>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5B8A50"/>
                <w:sz w:val="30"/>
                <w:szCs w:val="30"/>
              </w:rPr>
              <w:t xml:space="preserve">⬤</w:t>
            </w:r>
          </w:p>
        </w:tc>
        <w:tc>
          <w:tcPr>
            <w:tcW w:type="dxa" w:w="8660"/>
            <w:tcBorders>
              <w:top w:val="none" w:color="FFFFFF" w:sz="0"/>
              <w:left w:val="single" w:color="5B8A50"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mantendrá actualizada la política de Vinculación con el Medio y su plan anual de actividades, con responsables, recursos y mecanismos de seguimiento definidos.</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5B8A50"/>
                <w:sz w:val="30"/>
                <w:szCs w:val="30"/>
              </w:rPr>
              <w:t xml:space="preserve">⬤</w:t>
            </w:r>
          </w:p>
        </w:tc>
        <w:tc>
          <w:tcPr>
            <w:tcW w:type="dxa" w:w="8660"/>
            <w:tcBorders>
              <w:top w:val="none" w:color="FFFFFF" w:sz="0"/>
              <w:left w:val="single" w:color="5B8A50"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medirá sistemáticamente el impacto de las actividades de vinculación en la formación de los cadetes y en el entorno, incorporando indicadores de impacto social a las evaluaciones institucionales.</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5B8A50"/>
                <w:sz w:val="30"/>
                <w:szCs w:val="30"/>
              </w:rPr>
              <w:t xml:space="preserve">⬤</w:t>
            </w:r>
          </w:p>
        </w:tc>
        <w:tc>
          <w:tcPr>
            <w:tcW w:type="dxa" w:w="8660"/>
            <w:tcBorders>
              <w:top w:val="none" w:color="FFFFFF" w:sz="0"/>
              <w:left w:val="single" w:color="5B8A50"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mantendrán y establecerán nuevos convenios de cooperación académica, profesional y físico-deportiva con el entorno relevante, evaluando periódicamente su vigencia y resultados.</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5B8A50"/>
                <w:sz w:val="30"/>
                <w:szCs w:val="30"/>
              </w:rPr>
              <w:t xml:space="preserve">⬤</w:t>
            </w:r>
          </w:p>
        </w:tc>
        <w:tc>
          <w:tcPr>
            <w:tcW w:type="dxa" w:w="8660"/>
            <w:tcBorders>
              <w:top w:val="none" w:color="FFFFFF" w:sz="0"/>
              <w:left w:val="single" w:color="5B8A50"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desarrollarán actividades culturales, deportivas y de extensión concordantes con los modelos de formación de los cadetes.</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5B8A50"/>
                <w:sz w:val="30"/>
                <w:szCs w:val="30"/>
              </w:rPr>
              <w:t xml:space="preserve">⬤</w:t>
            </w:r>
          </w:p>
        </w:tc>
        <w:tc>
          <w:tcPr>
            <w:tcW w:type="dxa" w:w="8660"/>
            <w:tcBorders>
              <w:top w:val="none" w:color="FFFFFF" w:sz="0"/>
              <w:left w:val="single" w:color="5B8A50"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mantendrá un vínculo estrecho con los mandos operativos y direcciones técnicas de la Armada, para el cumplimiento de las mallas curriculares y los períodos de práctica de los cadetes.</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5B8A50"/>
                <w:sz w:val="30"/>
                <w:szCs w:val="30"/>
              </w:rPr>
              <w:t xml:space="preserve">⬤</w:t>
            </w:r>
          </w:p>
        </w:tc>
        <w:tc>
          <w:tcPr>
            <w:tcW w:type="dxa" w:w="8660"/>
            <w:tcBorders>
              <w:top w:val="none" w:color="FFFFFF" w:sz="0"/>
              <w:left w:val="single" w:color="5B8A50"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documentarán mecanismos de control, evidencias y lecciones aprendidas de las actividades de vinculación, generando planes de mejora anuales.</w:t>
            </w:r>
          </w:p>
        </w:tc>
      </w:tr>
    </w:tbl>
    <w:p>
      <w:pPr>
        <w:spacing w:after="60" w:before="320"/>
      </w:pPr>
      <w:r>
        <w:rPr>
          <w:rFonts w:ascii="Calibri" w:cs="Calibri" w:eastAsia="Calibri" w:hAnsi="Calibri"/>
          <w:b/>
          <w:bCs/>
          <w:color w:val="5B8A50"/>
          <w:sz w:val="32"/>
          <w:szCs w:val="32"/>
        </w:rPr>
        <w:t xml:space="preserve">OBJETIVO 5.2: </w:t>
      </w:r>
      <w:r>
        <w:rPr>
          <w:rFonts w:ascii="Calibri" w:cs="Calibri" w:eastAsia="Calibri" w:hAnsi="Calibri"/>
          <w:color w:val="5B8A50"/>
          <w:sz w:val="32"/>
          <w:szCs w:val="32"/>
        </w:rPr>
        <w:t xml:space="preserve">Fortalecer la proyección internacional y las redes de cooperación de la Escuela</w:t>
      </w:r>
    </w:p>
    <w:p>
      <w:pPr>
        <w:pBdr>
          <w:bottom w:val="single" w:color="5B8A50" w:sz="8" w:space="4"/>
        </w:pBdr>
        <w:spacing w:after="200"/>
      </w:pPr>
      <w:r>
        <w:rPr>
          <w:rFonts w:ascii="Calibri" w:cs="Calibri" w:eastAsia="Calibri" w:hAnsi="Calibri"/>
          <w:b/>
          <w:bCs/>
          <w:caps/>
          <w:color w:val="5B8A50"/>
          <w:sz w:val="24"/>
          <w:szCs w:val="24"/>
        </w:rPr>
        <w:t xml:space="preserve">PLANES DE ACCIÓN</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700"/>
        <w:gridCol w:w="8660"/>
      </w:tblGrid>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5B8A50"/>
                <w:sz w:val="30"/>
                <w:szCs w:val="30"/>
              </w:rPr>
              <w:t xml:space="preserve">⬤</w:t>
            </w:r>
          </w:p>
        </w:tc>
        <w:tc>
          <w:tcPr>
            <w:tcW w:type="dxa" w:w="8660"/>
            <w:tcBorders>
              <w:top w:val="none" w:color="FFFFFF" w:sz="0"/>
              <w:left w:val="single" w:color="5B8A50"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fortalecerán alianzas estratégicas duraderas con academias navales y escuelas matrices extranjeras, bajo un marco de cooperación institucional e intercambios de cadetes, docentes e instructores.</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5B8A50"/>
                <w:sz w:val="30"/>
                <w:szCs w:val="30"/>
              </w:rPr>
              <w:t xml:space="preserve">⬤</w:t>
            </w:r>
          </w:p>
        </w:tc>
        <w:tc>
          <w:tcPr>
            <w:tcW w:type="dxa" w:w="8660"/>
            <w:tcBorders>
              <w:top w:val="none" w:color="FFFFFF" w:sz="0"/>
              <w:left w:val="single" w:color="5B8A50"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incentivará la participación de la Escuela en encuentros académicos, competencias y ejercicios internacionales que enriquezcan la formación y proyecten el prestigio institucional.</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5B8A50"/>
                <w:sz w:val="30"/>
                <w:szCs w:val="30"/>
              </w:rPr>
              <w:t xml:space="preserve">⬤</w:t>
            </w:r>
          </w:p>
        </w:tc>
        <w:tc>
          <w:tcPr>
            <w:tcW w:type="dxa" w:w="8660"/>
            <w:tcBorders>
              <w:top w:val="none" w:color="FFFFFF" w:sz="0"/>
              <w:left w:val="single" w:color="5B8A50"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sistematizarán los aprendizajes y buenas prácticas obtenidos de la cooperación internacional, incorporándolos a los procesos formativos y de gestión.</w:t>
            </w:r>
          </w:p>
        </w:tc>
      </w:tr>
    </w:tbl>
    <w:p>
      <w:r>
        <w:br w:type="page"/>
      </w:r>
    </w:p>
    <w:p>
      <w:pPr>
        <w:pStyle w:val="Heading2"/>
        <w:spacing w:after="0"/>
      </w:pPr>
      <w:r>
        <w:rPr>
          <w:color w:val="FFFFFF"/>
          <w:sz w:val="2"/>
          <w:szCs w:val="2"/>
        </w:rPr>
        <w:t xml:space="preserve">6. GOBERNANZA gestión institucional, recursos y sostenibilidad</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2000"/>
        <w:gridCol w:w="7360"/>
      </w:tblGrid>
      <w:tr>
        <w:tc>
          <w:tcPr>
            <w:tcW w:type="dxa" w:w="2000"/>
            <w:shd w:fill="3E5A3A" w:val="clear"/>
            <w:tcMar>
              <w:top w:type="dxa" w:w="200"/>
              <w:left w:type="dxa" w:w="150"/>
              <w:bottom w:type="dxa" w:w="200"/>
              <w:right w:type="dxa" w:w="150"/>
            </w:tcMar>
            <w:vAlign w:val="center"/>
          </w:tcPr>
          <w:p>
            <w:pPr>
              <w:jc w:val="center"/>
            </w:pPr>
            <w:r>
              <w:rPr>
                <w:rFonts w:ascii="Calibri" w:cs="Calibri" w:eastAsia="Calibri" w:hAnsi="Calibri"/>
                <w:b/>
                <w:bCs/>
                <w:color w:val="FFFFFF"/>
                <w:sz w:val="130"/>
                <w:szCs w:val="130"/>
              </w:rPr>
              <w:t xml:space="preserve">6</w:t>
            </w:r>
          </w:p>
        </w:tc>
        <w:tc>
          <w:tcPr>
            <w:tcW w:type="dxa" w:w="7360"/>
            <w:shd w:fill="3E5A3A" w:val="clear"/>
            <w:tcMar>
              <w:top w:type="dxa" w:w="200"/>
              <w:left w:type="dxa" w:w="300"/>
              <w:bottom w:type="dxa" w:w="200"/>
              <w:right w:type="dxa" w:w="300"/>
            </w:tcMar>
            <w:vAlign w:val="center"/>
          </w:tcPr>
          <w:p>
            <w:pPr>
              <w:spacing w:after="40"/>
            </w:pPr>
            <w:r>
              <w:rPr>
                <w:rFonts w:ascii="Calibri" w:cs="Calibri" w:eastAsia="Calibri" w:hAnsi="Calibri"/>
                <w:b/>
                <w:bCs/>
                <w:caps/>
                <w:color w:val="FFFFFF"/>
                <w:sz w:val="40"/>
                <w:szCs w:val="40"/>
              </w:rPr>
              <w:t xml:space="preserve">GOBERNANZA</w:t>
            </w:r>
          </w:p>
          <w:p>
            <w:pPr>
              <w:spacing w:after="40"/>
            </w:pPr>
            <w:r>
              <w:rPr>
                <w:rFonts w:ascii="Calibri" w:cs="Calibri" w:eastAsia="Calibri" w:hAnsi="Calibri"/>
                <w:b w:val="false"/>
                <w:bCs w:val="false"/>
                <w:caps/>
                <w:color w:val="E7E0CF"/>
                <w:sz w:val="28"/>
                <w:szCs w:val="28"/>
              </w:rPr>
              <w:t xml:space="preserve">gestión institucional, recursos y sostenibilidad</w:t>
            </w:r>
          </w:p>
        </w:tc>
      </w:tr>
    </w:tbl>
    <w:p>
      <w:pPr>
        <w:spacing w:after="300"/>
      </w:pPr>
    </w:p>
    <w:p>
      <w:pPr>
        <w:jc w:val="center"/>
      </w:pPr>
      <w:r>
        <w:drawing>
          <wp:inline distT="0" distB="0" distL="0" distR="0">
            <wp:extent cx="5905500" cy="36957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cstate="none"/>
                    <a:srcRect/>
                    <a:stretch>
                      <a:fillRect/>
                    </a:stretch>
                  </pic:blipFill>
                  <pic:spPr bwMode="auto">
                    <a:xfrm>
                      <a:off x="0" y="0"/>
                      <a:ext cx="5905500" cy="3695700"/>
                    </a:xfrm>
                    <a:prstGeom prst="rect">
                      <a:avLst/>
                    </a:prstGeom>
                  </pic:spPr>
                </pic:pic>
              </a:graphicData>
            </a:graphic>
          </wp:inline>
        </w:drawing>
      </w:r>
    </w:p>
    <w:p>
      <w:r>
        <w:br w:type="page"/>
      </w:r>
    </w:p>
    <w:p>
      <w:pPr>
        <w:spacing w:after="200" w:before="0" w:line="300"/>
        <w:jc w:val="both"/>
      </w:pPr>
      <w:r>
        <w:rPr>
          <w:rFonts w:ascii="Calibri" w:cs="Calibri" w:eastAsia="Calibri" w:hAnsi="Calibri"/>
          <w:b w:val="false"/>
          <w:bCs w:val="false"/>
          <w:i w:val="false"/>
          <w:iCs w:val="false"/>
          <w:color w:val="333333"/>
          <w:sz w:val="22"/>
          <w:szCs w:val="22"/>
        </w:rPr>
        <w:t xml:space="preserve">La permanente renovación de la Escuela, para el cumplimiento de su Misión, se basa en un sistema articulado de toma de decisiones que integra los reglamentos, directivas, órdenes permanentes y transitorias, las políticas internas y los mecanismos de administración del recurso humano, financiero, material y de infraestructura.</w:t>
      </w:r>
    </w:p>
    <w:p>
      <w:pPr>
        <w:spacing w:after="200" w:before="0" w:line="300"/>
        <w:jc w:val="both"/>
      </w:pPr>
      <w:r>
        <w:rPr>
          <w:rFonts w:ascii="Calibri" w:cs="Calibri" w:eastAsia="Calibri" w:hAnsi="Calibri"/>
          <w:b w:val="false"/>
          <w:bCs w:val="false"/>
          <w:i w:val="false"/>
          <w:iCs w:val="false"/>
          <w:color w:val="333333"/>
          <w:sz w:val="22"/>
          <w:szCs w:val="22"/>
        </w:rPr>
        <w:t xml:space="preserve">En un contexto de restricciones fiscales y de financiamiento supeditado al presupuesto de defensa, este lineamiento busca asegurar la estabilidad organizacional, la sostenibilidad financiera y la disponibilidad de la infraestructura y los apoyos educacionales que exige el proyecto educativo, incorporando además la dimensión medioambiental del Campus Sustentable.</w:t>
      </w:r>
    </w:p>
    <w:p>
      <w:pPr>
        <w:spacing w:after="60" w:before="320"/>
      </w:pPr>
      <w:r>
        <w:rPr>
          <w:rFonts w:ascii="Calibri" w:cs="Calibri" w:eastAsia="Calibri" w:hAnsi="Calibri"/>
          <w:b/>
          <w:bCs/>
          <w:color w:val="3E5A3A"/>
          <w:sz w:val="32"/>
          <w:szCs w:val="32"/>
        </w:rPr>
        <w:t xml:space="preserve">OBJETIVO 6.1: </w:t>
      </w:r>
      <w:r>
        <w:rPr>
          <w:rFonts w:ascii="Calibri" w:cs="Calibri" w:eastAsia="Calibri" w:hAnsi="Calibri"/>
          <w:color w:val="3E5A3A"/>
          <w:sz w:val="32"/>
          <w:szCs w:val="32"/>
        </w:rPr>
        <w:t xml:space="preserve">Fortalecer la gobernanza institucional y el sistema de control de gestión</w:t>
      </w:r>
    </w:p>
    <w:p>
      <w:pPr>
        <w:pBdr>
          <w:bottom w:val="single" w:color="3E5A3A" w:sz="8" w:space="4"/>
        </w:pBdr>
        <w:spacing w:after="200"/>
      </w:pPr>
      <w:r>
        <w:rPr>
          <w:rFonts w:ascii="Calibri" w:cs="Calibri" w:eastAsia="Calibri" w:hAnsi="Calibri"/>
          <w:b/>
          <w:bCs/>
          <w:caps/>
          <w:color w:val="3E5A3A"/>
          <w:sz w:val="24"/>
          <w:szCs w:val="24"/>
        </w:rPr>
        <w:t xml:space="preserve">PLANES DE ACCIÓN</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700"/>
        <w:gridCol w:w="8660"/>
      </w:tblGrid>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3E5A3A"/>
                <w:sz w:val="30"/>
                <w:szCs w:val="30"/>
              </w:rPr>
              <w:t xml:space="preserve">⬤</w:t>
            </w:r>
          </w:p>
        </w:tc>
        <w:tc>
          <w:tcPr>
            <w:tcW w:type="dxa" w:w="8660"/>
            <w:tcBorders>
              <w:top w:val="none" w:color="FFFFFF" w:sz="0"/>
              <w:left w:val="single" w:color="3E5A3A"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mantendrá actualizado el Reglamento Orgánico conforme a las necesidades operativas y académicas de la Escuela y a la normativa de educación superior vigente.</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3E5A3A"/>
                <w:sz w:val="30"/>
                <w:szCs w:val="30"/>
              </w:rPr>
              <w:t xml:space="preserve">⬤</w:t>
            </w:r>
          </w:p>
        </w:tc>
        <w:tc>
          <w:tcPr>
            <w:tcW w:type="dxa" w:w="8660"/>
            <w:tcBorders>
              <w:top w:val="none" w:color="FFFFFF" w:sz="0"/>
              <w:left w:val="single" w:color="3E5A3A"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consolidará el Cuadro de Mando Integral con indicadores de gestión e informes de resultados en sus tres áreas: estratégica, de calidad y de planes operativos.</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3E5A3A"/>
                <w:sz w:val="30"/>
                <w:szCs w:val="30"/>
              </w:rPr>
              <w:t xml:space="preserve">⬤</w:t>
            </w:r>
          </w:p>
        </w:tc>
        <w:tc>
          <w:tcPr>
            <w:tcW w:type="dxa" w:w="8660"/>
            <w:tcBorders>
              <w:top w:val="none" w:color="FFFFFF" w:sz="0"/>
              <w:left w:val="single" w:color="3E5A3A"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implementarán mecanismos de control que permitan evaluar la gestión y proponer planes de mejora en forma anual, sustentando las decisiones del Mando en evidencia objetiva.</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3E5A3A"/>
                <w:sz w:val="30"/>
                <w:szCs w:val="30"/>
              </w:rPr>
              <w:t xml:space="preserve">⬤</w:t>
            </w:r>
          </w:p>
        </w:tc>
        <w:tc>
          <w:tcPr>
            <w:tcW w:type="dxa" w:w="8660"/>
            <w:tcBorders>
              <w:top w:val="none" w:color="FFFFFF" w:sz="0"/>
              <w:left w:val="single" w:color="3E5A3A"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formalizarán y profundizarán los mecanismos de evaluación periódica del diseño y funcionamiento de la estructura organizacional, asegurando la adecuada gestión de todas las funciones institucionales.</w:t>
            </w:r>
          </w:p>
        </w:tc>
      </w:tr>
    </w:tbl>
    <w:p>
      <w:pPr>
        <w:spacing w:after="60" w:before="320"/>
      </w:pPr>
      <w:r>
        <w:rPr>
          <w:rFonts w:ascii="Calibri" w:cs="Calibri" w:eastAsia="Calibri" w:hAnsi="Calibri"/>
          <w:b/>
          <w:bCs/>
          <w:color w:val="3E5A3A"/>
          <w:sz w:val="32"/>
          <w:szCs w:val="32"/>
        </w:rPr>
        <w:t xml:space="preserve">OBJETIVO 6.2: </w:t>
      </w:r>
      <w:r>
        <w:rPr>
          <w:rFonts w:ascii="Calibri" w:cs="Calibri" w:eastAsia="Calibri" w:hAnsi="Calibri"/>
          <w:color w:val="3E5A3A"/>
          <w:sz w:val="32"/>
          <w:szCs w:val="32"/>
        </w:rPr>
        <w:t xml:space="preserve">Asegurar la sostenibilidad financiera y la eficiencia en el uso de los recursos</w:t>
      </w:r>
    </w:p>
    <w:p>
      <w:pPr>
        <w:pBdr>
          <w:bottom w:val="single" w:color="3E5A3A" w:sz="8" w:space="4"/>
        </w:pBdr>
        <w:spacing w:after="200"/>
      </w:pPr>
      <w:r>
        <w:rPr>
          <w:rFonts w:ascii="Calibri" w:cs="Calibri" w:eastAsia="Calibri" w:hAnsi="Calibri"/>
          <w:b/>
          <w:bCs/>
          <w:caps/>
          <w:color w:val="3E5A3A"/>
          <w:sz w:val="24"/>
          <w:szCs w:val="24"/>
        </w:rPr>
        <w:t xml:space="preserve">PLANES DE ACCIÓN</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700"/>
        <w:gridCol w:w="8660"/>
      </w:tblGrid>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3E5A3A"/>
                <w:sz w:val="30"/>
                <w:szCs w:val="30"/>
              </w:rPr>
              <w:t xml:space="preserve">⬤</w:t>
            </w:r>
          </w:p>
        </w:tc>
        <w:tc>
          <w:tcPr>
            <w:tcW w:type="dxa" w:w="8660"/>
            <w:tcBorders>
              <w:top w:val="none" w:color="FFFFFF" w:sz="0"/>
              <w:left w:val="single" w:color="3E5A3A"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optimizarán los recursos financieros mediante auditorías y una planificación priorizada de tareas y actividades, distribuyendo eficientemente los recursos asignados.</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3E5A3A"/>
                <w:sz w:val="30"/>
                <w:szCs w:val="30"/>
              </w:rPr>
              <w:t xml:space="preserve">⬤</w:t>
            </w:r>
          </w:p>
        </w:tc>
        <w:tc>
          <w:tcPr>
            <w:tcW w:type="dxa" w:w="8660"/>
            <w:tcBorders>
              <w:top w:val="none" w:color="FFFFFF" w:sz="0"/>
              <w:left w:val="single" w:color="3E5A3A"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evaluarán fuentes de financiamiento complementarias —convenios, fondos concursables y beneficios asociados a la condición de institución acreditada— para sostener proyectos de largo plazo.</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3E5A3A"/>
                <w:sz w:val="30"/>
                <w:szCs w:val="30"/>
              </w:rPr>
              <w:t xml:space="preserve">⬤</w:t>
            </w:r>
          </w:p>
        </w:tc>
        <w:tc>
          <w:tcPr>
            <w:tcW w:type="dxa" w:w="8660"/>
            <w:tcBorders>
              <w:top w:val="none" w:color="FFFFFF" w:sz="0"/>
              <w:left w:val="single" w:color="3E5A3A"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evaluará anualmente el costo de ejecución de las actividades de los seis modelos de formación y su concordancia con los ingresos, efectuando los ajustes necesarios.</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3E5A3A"/>
                <w:sz w:val="30"/>
                <w:szCs w:val="30"/>
              </w:rPr>
              <w:t xml:space="preserve">⬤</w:t>
            </w:r>
          </w:p>
        </w:tc>
        <w:tc>
          <w:tcPr>
            <w:tcW w:type="dxa" w:w="8660"/>
            <w:tcBorders>
              <w:top w:val="none" w:color="FFFFFF" w:sz="0"/>
              <w:left w:val="single" w:color="3E5A3A"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priorizará, conforme a la política de la Dirección General del Personal de la Armada, el cumplimiento de la dotación referencial de la Escuela.</w:t>
            </w:r>
          </w:p>
        </w:tc>
      </w:tr>
    </w:tbl>
    <w:p>
      <w:pPr>
        <w:spacing w:after="60" w:before="320"/>
      </w:pPr>
      <w:r>
        <w:rPr>
          <w:rFonts w:ascii="Calibri" w:cs="Calibri" w:eastAsia="Calibri" w:hAnsi="Calibri"/>
          <w:b/>
          <w:bCs/>
          <w:color w:val="3E5A3A"/>
          <w:sz w:val="32"/>
          <w:szCs w:val="32"/>
        </w:rPr>
        <w:t xml:space="preserve">OBJETIVO 6.3: </w:t>
      </w:r>
      <w:r>
        <w:rPr>
          <w:rFonts w:ascii="Calibri" w:cs="Calibri" w:eastAsia="Calibri" w:hAnsi="Calibri"/>
          <w:color w:val="3E5A3A"/>
          <w:sz w:val="32"/>
          <w:szCs w:val="32"/>
        </w:rPr>
        <w:t xml:space="preserve">Disponer de infraestructura, equipamiento y un campus sostenible para el proyecto educativo</w:t>
      </w:r>
    </w:p>
    <w:p>
      <w:pPr>
        <w:pBdr>
          <w:bottom w:val="single" w:color="3E5A3A" w:sz="8" w:space="4"/>
        </w:pBdr>
        <w:spacing w:after="200"/>
      </w:pPr>
      <w:r>
        <w:rPr>
          <w:rFonts w:ascii="Calibri" w:cs="Calibri" w:eastAsia="Calibri" w:hAnsi="Calibri"/>
          <w:b/>
          <w:bCs/>
          <w:caps/>
          <w:color w:val="3E5A3A"/>
          <w:sz w:val="24"/>
          <w:szCs w:val="24"/>
        </w:rPr>
        <w:t xml:space="preserve">PLANES DE ACCIÓN</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700"/>
        <w:gridCol w:w="8660"/>
      </w:tblGrid>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3E5A3A"/>
                <w:sz w:val="30"/>
                <w:szCs w:val="30"/>
              </w:rPr>
              <w:t xml:space="preserve">⬤</w:t>
            </w:r>
          </w:p>
        </w:tc>
        <w:tc>
          <w:tcPr>
            <w:tcW w:type="dxa" w:w="8660"/>
            <w:tcBorders>
              <w:top w:val="none" w:color="FFFFFF" w:sz="0"/>
              <w:left w:val="single" w:color="3E5A3A"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desarrollarán planes de mantenimiento, recuperación y modernización de infraestructura, con foco en el apoyo educacional, la seguridad, el simulador de navegación y el parque computacional.</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3E5A3A"/>
                <w:sz w:val="30"/>
                <w:szCs w:val="30"/>
              </w:rPr>
              <w:t xml:space="preserve">⬤</w:t>
            </w:r>
          </w:p>
        </w:tc>
        <w:tc>
          <w:tcPr>
            <w:tcW w:type="dxa" w:w="8660"/>
            <w:tcBorders>
              <w:top w:val="none" w:color="FFFFFF" w:sz="0"/>
              <w:left w:val="single" w:color="3E5A3A"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recuperará y mantendrá la infraestructura deportiva necesaria para el cumplimiento del modelo de formación físico-deportivo de los cadetes.</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3E5A3A"/>
                <w:sz w:val="30"/>
                <w:szCs w:val="30"/>
              </w:rPr>
              <w:t xml:space="preserve">⬤</w:t>
            </w:r>
          </w:p>
        </w:tc>
        <w:tc>
          <w:tcPr>
            <w:tcW w:type="dxa" w:w="8660"/>
            <w:tcBorders>
              <w:top w:val="none" w:color="FFFFFF" w:sz="0"/>
              <w:left w:val="single" w:color="3E5A3A"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mantendrá actualizado el catastro de superficie útil de terrenos, infraestructura y medios de apoyo de la Escuela.</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3E5A3A"/>
                <w:sz w:val="30"/>
                <w:szCs w:val="30"/>
              </w:rPr>
              <w:t xml:space="preserve">⬤</w:t>
            </w:r>
          </w:p>
        </w:tc>
        <w:tc>
          <w:tcPr>
            <w:tcW w:type="dxa" w:w="8660"/>
            <w:tcBorders>
              <w:top w:val="none" w:color="FFFFFF" w:sz="0"/>
              <w:left w:val="single" w:color="3E5A3A"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dará continuidad al Acuerdo de Producción Limpia “Campus Sustentable”: medición anual de la huella de carbono, reducción de consumos de agua y energía, gestión integral de residuos y capacitación de la comunidad naval en prácticas sostenibles.</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3E5A3A"/>
                <w:sz w:val="30"/>
                <w:szCs w:val="30"/>
              </w:rPr>
              <w:t xml:space="preserve">⬤</w:t>
            </w:r>
          </w:p>
        </w:tc>
        <w:tc>
          <w:tcPr>
            <w:tcW w:type="dxa" w:w="8660"/>
            <w:tcBorders>
              <w:top w:val="none" w:color="FFFFFF" w:sz="0"/>
              <w:left w:val="single" w:color="3E5A3A"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aplicarán instrumentos de consulta permanente para evaluar la satisfacción de los usuarios con la infraestructura, el equipamiento y los servicios institucionales.</w:t>
            </w:r>
          </w:p>
        </w:tc>
      </w:tr>
    </w:tbl>
    <w:p>
      <w:r>
        <w:br w:type="page"/>
      </w:r>
    </w:p>
    <w:p>
      <w:pPr>
        <w:pStyle w:val="Heading2"/>
        <w:spacing w:after="0"/>
      </w:pPr>
      <w:r>
        <w:rPr>
          <w:color w:val="FFFFFF"/>
          <w:sz w:val="2"/>
          <w:szCs w:val="2"/>
        </w:rPr>
        <w:t xml:space="preserve">7. PERSONAS Y CONVIVENCIA desarrollo del capital humano y cultura organizacional</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2000"/>
        <w:gridCol w:w="7360"/>
      </w:tblGrid>
      <w:tr>
        <w:tc>
          <w:tcPr>
            <w:tcW w:type="dxa" w:w="2000"/>
            <w:shd w:fill="7E3040" w:val="clear"/>
            <w:tcMar>
              <w:top w:type="dxa" w:w="200"/>
              <w:left w:type="dxa" w:w="150"/>
              <w:bottom w:type="dxa" w:w="200"/>
              <w:right w:type="dxa" w:w="150"/>
            </w:tcMar>
            <w:vAlign w:val="center"/>
          </w:tcPr>
          <w:p>
            <w:pPr>
              <w:jc w:val="center"/>
            </w:pPr>
            <w:r>
              <w:rPr>
                <w:rFonts w:ascii="Calibri" w:cs="Calibri" w:eastAsia="Calibri" w:hAnsi="Calibri"/>
                <w:b/>
                <w:bCs/>
                <w:color w:val="FFFFFF"/>
                <w:sz w:val="130"/>
                <w:szCs w:val="130"/>
              </w:rPr>
              <w:t xml:space="preserve">7</w:t>
            </w:r>
          </w:p>
        </w:tc>
        <w:tc>
          <w:tcPr>
            <w:tcW w:type="dxa" w:w="7360"/>
            <w:shd w:fill="7E3040" w:val="clear"/>
            <w:tcMar>
              <w:top w:type="dxa" w:w="200"/>
              <w:left w:type="dxa" w:w="300"/>
              <w:bottom w:type="dxa" w:w="200"/>
              <w:right w:type="dxa" w:w="300"/>
            </w:tcMar>
            <w:vAlign w:val="center"/>
          </w:tcPr>
          <w:p>
            <w:pPr>
              <w:spacing w:after="40"/>
            </w:pPr>
            <w:r>
              <w:rPr>
                <w:rFonts w:ascii="Calibri" w:cs="Calibri" w:eastAsia="Calibri" w:hAnsi="Calibri"/>
                <w:b/>
                <w:bCs/>
                <w:caps/>
                <w:color w:val="FFFFFF"/>
                <w:sz w:val="40"/>
                <w:szCs w:val="40"/>
              </w:rPr>
              <w:t xml:space="preserve">PERSONAS Y CONVIVENCIA</w:t>
            </w:r>
          </w:p>
          <w:p>
            <w:pPr>
              <w:spacing w:after="40"/>
            </w:pPr>
            <w:r>
              <w:rPr>
                <w:rFonts w:ascii="Calibri" w:cs="Calibri" w:eastAsia="Calibri" w:hAnsi="Calibri"/>
                <w:b w:val="false"/>
                <w:bCs w:val="false"/>
                <w:caps/>
                <w:color w:val="E7E0CF"/>
                <w:sz w:val="28"/>
                <w:szCs w:val="28"/>
              </w:rPr>
              <w:t xml:space="preserve">desarrollo del capital humano y cultura organizacional</w:t>
            </w:r>
          </w:p>
        </w:tc>
      </w:tr>
    </w:tbl>
    <w:p>
      <w:pPr>
        <w:spacing w:after="300"/>
      </w:pPr>
    </w:p>
    <w:p>
      <w:pPr>
        <w:jc w:val="center"/>
      </w:pPr>
      <w:r>
        <w:drawing>
          <wp:inline distT="0" distB="0" distL="0" distR="0">
            <wp:extent cx="5905500" cy="36957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cstate="none"/>
                    <a:srcRect/>
                    <a:stretch>
                      <a:fillRect/>
                    </a:stretch>
                  </pic:blipFill>
                  <pic:spPr bwMode="auto">
                    <a:xfrm>
                      <a:off x="0" y="0"/>
                      <a:ext cx="5905500" cy="3695700"/>
                    </a:xfrm>
                    <a:prstGeom prst="rect">
                      <a:avLst/>
                    </a:prstGeom>
                  </pic:spPr>
                </pic:pic>
              </a:graphicData>
            </a:graphic>
          </wp:inline>
        </w:drawing>
      </w:r>
    </w:p>
    <w:p>
      <w:r>
        <w:br w:type="page"/>
      </w:r>
    </w:p>
    <w:p>
      <w:pPr>
        <w:spacing w:after="200" w:before="0" w:line="300"/>
        <w:jc w:val="both"/>
      </w:pPr>
      <w:r>
        <w:rPr>
          <w:rFonts w:ascii="Calibri" w:cs="Calibri" w:eastAsia="Calibri" w:hAnsi="Calibri"/>
          <w:b w:val="false"/>
          <w:bCs w:val="false"/>
          <w:i w:val="false"/>
          <w:iCs w:val="false"/>
          <w:color w:val="333333"/>
          <w:sz w:val="22"/>
          <w:szCs w:val="22"/>
        </w:rPr>
        <w:t xml:space="preserve">El desarrollo del capital humano y de la cultura organizacional, basado en una jerarquía militar clara y eficiente, promueve la disciplina y el profesionalismo, situando al cadete en el centro del quehacer de toda la dotación: oficiales, gente de mar, docentes, instructores, personal civil y de apoyo.</w:t>
      </w:r>
    </w:p>
    <w:p>
      <w:pPr>
        <w:spacing w:after="200" w:before="0" w:line="300"/>
        <w:jc w:val="both"/>
      </w:pPr>
      <w:r>
        <w:rPr>
          <w:rFonts w:ascii="Calibri" w:cs="Calibri" w:eastAsia="Calibri" w:hAnsi="Calibri"/>
          <w:b w:val="false"/>
          <w:bCs w:val="false"/>
          <w:i w:val="false"/>
          <w:iCs w:val="false"/>
          <w:color w:val="333333"/>
          <w:sz w:val="22"/>
          <w:szCs w:val="22"/>
        </w:rPr>
        <w:t xml:space="preserve">La incorporación de la mujer a la institución, las nuevas expectativas generacionales y las exigencias legales en materia de convivencia —leyes N° 21.369 y N° 21.643— demandan una gestión de personas que asegure ambientes de respeto, equidad e inclusión, mitigando además los efectos de la rotación del personal sobre la continuidad de los procesos.</w:t>
      </w:r>
    </w:p>
    <w:p>
      <w:pPr>
        <w:spacing w:after="60" w:before="320"/>
      </w:pPr>
      <w:r>
        <w:rPr>
          <w:rFonts w:ascii="Calibri" w:cs="Calibri" w:eastAsia="Calibri" w:hAnsi="Calibri"/>
          <w:b/>
          <w:bCs/>
          <w:color w:val="7E3040"/>
          <w:sz w:val="32"/>
          <w:szCs w:val="32"/>
        </w:rPr>
        <w:t xml:space="preserve">OBJETIVO 7.1: </w:t>
      </w:r>
      <w:r>
        <w:rPr>
          <w:rFonts w:ascii="Calibri" w:cs="Calibri" w:eastAsia="Calibri" w:hAnsi="Calibri"/>
          <w:color w:val="7E3040"/>
          <w:sz w:val="32"/>
          <w:szCs w:val="32"/>
        </w:rPr>
        <w:t xml:space="preserve">Fortalecer las competencias, la motivación y la cohesión de la dotación</w:t>
      </w:r>
    </w:p>
    <w:p>
      <w:pPr>
        <w:pBdr>
          <w:bottom w:val="single" w:color="7E3040" w:sz="8" w:space="4"/>
        </w:pBdr>
        <w:spacing w:after="200"/>
      </w:pPr>
      <w:r>
        <w:rPr>
          <w:rFonts w:ascii="Calibri" w:cs="Calibri" w:eastAsia="Calibri" w:hAnsi="Calibri"/>
          <w:b/>
          <w:bCs/>
          <w:caps/>
          <w:color w:val="7E3040"/>
          <w:sz w:val="24"/>
          <w:szCs w:val="24"/>
        </w:rPr>
        <w:t xml:space="preserve">PLANES DE ACCIÓN</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700"/>
        <w:gridCol w:w="8660"/>
      </w:tblGrid>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7E3040"/>
                <w:sz w:val="30"/>
                <w:szCs w:val="30"/>
              </w:rPr>
              <w:t xml:space="preserve">⬤</w:t>
            </w:r>
          </w:p>
        </w:tc>
        <w:tc>
          <w:tcPr>
            <w:tcW w:type="dxa" w:w="8660"/>
            <w:tcBorders>
              <w:top w:val="none" w:color="FFFFFF" w:sz="0"/>
              <w:left w:val="single" w:color="7E3040"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capacitará a oficiales, gente de mar, instructores, docentes y a todo el personal con función formativa en el modelo de liderazgo institucional.</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7E3040"/>
                <w:sz w:val="30"/>
                <w:szCs w:val="30"/>
              </w:rPr>
              <w:t xml:space="preserve">⬤</w:t>
            </w:r>
          </w:p>
        </w:tc>
        <w:tc>
          <w:tcPr>
            <w:tcW w:type="dxa" w:w="8660"/>
            <w:tcBorders>
              <w:top w:val="none" w:color="FFFFFF" w:sz="0"/>
              <w:left w:val="single" w:color="7E3040"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implementarán programas de liderazgo y cultura organizacional alineados con los valores de la Armada.</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7E3040"/>
                <w:sz w:val="30"/>
                <w:szCs w:val="30"/>
              </w:rPr>
              <w:t xml:space="preserve">⬤</w:t>
            </w:r>
          </w:p>
        </w:tc>
        <w:tc>
          <w:tcPr>
            <w:tcW w:type="dxa" w:w="8660"/>
            <w:tcBorders>
              <w:top w:val="none" w:color="FFFFFF" w:sz="0"/>
              <w:left w:val="single" w:color="7E3040"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mitigarán los efectos de la rotación del personal mediante programas de inducción y perfeccionamiento que aseguren la continuidad de los procesos internos y la preservación del conocimiento institucional.</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7E3040"/>
                <w:sz w:val="30"/>
                <w:szCs w:val="30"/>
              </w:rPr>
              <w:t xml:space="preserve">⬤</w:t>
            </w:r>
          </w:p>
        </w:tc>
        <w:tc>
          <w:tcPr>
            <w:tcW w:type="dxa" w:w="8660"/>
            <w:tcBorders>
              <w:top w:val="none" w:color="FFFFFF" w:sz="0"/>
              <w:left w:val="single" w:color="7E3040"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evaluará anualmente la satisfacción de la dotación en el cumplimiento de sus funciones, generando planes de mejora a partir de los mecanismos de retroalimentación del personal.</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7E3040"/>
                <w:sz w:val="30"/>
                <w:szCs w:val="30"/>
              </w:rPr>
              <w:t xml:space="preserve">⬤</w:t>
            </w:r>
          </w:p>
        </w:tc>
        <w:tc>
          <w:tcPr>
            <w:tcW w:type="dxa" w:w="8660"/>
            <w:tcBorders>
              <w:top w:val="none" w:color="FFFFFF" w:sz="0"/>
              <w:left w:val="single" w:color="7E3040"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perfeccionará el sistema de evaluación de desempeño del personal, evidenciando su contribución al cumplimiento de las tareas institucionales.</w:t>
            </w:r>
          </w:p>
        </w:tc>
      </w:tr>
    </w:tbl>
    <w:p>
      <w:pPr>
        <w:spacing w:after="60" w:before="320"/>
      </w:pPr>
      <w:r>
        <w:rPr>
          <w:rFonts w:ascii="Calibri" w:cs="Calibri" w:eastAsia="Calibri" w:hAnsi="Calibri"/>
          <w:b/>
          <w:bCs/>
          <w:color w:val="7E3040"/>
          <w:sz w:val="32"/>
          <w:szCs w:val="32"/>
        </w:rPr>
        <w:t xml:space="preserve">OBJETIVO 7.2: </w:t>
      </w:r>
      <w:r>
        <w:rPr>
          <w:rFonts w:ascii="Calibri" w:cs="Calibri" w:eastAsia="Calibri" w:hAnsi="Calibri"/>
          <w:color w:val="7E3040"/>
          <w:sz w:val="32"/>
          <w:szCs w:val="32"/>
        </w:rPr>
        <w:t xml:space="preserve">Asegurar una convivencia sana, equitativa e inclusiva en la comunidad escuela</w:t>
      </w:r>
    </w:p>
    <w:p>
      <w:pPr>
        <w:pBdr>
          <w:bottom w:val="single" w:color="7E3040" w:sz="8" w:space="4"/>
        </w:pBdr>
        <w:spacing w:after="200"/>
      </w:pPr>
      <w:r>
        <w:rPr>
          <w:rFonts w:ascii="Calibri" w:cs="Calibri" w:eastAsia="Calibri" w:hAnsi="Calibri"/>
          <w:b/>
          <w:bCs/>
          <w:caps/>
          <w:color w:val="7E3040"/>
          <w:sz w:val="24"/>
          <w:szCs w:val="24"/>
        </w:rPr>
        <w:t xml:space="preserve">PLANES DE ACCIÓN</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700"/>
        <w:gridCol w:w="8660"/>
      </w:tblGrid>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7E3040"/>
                <w:sz w:val="30"/>
                <w:szCs w:val="30"/>
              </w:rPr>
              <w:t xml:space="preserve">⬤</w:t>
            </w:r>
          </w:p>
        </w:tc>
        <w:tc>
          <w:tcPr>
            <w:tcW w:type="dxa" w:w="8660"/>
            <w:tcBorders>
              <w:top w:val="none" w:color="FFFFFF" w:sz="0"/>
              <w:left w:val="single" w:color="7E3040"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instruirá y medirá periódicamente el conocimiento de la dotación, docentes y cadetes respecto de las leyes N° 21.369 y N° 21.643, según corresponda.</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7E3040"/>
                <w:sz w:val="30"/>
                <w:szCs w:val="30"/>
              </w:rPr>
              <w:t xml:space="preserve">⬤</w:t>
            </w:r>
          </w:p>
        </w:tc>
        <w:tc>
          <w:tcPr>
            <w:tcW w:type="dxa" w:w="8660"/>
            <w:tcBorders>
              <w:top w:val="none" w:color="FFFFFF" w:sz="0"/>
              <w:left w:val="single" w:color="7E3040"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aplicarán y monitorearán las encuestas de prevención del acoso a cadetes, dotación y docentes, consolidando anualmente el plan de mejoras del comité de prevención.</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7E3040"/>
                <w:sz w:val="30"/>
                <w:szCs w:val="30"/>
              </w:rPr>
              <w:t xml:space="preserve">⬤</w:t>
            </w:r>
          </w:p>
        </w:tc>
        <w:tc>
          <w:tcPr>
            <w:tcW w:type="dxa" w:w="8660"/>
            <w:tcBorders>
              <w:top w:val="none" w:color="FFFFFF" w:sz="0"/>
              <w:left w:val="single" w:color="7E3040"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promoverá la construcción de ambientes favorables para la sana convivencia y la calidad de vida en todos los espacios de la Escuela, con especial atención al respeto, la protección de la vida familiar y la salud física y mental.</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7E3040"/>
                <w:sz w:val="30"/>
                <w:szCs w:val="30"/>
              </w:rPr>
              <w:t xml:space="preserve">⬤</w:t>
            </w:r>
          </w:p>
        </w:tc>
        <w:tc>
          <w:tcPr>
            <w:tcW w:type="dxa" w:w="8660"/>
            <w:tcBorders>
              <w:top w:val="none" w:color="FFFFFF" w:sz="0"/>
              <w:left w:val="single" w:color="7E3040"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fortalecerán las instancias de apoyo, orientación y acompañamiento que favorezcan la plena integración y permanencia de todos los integrantes de la comunidad escuela.</w:t>
            </w:r>
          </w:p>
        </w:tc>
      </w:tr>
    </w:tbl>
    <w:p>
      <w:r>
        <w:br w:type="page"/>
      </w:r>
    </w:p>
    <w:p>
      <w:pPr>
        <w:pStyle w:val="Heading2"/>
        <w:spacing w:after="0"/>
      </w:pPr>
      <w:r>
        <w:rPr>
          <w:color w:val="FFFFFF"/>
          <w:sz w:val="2"/>
          <w:szCs w:val="2"/>
        </w:rPr>
        <w:t xml:space="preserve">8. ASEGURAMIENTO DE LA CALIDAD y compromiso con la excelencia</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2000"/>
        <w:gridCol w:w="7360"/>
      </w:tblGrid>
      <w:tr>
        <w:tc>
          <w:tcPr>
            <w:tcW w:type="dxa" w:w="2000"/>
            <w:shd w:fill="1B6CA8" w:val="clear"/>
            <w:tcMar>
              <w:top w:type="dxa" w:w="200"/>
              <w:left w:type="dxa" w:w="150"/>
              <w:bottom w:type="dxa" w:w="200"/>
              <w:right w:type="dxa" w:w="150"/>
            </w:tcMar>
            <w:vAlign w:val="center"/>
          </w:tcPr>
          <w:p>
            <w:pPr>
              <w:jc w:val="center"/>
            </w:pPr>
            <w:r>
              <w:rPr>
                <w:rFonts w:ascii="Calibri" w:cs="Calibri" w:eastAsia="Calibri" w:hAnsi="Calibri"/>
                <w:b/>
                <w:bCs/>
                <w:color w:val="FFFFFF"/>
                <w:sz w:val="130"/>
                <w:szCs w:val="130"/>
              </w:rPr>
              <w:t xml:space="preserve">8</w:t>
            </w:r>
          </w:p>
        </w:tc>
        <w:tc>
          <w:tcPr>
            <w:tcW w:type="dxa" w:w="7360"/>
            <w:shd w:fill="1B6CA8" w:val="clear"/>
            <w:tcMar>
              <w:top w:type="dxa" w:w="200"/>
              <w:left w:type="dxa" w:w="300"/>
              <w:bottom w:type="dxa" w:w="200"/>
              <w:right w:type="dxa" w:w="300"/>
            </w:tcMar>
            <w:vAlign w:val="center"/>
          </w:tcPr>
          <w:p>
            <w:pPr>
              <w:spacing w:after="40"/>
            </w:pPr>
            <w:r>
              <w:rPr>
                <w:rFonts w:ascii="Calibri" w:cs="Calibri" w:eastAsia="Calibri" w:hAnsi="Calibri"/>
                <w:b/>
                <w:bCs/>
                <w:caps/>
                <w:color w:val="FFFFFF"/>
                <w:sz w:val="40"/>
                <w:szCs w:val="40"/>
              </w:rPr>
              <w:t xml:space="preserve">ASEGURAMIENTO DE LA CALIDAD</w:t>
            </w:r>
          </w:p>
          <w:p>
            <w:pPr>
              <w:spacing w:after="40"/>
            </w:pPr>
            <w:r>
              <w:rPr>
                <w:rFonts w:ascii="Calibri" w:cs="Calibri" w:eastAsia="Calibri" w:hAnsi="Calibri"/>
                <w:b w:val="false"/>
                <w:bCs w:val="false"/>
                <w:caps/>
                <w:color w:val="E7E0CF"/>
                <w:sz w:val="28"/>
                <w:szCs w:val="28"/>
              </w:rPr>
              <w:t xml:space="preserve">y compromiso con la excelencia</w:t>
            </w:r>
          </w:p>
        </w:tc>
      </w:tr>
    </w:tbl>
    <w:p>
      <w:pPr>
        <w:spacing w:after="300"/>
      </w:pPr>
    </w:p>
    <w:p>
      <w:pPr>
        <w:jc w:val="center"/>
      </w:pPr>
      <w:r>
        <w:drawing>
          <wp:inline distT="0" distB="0" distL="0" distR="0">
            <wp:extent cx="5905500" cy="36957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cstate="none"/>
                    <a:srcRect/>
                    <a:stretch>
                      <a:fillRect/>
                    </a:stretch>
                  </pic:blipFill>
                  <pic:spPr bwMode="auto">
                    <a:xfrm>
                      <a:off x="0" y="0"/>
                      <a:ext cx="5905500" cy="3695700"/>
                    </a:xfrm>
                    <a:prstGeom prst="rect">
                      <a:avLst/>
                    </a:prstGeom>
                  </pic:spPr>
                </pic:pic>
              </a:graphicData>
            </a:graphic>
          </wp:inline>
        </w:drawing>
      </w:r>
    </w:p>
    <w:p>
      <w:r>
        <w:br w:type="page"/>
      </w:r>
    </w:p>
    <w:p>
      <w:pPr>
        <w:spacing w:after="200" w:before="0" w:line="300"/>
        <w:jc w:val="both"/>
      </w:pPr>
      <w:r>
        <w:rPr>
          <w:rFonts w:ascii="Calibri" w:cs="Calibri" w:eastAsia="Calibri" w:hAnsi="Calibri"/>
          <w:b w:val="false"/>
          <w:bCs w:val="false"/>
          <w:i w:val="false"/>
          <w:iCs w:val="false"/>
          <w:color w:val="333333"/>
          <w:sz w:val="22"/>
          <w:szCs w:val="22"/>
        </w:rPr>
        <w:t xml:space="preserve">Desde sus inicios, la Escuela Naval se encuentra comprometida con la calidad de las tareas que realiza y ha demostrado su capacidad de autorregulación ante el sistema nacional de aseguramiento de la calidad, obteniendo en 2025 la acreditación institucional en nivel de excelencia por seis años, en las cinco dimensiones evaluadas.</w:t>
      </w:r>
    </w:p>
    <w:p>
      <w:pPr>
        <w:spacing w:after="200" w:before="0" w:line="300"/>
        <w:jc w:val="both"/>
      </w:pPr>
      <w:r>
        <w:rPr>
          <w:rFonts w:ascii="Calibri" w:cs="Calibri" w:eastAsia="Calibri" w:hAnsi="Calibri"/>
          <w:b w:val="false"/>
          <w:bCs w:val="false"/>
          <w:i w:val="false"/>
          <w:iCs w:val="false"/>
          <w:color w:val="333333"/>
          <w:sz w:val="22"/>
          <w:szCs w:val="22"/>
        </w:rPr>
        <w:t xml:space="preserve">Este lineamiento —que en el plan anterior residía principalmente en los anexos de gestión— se eleva ahora a eje estratégico, en coherencia con la dimensión de Aseguramiento Interno de la Calidad de los criterios CNA. Su horizonte es doble: consolidar el Sistema Interno de Aseguramiento de la Calidad (SIAC) como práctica internalizada por toda la organización, y preparar con la debida anticipación el proceso de acreditación que se iniciará el primer semestre de 2030.</w:t>
      </w:r>
    </w:p>
    <w:p>
      <w:pPr>
        <w:spacing w:after="60" w:before="320"/>
      </w:pPr>
      <w:r>
        <w:rPr>
          <w:rFonts w:ascii="Calibri" w:cs="Calibri" w:eastAsia="Calibri" w:hAnsi="Calibri"/>
          <w:b/>
          <w:bCs/>
          <w:color w:val="1B6CA8"/>
          <w:sz w:val="32"/>
          <w:szCs w:val="32"/>
        </w:rPr>
        <w:t xml:space="preserve">OBJETIVO 8.1: </w:t>
      </w:r>
      <w:r>
        <w:rPr>
          <w:rFonts w:ascii="Calibri" w:cs="Calibri" w:eastAsia="Calibri" w:hAnsi="Calibri"/>
          <w:color w:val="1B6CA8"/>
          <w:sz w:val="32"/>
          <w:szCs w:val="32"/>
        </w:rPr>
        <w:t xml:space="preserve">Consolidar el Sistema Interno de Aseguramiento de la Calidad y la cultura de calidad</w:t>
      </w:r>
    </w:p>
    <w:p>
      <w:pPr>
        <w:pBdr>
          <w:bottom w:val="single" w:color="1B6CA8" w:sz="8" w:space="4"/>
        </w:pBdr>
        <w:spacing w:after="200"/>
      </w:pPr>
      <w:r>
        <w:rPr>
          <w:rFonts w:ascii="Calibri" w:cs="Calibri" w:eastAsia="Calibri" w:hAnsi="Calibri"/>
          <w:b/>
          <w:bCs/>
          <w:caps/>
          <w:color w:val="1B6CA8"/>
          <w:sz w:val="24"/>
          <w:szCs w:val="24"/>
        </w:rPr>
        <w:t xml:space="preserve">PLANES DE ACCIÓN</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700"/>
        <w:gridCol w:w="8660"/>
      </w:tblGrid>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1B6CA8"/>
                <w:sz w:val="30"/>
                <w:szCs w:val="30"/>
              </w:rPr>
              <w:t xml:space="preserve">⬤</w:t>
            </w:r>
          </w:p>
        </w:tc>
        <w:tc>
          <w:tcPr>
            <w:tcW w:type="dxa" w:w="8660"/>
            <w:tcBorders>
              <w:top w:val="none" w:color="FFFFFF" w:sz="0"/>
              <w:left w:val="single" w:color="1B6CA8"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actualizará la política interna de aseguramiento de la calidad a la luz de los criterios y estándares CNA vigentes, con un plan de implementación y seguimiento.</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1B6CA8"/>
                <w:sz w:val="30"/>
                <w:szCs w:val="30"/>
              </w:rPr>
              <w:t xml:space="preserve">⬤</w:t>
            </w:r>
          </w:p>
        </w:tc>
        <w:tc>
          <w:tcPr>
            <w:tcW w:type="dxa" w:w="8660"/>
            <w:tcBorders>
              <w:top w:val="none" w:color="FFFFFF" w:sz="0"/>
              <w:left w:val="single" w:color="1B6CA8"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operarán sistemáticamente las matrices de calidad del SIAC, integrando indicadores formativos, académicos y de procesos críticos que permitan detectar brechas y activar planes de mejora.</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1B6CA8"/>
                <w:sz w:val="30"/>
                <w:szCs w:val="30"/>
              </w:rPr>
              <w:t xml:space="preserve">⬤</w:t>
            </w:r>
          </w:p>
        </w:tc>
        <w:tc>
          <w:tcPr>
            <w:tcW w:type="dxa" w:w="8660"/>
            <w:tcBorders>
              <w:top w:val="none" w:color="FFFFFF" w:sz="0"/>
              <w:left w:val="single" w:color="1B6CA8"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ejecutará el ciclo anual de mejora continua: planificación departamental, medición periódica, informe de autoevaluación de gestión en marzo de cada año y planes de mejora aprobados por el comité estratégico.</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1B6CA8"/>
                <w:sz w:val="30"/>
                <w:szCs w:val="30"/>
              </w:rPr>
              <w:t xml:space="preserve">⬤</w:t>
            </w:r>
          </w:p>
        </w:tc>
        <w:tc>
          <w:tcPr>
            <w:tcW w:type="dxa" w:w="8660"/>
            <w:tcBorders>
              <w:top w:val="none" w:color="FFFFFF" w:sz="0"/>
              <w:left w:val="single" w:color="1B6CA8"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aplicará el sistema de encuestas institucionales a cadetes, dotación, egresados, docentes e instructores, empleadores y otros grupos, con calendarización, responsables y metodologías de análisis formalizadas.</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1B6CA8"/>
                <w:sz w:val="30"/>
                <w:szCs w:val="30"/>
              </w:rPr>
              <w:t xml:space="preserve">⬤</w:t>
            </w:r>
          </w:p>
        </w:tc>
        <w:tc>
          <w:tcPr>
            <w:tcW w:type="dxa" w:w="8660"/>
            <w:tcBorders>
              <w:top w:val="none" w:color="FFFFFF" w:sz="0"/>
              <w:left w:val="single" w:color="1B6CA8"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diseñarán actividades de socialización y capacitación destinadas a profundizar en toda la organización el conocimiento de la política de calidad, del SIAC y de los estándares que debe alcanzar la Escuela, con un programa dirigido especialmente a quienes asumen labores directivas.</w:t>
            </w:r>
          </w:p>
        </w:tc>
      </w:tr>
    </w:tbl>
    <w:p>
      <w:pPr>
        <w:spacing w:after="60" w:before="320"/>
      </w:pPr>
      <w:r>
        <w:rPr>
          <w:rFonts w:ascii="Calibri" w:cs="Calibri" w:eastAsia="Calibri" w:hAnsi="Calibri"/>
          <w:b/>
          <w:bCs/>
          <w:color w:val="1B6CA8"/>
          <w:sz w:val="32"/>
          <w:szCs w:val="32"/>
        </w:rPr>
        <w:t xml:space="preserve">OBJETIVO 8.2: </w:t>
      </w:r>
      <w:r>
        <w:rPr>
          <w:rFonts w:ascii="Calibri" w:cs="Calibri" w:eastAsia="Calibri" w:hAnsi="Calibri"/>
          <w:color w:val="1B6CA8"/>
          <w:sz w:val="32"/>
          <w:szCs w:val="32"/>
        </w:rPr>
        <w:t xml:space="preserve">Preparar el proceso de acreditación institucional 2030 y cerrar las brechas identificadas</w:t>
      </w:r>
    </w:p>
    <w:p>
      <w:pPr>
        <w:pBdr>
          <w:bottom w:val="single" w:color="1B6CA8" w:sz="8" w:space="4"/>
        </w:pBdr>
        <w:spacing w:after="200"/>
      </w:pPr>
      <w:r>
        <w:rPr>
          <w:rFonts w:ascii="Calibri" w:cs="Calibri" w:eastAsia="Calibri" w:hAnsi="Calibri"/>
          <w:b/>
          <w:bCs/>
          <w:caps/>
          <w:color w:val="1B6CA8"/>
          <w:sz w:val="24"/>
          <w:szCs w:val="24"/>
        </w:rPr>
        <w:t xml:space="preserve">PLANES DE ACCIÓN</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700"/>
        <w:gridCol w:w="8660"/>
      </w:tblGrid>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1B6CA8"/>
                <w:sz w:val="30"/>
                <w:szCs w:val="30"/>
              </w:rPr>
              <w:t xml:space="preserve">⬤</w:t>
            </w:r>
          </w:p>
        </w:tc>
        <w:tc>
          <w:tcPr>
            <w:tcW w:type="dxa" w:w="8660"/>
            <w:tcBorders>
              <w:top w:val="none" w:color="FFFFFF" w:sz="0"/>
              <w:left w:val="single" w:color="1B6CA8"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dará cumplimiento y seguimiento semestral a las observaciones y debilidades señaladas en la Resolución Exenta N° 790/2025 de la CNA y en el informe de pares evaluadores, con responsables y plazos definidos.</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1B6CA8"/>
                <w:sz w:val="30"/>
                <w:szCs w:val="30"/>
              </w:rPr>
              <w:t xml:space="preserve">⬤</w:t>
            </w:r>
          </w:p>
        </w:tc>
        <w:tc>
          <w:tcPr>
            <w:tcW w:type="dxa" w:w="8660"/>
            <w:tcBorders>
              <w:top w:val="none" w:color="FFFFFF" w:sz="0"/>
              <w:left w:val="single" w:color="1B6CA8"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confeccionarán anualmente los anuarios y antecedentes de la Ficha Institucional de Datos requerida en los procesos de acreditación.</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1B6CA8"/>
                <w:sz w:val="30"/>
                <w:szCs w:val="30"/>
              </w:rPr>
              <w:t xml:space="preserve">⬤</w:t>
            </w:r>
          </w:p>
        </w:tc>
        <w:tc>
          <w:tcPr>
            <w:tcW w:type="dxa" w:w="8660"/>
            <w:tcBorders>
              <w:top w:val="none" w:color="FFFFFF" w:sz="0"/>
              <w:left w:val="single" w:color="1B6CA8"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realizará una autoevaluación institucional intermedia el año 2028, que permita medir el estado de avance respecto de los criterios y estándares CNA y ajustar oportunamente el presente Plan.</w:t>
            </w:r>
          </w:p>
        </w:tc>
      </w:tr>
      <w:tr>
        <w:tc>
          <w:tcPr>
            <w:tcW w:type="dxa" w:w="700"/>
            <w:tcBorders>
              <w:top w:val="none" w:color="FFFFFF" w:sz="0"/>
              <w:left w:val="none" w:color="FFFFFF" w:sz="0"/>
              <w:bottom w:val="none" w:color="FFFFFF" w:sz="0"/>
              <w:right w:val="none" w:color="FFFFFF" w:sz="0"/>
            </w:tcBorders>
            <w:tcMar>
              <w:top w:type="dxa" w:w="80"/>
              <w:left w:type="dxa" w:w="60"/>
              <w:bottom w:type="dxa" w:w="80"/>
              <w:right w:type="dxa" w:w="60"/>
            </w:tcMar>
            <w:vAlign w:val="center"/>
          </w:tcPr>
          <w:p>
            <w:pPr>
              <w:jc w:val="center"/>
            </w:pPr>
            <w:r>
              <w:rPr>
                <w:color w:val="1B6CA8"/>
                <w:sz w:val="30"/>
                <w:szCs w:val="30"/>
              </w:rPr>
              <w:t xml:space="preserve">⬤</w:t>
            </w:r>
          </w:p>
        </w:tc>
        <w:tc>
          <w:tcPr>
            <w:tcW w:type="dxa" w:w="8660"/>
            <w:tcBorders>
              <w:top w:val="none" w:color="FFFFFF" w:sz="0"/>
              <w:left w:val="single" w:color="1B6CA8" w:sz="18"/>
              <w:bottom w:val="none" w:color="FFFFFF" w:sz="0"/>
              <w:right w:val="none" w:color="FFFFFF" w:sz="0"/>
            </w:tcBorders>
            <w:tcMar>
              <w:top w:type="dxa" w:w="80"/>
              <w:left w:type="dxa" w:w="200"/>
              <w:bottom w:type="dxa" w:w="80"/>
              <w:right w:type="dxa" w:w="100"/>
            </w:tcMar>
            <w:vAlign w:val="center"/>
          </w:tcPr>
          <w:p>
            <w:pPr>
              <w:spacing w:line="280"/>
              <w:jc w:val="both"/>
            </w:pPr>
            <w:r>
              <w:rPr>
                <w:rFonts w:ascii="Calibri" w:cs="Calibri" w:eastAsia="Calibri" w:hAnsi="Calibri"/>
                <w:color w:val="333333"/>
                <w:sz w:val="21"/>
                <w:szCs w:val="21"/>
              </w:rPr>
              <w:t xml:space="preserve">Se planificará el proceso de autoevaluación 2029–2030 con la participación de toda la organización, asegurando evidencias trazables en las cinco dimensiones de acreditación.</w:t>
            </w:r>
          </w:p>
        </w:tc>
      </w:tr>
    </w:tbl>
    <w:p>
      <w:r>
        <w:br w:type="page"/>
      </w:r>
    </w:p>
    <w:p>
      <w:pPr>
        <w:pStyle w:val="Heading1"/>
        <w:spacing w:after="0"/>
      </w:pPr>
      <w:r>
        <w:rPr>
          <w:sz w:val="2"/>
          <w:szCs w:val="2"/>
        </w:rPr>
        <w:t xml:space="preserve"> </w:t>
      </w:r>
    </w:p>
    <w:tbl>
      <w:tblPr>
        <w:tblW w:type="pct" w:w="100%"/>
        <w:tblBorders>
          <w:top w:val="none" w:color="FFFFFF" w:sz="0"/>
          <w:left w:val="none" w:color="FFFFFF" w:sz="0"/>
          <w:bottom w:val="none" w:color="FFFFFF" w:sz="0"/>
          <w:right w:val="none" w:color="FFFFFF" w:sz="0"/>
          <w:insideH w:val="none" w:color="FFFFFF" w:sz="0"/>
          <w:insideV w:val="none" w:color="FFFFFF" w:sz="0"/>
        </w:tblBorders>
      </w:tblPr>
      <w:tblGrid>
        <w:gridCol w:w="9360"/>
      </w:tblGrid>
      <w:tr>
        <w:tc>
          <w:tcPr>
            <w:tcW w:type="dxa" w:w="9360"/>
            <w:shd w:fill="1F3864" w:val="clear"/>
            <w:tcMar>
              <w:top w:type="dxa" w:w="100"/>
              <w:left w:type="dxa" w:w="100"/>
              <w:bottom w:type="dxa" w:w="100"/>
              <w:right w:type="dxa" w:w="100"/>
            </w:tcMar>
          </w:tcPr>
          <w:p>
            <w:pPr>
              <w:spacing w:after="40" w:before="260"/>
              <w:ind w:left="500" w:right="400"/>
              <w:jc w:val="left"/>
            </w:pPr>
            <w:r>
              <w:rPr>
                <w:rFonts w:ascii="Calibri" w:cs="Calibri" w:eastAsia="Calibri" w:hAnsi="Calibri"/>
                <w:b/>
                <w:bCs/>
                <w:caps/>
                <w:color w:val="FFFFFF"/>
                <w:sz w:val="38"/>
                <w:szCs w:val="38"/>
              </w:rPr>
              <w:t xml:space="preserve">SEGUIMIENTO, MEDICIÓN Y MEJORA CONTINUA</w:t>
            </w:r>
          </w:p>
          <w:p>
            <w:pPr>
              <w:spacing w:after="260" w:before="40"/>
              <w:ind w:left="500" w:right="400"/>
              <w:jc w:val="left"/>
            </w:pPr>
            <w:r>
              <w:rPr>
                <w:rFonts w:ascii="Calibri" w:cs="Calibri" w:eastAsia="Calibri" w:hAnsi="Calibri"/>
                <w:b w:val="false"/>
                <w:bCs w:val="false"/>
                <w:caps w:val="false"/>
                <w:color w:val="FFFFFF"/>
                <w:sz w:val="26"/>
                <w:szCs w:val="26"/>
              </w:rPr>
              <w:t xml:space="preserve">Sistema de Indicadores Institucionales KPI – Cuadro de Mando Integral</w:t>
            </w:r>
          </w:p>
        </w:tc>
      </w:tr>
    </w:tbl>
    <w:p>
      <w:pPr>
        <w:spacing w:after="200"/>
      </w:pPr>
    </w:p>
    <w:p>
      <w:pPr>
        <w:spacing w:after="200" w:before="0" w:line="300"/>
        <w:jc w:val="both"/>
      </w:pPr>
      <w:r>
        <w:rPr>
          <w:rFonts w:ascii="Calibri" w:cs="Calibri" w:eastAsia="Calibri" w:hAnsi="Calibri"/>
          <w:b w:val="false"/>
          <w:bCs w:val="false"/>
          <w:i w:val="false"/>
          <w:iCs w:val="false"/>
          <w:color w:val="333333"/>
          <w:sz w:val="22"/>
          <w:szCs w:val="22"/>
        </w:rPr>
        <w:t xml:space="preserve">El Sistema de Indicadores Institucionales de la Escuela Naval se estructura sobre la integración de Indicadores Clave de Desempeño (KPI) y un Cuadro de Mando Integral (CMI), constituyendo el principal mecanismo para el seguimiento, control y evaluación del cumplimiento de este Plan. El sistema se organiza en tres áreas complementarias:</w:t>
      </w:r>
    </w:p>
    <w:tbl>
      <w:tblPr>
        <w:tblW w:type="pct" w:w="100%"/>
        <w:tblBorders>
          <w:top w:val="none" w:color="FFFFFF" w:sz="0"/>
          <w:left w:val="none" w:color="FFFFFF" w:sz="0"/>
          <w:bottom w:val="none" w:color="FFFFFF" w:sz="0"/>
          <w:right w:val="none" w:color="FFFFFF" w:sz="0"/>
          <w:insideH w:val="none" w:color="FFFFFF" w:sz="0"/>
          <w:insideV w:val="single" w:color="FFFFFF" w:sz="24"/>
        </w:tblBorders>
      </w:tblPr>
      <w:tblGrid>
        <w:gridCol w:w="3120"/>
        <w:gridCol w:w="3120"/>
        <w:gridCol w:w="3120"/>
      </w:tblGrid>
      <w:tr>
        <w:tc>
          <w:tcPr>
            <w:tcW w:type="dxa" w:w="3120"/>
            <w:shd w:fill="1F3864" w:val="clear"/>
            <w:tcMar>
              <w:top w:type="dxa" w:w="160"/>
              <w:left w:type="dxa" w:w="180"/>
              <w:bottom w:type="dxa" w:w="160"/>
              <w:right w:type="dxa" w:w="180"/>
            </w:tcMar>
          </w:tcPr>
          <w:p>
            <w:pPr>
              <w:spacing w:after="80"/>
            </w:pPr>
            <w:r>
              <w:rPr>
                <w:rFonts w:ascii="Calibri" w:cs="Calibri" w:eastAsia="Calibri" w:hAnsi="Calibri"/>
                <w:b/>
                <w:bCs/>
                <w:caps/>
                <w:color w:val="FFFFFF"/>
                <w:sz w:val="23"/>
                <w:szCs w:val="23"/>
              </w:rPr>
              <w:t xml:space="preserve">Área estratégica</w:t>
            </w:r>
          </w:p>
          <w:p>
            <w:pPr>
              <w:spacing w:line="260"/>
            </w:pPr>
            <w:r>
              <w:rPr>
                <w:rFonts w:ascii="Calibri" w:cs="Calibri" w:eastAsia="Calibri" w:hAnsi="Calibri"/>
                <w:color w:val="F0EFEA"/>
                <w:sz w:val="19"/>
                <w:szCs w:val="19"/>
              </w:rPr>
              <w:t xml:space="preserve">Consolida los KPI de los ocho lineamientos, permitiendo al Mando monitorear el avance de los objetivos y adoptar decisiones directivas y prospectivas.</w:t>
            </w:r>
          </w:p>
        </w:tc>
        <w:tc>
          <w:tcPr>
            <w:tcW w:type="dxa" w:w="3120"/>
            <w:shd w:fill="A97E2F" w:val="clear"/>
            <w:tcMar>
              <w:top w:type="dxa" w:w="160"/>
              <w:left w:type="dxa" w:w="180"/>
              <w:bottom w:type="dxa" w:w="160"/>
              <w:right w:type="dxa" w:w="180"/>
            </w:tcMar>
          </w:tcPr>
          <w:p>
            <w:pPr>
              <w:spacing w:after="80"/>
            </w:pPr>
            <w:r>
              <w:rPr>
                <w:rFonts w:ascii="Calibri" w:cs="Calibri" w:eastAsia="Calibri" w:hAnsi="Calibri"/>
                <w:b/>
                <w:bCs/>
                <w:caps/>
                <w:color w:val="FFFFFF"/>
                <w:sz w:val="23"/>
                <w:szCs w:val="23"/>
              </w:rPr>
              <w:t xml:space="preserve">Área de calidad</w:t>
            </w:r>
          </w:p>
          <w:p>
            <w:pPr>
              <w:spacing w:line="260"/>
            </w:pPr>
            <w:r>
              <w:rPr>
                <w:rFonts w:ascii="Calibri" w:cs="Calibri" w:eastAsia="Calibri" w:hAnsi="Calibri"/>
                <w:color w:val="F0EFEA"/>
                <w:sz w:val="19"/>
                <w:szCs w:val="19"/>
              </w:rPr>
              <w:t xml:space="preserve">Se articula mediante las matrices del SIAC e indicadores formativos de los seis modelos, detectando brechas y activando planes de mejora; es fuente central de evidencia para la acreditación.</w:t>
            </w:r>
          </w:p>
        </w:tc>
        <w:tc>
          <w:tcPr>
            <w:tcW w:type="dxa" w:w="3120"/>
            <w:shd w:fill="8C2B2B" w:val="clear"/>
            <w:tcMar>
              <w:top w:type="dxa" w:w="160"/>
              <w:left w:type="dxa" w:w="180"/>
              <w:bottom w:type="dxa" w:w="160"/>
              <w:right w:type="dxa" w:w="180"/>
            </w:tcMar>
          </w:tcPr>
          <w:p>
            <w:pPr>
              <w:spacing w:after="80"/>
            </w:pPr>
            <w:r>
              <w:rPr>
                <w:rFonts w:ascii="Calibri" w:cs="Calibri" w:eastAsia="Calibri" w:hAnsi="Calibri"/>
                <w:b/>
                <w:bCs/>
                <w:caps/>
                <w:color w:val="FFFFFF"/>
                <w:sz w:val="23"/>
                <w:szCs w:val="23"/>
              </w:rPr>
              <w:t xml:space="preserve">Área operativa</w:t>
            </w:r>
          </w:p>
          <w:p>
            <w:pPr>
              <w:spacing w:line="260"/>
            </w:pPr>
            <w:r>
              <w:rPr>
                <w:rFonts w:ascii="Calibri" w:cs="Calibri" w:eastAsia="Calibri" w:hAnsi="Calibri"/>
                <w:color w:val="F0EFEA"/>
                <w:sz w:val="19"/>
                <w:szCs w:val="19"/>
              </w:rPr>
              <w:t xml:space="preserve">Integra los indicadores de la ejecución cotidiana: planes operativos anuales, recursos, dotación, disciplina y funcionamiento administrativo.</w:t>
            </w:r>
          </w:p>
        </w:tc>
      </w:tr>
    </w:tbl>
    <w:p>
      <w:pPr>
        <w:spacing w:after="240"/>
      </w:pPr>
    </w:p>
    <w:p>
      <w:pPr>
        <w:spacing w:after="200" w:before="0" w:line="300"/>
        <w:jc w:val="both"/>
      </w:pPr>
      <w:r>
        <w:rPr>
          <w:rFonts w:ascii="Calibri" w:cs="Calibri" w:eastAsia="Calibri" w:hAnsi="Calibri"/>
          <w:b w:val="false"/>
          <w:bCs w:val="false"/>
          <w:i w:val="false"/>
          <w:iCs w:val="false"/>
          <w:color w:val="333333"/>
          <w:sz w:val="22"/>
          <w:szCs w:val="22"/>
        </w:rPr>
        <w:t xml:space="preserve">Los indicadores formativos evalúan la implementación, consistencia y resultados del proceso formativo en los seis modelos institucionales —académico, profesional, militar-naval, físico-deportivo, valórico y cultural—, asegurando la coherencia entre la Misión, el Proyecto Educativo, el MEDOC y el perfil de egreso del Oficial de Marina.</w:t>
      </w:r>
    </w:p>
    <w:p>
      <w:pPr>
        <w:spacing w:after="200" w:before="0" w:line="300"/>
        <w:jc w:val="both"/>
      </w:pPr>
      <w:r>
        <w:rPr>
          <w:rFonts w:ascii="Calibri" w:cs="Calibri" w:eastAsia="Calibri" w:hAnsi="Calibri"/>
          <w:b w:val="false"/>
          <w:bCs w:val="false"/>
          <w:i w:val="false"/>
          <w:iCs w:val="false"/>
          <w:color w:val="333333"/>
          <w:sz w:val="22"/>
          <w:szCs w:val="22"/>
        </w:rPr>
        <w:t xml:space="preserve">Cada división y departamento realizará su planificación anual alineada con los lineamientos de este Plan; registrará periódicamente sus avances; y entregará, a contar de la primera semana de marzo del año siguiente, un informe de autoevaluación de gestión conforme al formato del Departamento de Control de Gestión y Calidad. Cuando las métricas evidencien un grado de satisfacción tolerable o deficiente, se generarán los planes de acción correctivos y preventivos correspondientes, cuya aprobación y trazabilidad corresponderá al comité estratégico.</w:t>
      </w:r>
    </w:p>
    <w:p>
      <w:pPr>
        <w:spacing w:after="200" w:before="0" w:line="300"/>
        <w:jc w:val="both"/>
      </w:pPr>
      <w:r>
        <w:rPr>
          <w:rFonts w:ascii="Calibri" w:cs="Calibri" w:eastAsia="Calibri" w:hAnsi="Calibri"/>
          <w:b w:val="false"/>
          <w:bCs w:val="false"/>
          <w:i w:val="false"/>
          <w:iCs w:val="false"/>
          <w:color w:val="333333"/>
          <w:sz w:val="22"/>
          <w:szCs w:val="22"/>
        </w:rPr>
        <w:t xml:space="preserve">El detalle de los indicadores, con sus responsables, frecuencia de medición y niveles de satisfacción, se mantiene en el Tablero del Cuadro de Mando Integral (Anexo “B” del presente Plan), administrado por el Departamento de Control de Gestión y Calidad.</w:t>
      </w:r>
    </w:p>
    <w:p>
      <w:r>
        <w:br w:type="page"/>
      </w:r>
    </w:p>
    <w:p>
      <w:pPr>
        <w:pStyle w:val="Heading1"/>
        <w:spacing w:after="0"/>
      </w:pPr>
      <w:r>
        <w:rPr>
          <w:sz w:val="2"/>
          <w:szCs w:val="2"/>
        </w:rPr>
        <w:t xml:space="preserve"> </w:t>
      </w:r>
    </w:p>
    <w:p>
      <w:pPr>
        <w:spacing w:after="2000"/>
      </w:pPr>
    </w:p>
    <w:p>
      <w:pPr>
        <w:spacing w:after="240"/>
        <w:jc w:val="center"/>
      </w:pPr>
      <w:r>
        <w:rPr>
          <w:rFonts w:ascii="Calibri" w:cs="Calibri" w:eastAsia="Calibri" w:hAnsi="Calibri"/>
          <w:b/>
          <w:bCs/>
          <w:color w:val="1F3864"/>
          <w:sz w:val="36"/>
          <w:szCs w:val="36"/>
        </w:rPr>
        <w:t xml:space="preserve">COLOFÓN</w:t>
      </w:r>
    </w:p>
    <w:p>
      <w:pPr>
        <w:spacing w:after="200" w:before="0" w:line="300"/>
        <w:jc w:val="center"/>
      </w:pPr>
      <w:r>
        <w:rPr>
          <w:rFonts w:ascii="Calibri" w:cs="Calibri" w:eastAsia="Calibri" w:hAnsi="Calibri"/>
          <w:b w:val="false"/>
          <w:bCs w:val="false"/>
          <w:i w:val="false"/>
          <w:iCs w:val="false"/>
          <w:color w:val="333333"/>
          <w:sz w:val="21"/>
          <w:szCs w:val="21"/>
        </w:rPr>
        <w:t xml:space="preserve">Este Plan Estratégico Institucional proyecta la planificación de la Escuela Naval “Arturo Prat” para el período 2026–2032, estableciendo lineamientos, objetivos estratégicos y planes de acción alineados con los criterios y estándares de la Comisión Nacional de Acreditación, y constituye la guía que permitirá mantener la continuidad de la gestión directiva y el desarrollo sostenido de la institución.</w:t>
      </w:r>
    </w:p>
    <w:p>
      <w:pPr>
        <w:spacing w:after="200"/>
      </w:pPr>
    </w:p>
    <w:p>
      <w:pPr>
        <w:spacing w:after="40" w:before="0" w:line="300"/>
        <w:jc w:val="center"/>
      </w:pPr>
      <w:r>
        <w:rPr>
          <w:rFonts w:ascii="Calibri" w:cs="Calibri" w:eastAsia="Calibri" w:hAnsi="Calibri"/>
          <w:b/>
          <w:bCs/>
          <w:i w:val="false"/>
          <w:iCs w:val="false"/>
          <w:color w:val="333333"/>
          <w:sz w:val="21"/>
          <w:szCs w:val="21"/>
        </w:rPr>
        <w:t xml:space="preserve">Escuela Naval “Arturo Prat” – Armada de Chile</w:t>
      </w:r>
    </w:p>
    <w:p>
      <w:pPr>
        <w:spacing w:after="40" w:before="0" w:line="300"/>
        <w:jc w:val="center"/>
      </w:pPr>
      <w:r>
        <w:rPr>
          <w:rFonts w:ascii="Calibri" w:cs="Calibri" w:eastAsia="Calibri" w:hAnsi="Calibri"/>
          <w:b w:val="false"/>
          <w:bCs w:val="false"/>
          <w:i w:val="false"/>
          <w:iCs w:val="false"/>
          <w:color w:val="333333"/>
          <w:sz w:val="20"/>
          <w:szCs w:val="20"/>
        </w:rPr>
        <w:t xml:space="preserve">Departamento de Control de Gestión y Calidad</w:t>
      </w:r>
    </w:p>
    <w:p>
      <w:pPr>
        <w:spacing w:after="200" w:before="0" w:line="300"/>
        <w:jc w:val="center"/>
      </w:pPr>
      <w:r>
        <w:rPr>
          <w:rFonts w:ascii="Calibri" w:cs="Calibri" w:eastAsia="Calibri" w:hAnsi="Calibri"/>
          <w:b w:val="false"/>
          <w:bCs w:val="false"/>
          <w:i w:val="false"/>
          <w:iCs w:val="false"/>
          <w:color w:val="333333"/>
          <w:sz w:val="20"/>
          <w:szCs w:val="20"/>
        </w:rPr>
        <w:t xml:space="preserve">Valparaíso, 2026.</w:t>
      </w:r>
    </w:p>
    <w:sectPr>
      <w:footerReference w:type="default" r:id="rId7"/>
      <w:pgSz w:w="12240" w:h="15840" w:orient="portrait"/>
      <w:pgMar w:top="1080" w:right="1180" w:bottom="1080" w:left="11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1F3864" w:sz="6" w:space="4"/>
      </w:pBdr>
      <w:jc w:val="right"/>
    </w:pPr>
    <w:r>
      <w:rPr>
        <w:rFonts w:ascii="Calibri" w:cs="Calibri" w:eastAsia="Calibri" w:hAnsi="Calibri"/>
        <w:color w:val="5A6B80"/>
        <w:sz w:val="16"/>
        <w:szCs w:val="16"/>
      </w:rPr>
      <w:t xml:space="preserve">Plan Estratégico Institucional 2026–2032  ·  Escuela Naval “Arturo Prat”   </w:t>
    </w:r>
    <w:r>
      <w:rPr>
        <w:rFonts w:ascii="Calibri" w:cs="Calibri" w:eastAsia="Calibri" w:hAnsi="Calibri"/>
        <w:b/>
        <w:bCs/>
        <w:color w:val="1F3864"/>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updateFields/>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0" w:before="0"/>
      <w:outlineLvl w:val="0"/>
    </w:pPr>
    <w:rPr>
      <w:color w:val="FFFFFF"/>
      <w:sz w:val="2"/>
      <w:szCs w:val="2"/>
    </w:rPr>
  </w:style>
  <w:style w:type="paragraph" w:styleId="Heading2">
    <w:name w:val="Heading 2"/>
    <w:basedOn w:val="Normal"/>
    <w:next w:val="Normal"/>
    <w:qFormat/>
    <w:pPr>
      <w:spacing w:after="0" w:before="0"/>
      <w:outlineLvl w:val="1"/>
    </w:pPr>
    <w:rPr>
      <w:color w:val="FFFFFF"/>
      <w:sz w:val="2"/>
      <w:szCs w:val="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image" Target="media/12bd6dafea0557914c87f737c22abb7b919c1e04.png"/><Relationship Id="rId9" Type="http://schemas.openxmlformats.org/officeDocument/2006/relationships/image" Target="media/267cb84d157a343b091a8b0dbd0c010fb7621bf5.png"/><Relationship Id="rId10" Type="http://schemas.openxmlformats.org/officeDocument/2006/relationships/image" Target="media/bfca9fd2c7db4ad78bc71c200b4a3f15bc1ea86f.png"/><Relationship Id="rId11" Type="http://schemas.openxmlformats.org/officeDocument/2006/relationships/image" Target="media/a5d8204ac06cde6e0860674e50e651ebe4eac3fd.png"/><Relationship Id="rId12" Type="http://schemas.openxmlformats.org/officeDocument/2006/relationships/image" Target="media/b098988fa667e754dff7b4f3be99dd1c42b5ae95.png"/><Relationship Id="rId13" Type="http://schemas.openxmlformats.org/officeDocument/2006/relationships/image" Target="media/2a3a2f4fbc30b1386ac4cbf138e1e7cd2b43cc04.png"/><Relationship Id="rId14" Type="http://schemas.openxmlformats.org/officeDocument/2006/relationships/image" Target="media/dbae2fa00fea6142f6ca15bb2e6814af56046a4b.png"/><Relationship Id="rId15" Type="http://schemas.openxmlformats.org/officeDocument/2006/relationships/image" Target="media/189d8ae2b64ae1bf2959f64313df573156a566f7.png"/><Relationship Id="rId16" Type="http://schemas.openxmlformats.org/officeDocument/2006/relationships/image" Target="media/abcbeefeeb83ea10a2b75a2b51f69f59c41a843b.png"/><Relationship Id="rId17" Type="http://schemas.openxmlformats.org/officeDocument/2006/relationships/image" Target="media/4b73c262482848b598125436fd9a60cd2b944321.png"/><Relationship Id="rId18" Type="http://schemas.openxmlformats.org/officeDocument/2006/relationships/image" Target="media/b3506e2d468f58cfb44cc61c5895d24ca3605228.png"/><Relationship Id="rId19" Type="http://schemas.openxmlformats.org/officeDocument/2006/relationships/image" Target="media/b5d3f1fa48beaa34c735d4a05cdaf567ce3a71ab.png"/><Relationship Id="rId2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2026-07-03T16:22:36.905Z</dcterms:created>
  <dcterms:modified xsi:type="dcterms:W3CDTF">2026-07-03T16:22:36.933Z</dcterms:modified>
</cp:coreProperties>
</file>

<file path=docProps/custom.xml><?xml version="1.0" encoding="utf-8"?>
<Properties xmlns="http://schemas.openxmlformats.org/officeDocument/2006/custom-properties" xmlns:vt="http://schemas.openxmlformats.org/officeDocument/2006/docPropsVTypes"/>
</file>