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FE613" w14:textId="77777777" w:rsidR="009B0B8F" w:rsidRDefault="009B0B8F">
      <w:pPr>
        <w:widowControl w:val="0"/>
        <w:jc w:val="center"/>
        <w:rPr>
          <w:b/>
          <w:sz w:val="48"/>
          <w:szCs w:val="48"/>
        </w:rPr>
      </w:pPr>
    </w:p>
    <w:p w14:paraId="23EA6502" w14:textId="77777777" w:rsidR="009B0B8F" w:rsidRDefault="009B0B8F">
      <w:pPr>
        <w:widowControl w:val="0"/>
        <w:jc w:val="center"/>
        <w:rPr>
          <w:b/>
          <w:sz w:val="48"/>
          <w:szCs w:val="48"/>
        </w:rPr>
      </w:pPr>
    </w:p>
    <w:p w14:paraId="7231CC2C" w14:textId="77777777" w:rsidR="009B0B8F" w:rsidRDefault="009B0B8F">
      <w:pPr>
        <w:widowControl w:val="0"/>
        <w:jc w:val="center"/>
        <w:rPr>
          <w:b/>
          <w:sz w:val="48"/>
          <w:szCs w:val="48"/>
        </w:rPr>
      </w:pPr>
    </w:p>
    <w:p w14:paraId="7B72BB00" w14:textId="77777777" w:rsidR="009B0B8F" w:rsidRDefault="009B0B8F">
      <w:pPr>
        <w:widowControl w:val="0"/>
        <w:jc w:val="center"/>
        <w:rPr>
          <w:b/>
          <w:sz w:val="48"/>
          <w:szCs w:val="48"/>
        </w:rPr>
      </w:pPr>
    </w:p>
    <w:p w14:paraId="7B7CFB56" w14:textId="77777777" w:rsidR="009B0B8F" w:rsidRDefault="009B0B8F">
      <w:pPr>
        <w:pStyle w:val="Encabezado"/>
        <w:tabs>
          <w:tab w:val="clear" w:pos="4252"/>
          <w:tab w:val="clear" w:pos="8504"/>
        </w:tabs>
        <w:jc w:val="center"/>
        <w:rPr>
          <w:b/>
          <w:sz w:val="48"/>
          <w:szCs w:val="48"/>
        </w:rPr>
      </w:pPr>
    </w:p>
    <w:p w14:paraId="04C31AB1" w14:textId="77777777" w:rsidR="009B0B8F" w:rsidRDefault="00000000">
      <w:pPr>
        <w:spacing w:before="0" w:after="0"/>
        <w:jc w:val="center"/>
        <w:rPr>
          <w:b/>
          <w:sz w:val="48"/>
          <w:szCs w:val="48"/>
        </w:rPr>
      </w:pPr>
      <w:r>
        <w:rPr>
          <w:b/>
          <w:sz w:val="52"/>
        </w:rPr>
        <w:t>Informe de Comisión: Incorporación de la Mujer al Escalafón IM</w:t>
      </w:r>
    </w:p>
    <w:p w14:paraId="4BE3A2EF" w14:textId="77777777" w:rsidR="009B0B8F" w:rsidRDefault="00000000">
      <w:pPr>
        <w:spacing w:before="0" w:after="0"/>
        <w:jc w:val="center"/>
        <w:rPr>
          <w:b/>
          <w:sz w:val="48"/>
          <w:szCs w:val="48"/>
        </w:rPr>
      </w:pPr>
      <w:r>
        <w:br w:type="page"/>
      </w:r>
    </w:p>
    <w:p w14:paraId="76EE9239" w14:textId="77777777" w:rsidR="009B0B8F" w:rsidRDefault="00000000">
      <w:pPr>
        <w:spacing w:before="0" w:after="0"/>
        <w:jc w:val="center"/>
      </w:pPr>
      <w:r>
        <w:rPr>
          <w:b/>
          <w:u w:val="single"/>
          <w:lang w:val="es-ES"/>
        </w:rPr>
        <w:lastRenderedPageBreak/>
        <w:t>Hoja</w:t>
      </w:r>
      <w:r>
        <w:rPr>
          <w:b/>
          <w:bCs w:val="0"/>
          <w:u w:val="single"/>
        </w:rPr>
        <w:t xml:space="preserve"> de Control de Cambios</w:t>
      </w:r>
    </w:p>
    <w:p w14:paraId="396C8806" w14:textId="77777777" w:rsidR="009B0B8F" w:rsidRDefault="009B0B8F">
      <w:pPr>
        <w:pStyle w:val="Encabezado"/>
        <w:jc w:val="center"/>
        <w:rPr>
          <w:b/>
          <w:bCs w:val="0"/>
          <w:u w:val="single"/>
        </w:rPr>
      </w:pPr>
    </w:p>
    <w:tbl>
      <w:tblPr>
        <w:tblW w:w="10320" w:type="dxa"/>
        <w:tblInd w:w="70" w:type="dxa"/>
        <w:tblLayout w:type="fixed"/>
        <w:tblCellMar>
          <w:left w:w="70" w:type="dxa"/>
          <w:right w:w="70" w:type="dxa"/>
        </w:tblCellMar>
        <w:tblLook w:val="04A0" w:firstRow="1" w:lastRow="0" w:firstColumn="1" w:lastColumn="0" w:noHBand="0" w:noVBand="1"/>
      </w:tblPr>
      <w:tblGrid>
        <w:gridCol w:w="637"/>
        <w:gridCol w:w="1134"/>
        <w:gridCol w:w="3339"/>
        <w:gridCol w:w="5210"/>
      </w:tblGrid>
      <w:tr w:rsidR="009B0B8F" w14:paraId="0586D02D" w14:textId="77777777">
        <w:trPr>
          <w:cantSplit/>
          <w:tblHeader/>
        </w:trPr>
        <w:tc>
          <w:tcPr>
            <w:tcW w:w="637" w:type="dxa"/>
            <w:tcBorders>
              <w:top w:val="single" w:sz="4" w:space="0" w:color="000000"/>
              <w:left w:val="single" w:sz="4" w:space="0" w:color="000000"/>
              <w:bottom w:val="single" w:sz="4" w:space="0" w:color="000000"/>
              <w:right w:val="single" w:sz="4" w:space="0" w:color="000000"/>
            </w:tcBorders>
            <w:shd w:val="clear" w:color="auto" w:fill="E6E6E6"/>
          </w:tcPr>
          <w:p w14:paraId="13AB16A3" w14:textId="77777777" w:rsidR="009B0B8F" w:rsidRDefault="00000000">
            <w:pPr>
              <w:spacing w:before="60" w:after="60"/>
              <w:jc w:val="center"/>
              <w:rPr>
                <w:b/>
                <w:bCs w:val="0"/>
                <w:lang w:val="es-ES"/>
              </w:rPr>
            </w:pPr>
            <w:proofErr w:type="spellStart"/>
            <w:r>
              <w:rPr>
                <w:b/>
                <w:bCs w:val="0"/>
                <w:lang w:val="es-ES"/>
              </w:rPr>
              <w:t>Nº</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auto" w:fill="E6E6E6"/>
          </w:tcPr>
          <w:p w14:paraId="2590377E" w14:textId="77777777" w:rsidR="009B0B8F" w:rsidRDefault="00000000">
            <w:pPr>
              <w:spacing w:before="60" w:after="60"/>
              <w:jc w:val="center"/>
              <w:rPr>
                <w:b/>
                <w:bCs w:val="0"/>
                <w:lang w:val="es-ES"/>
              </w:rPr>
            </w:pPr>
            <w:r>
              <w:rPr>
                <w:b/>
                <w:bCs w:val="0"/>
                <w:lang w:val="es-ES"/>
              </w:rPr>
              <w:t>Versión</w:t>
            </w:r>
          </w:p>
        </w:tc>
        <w:tc>
          <w:tcPr>
            <w:tcW w:w="3339" w:type="dxa"/>
            <w:tcBorders>
              <w:top w:val="single" w:sz="4" w:space="0" w:color="000000"/>
              <w:left w:val="single" w:sz="4" w:space="0" w:color="000000"/>
              <w:bottom w:val="single" w:sz="4" w:space="0" w:color="000000"/>
              <w:right w:val="single" w:sz="4" w:space="0" w:color="000000"/>
            </w:tcBorders>
            <w:shd w:val="clear" w:color="auto" w:fill="E6E6E6"/>
          </w:tcPr>
          <w:p w14:paraId="28ADB32B" w14:textId="77777777" w:rsidR="009B0B8F" w:rsidRDefault="00000000">
            <w:pPr>
              <w:spacing w:before="60" w:after="60"/>
              <w:jc w:val="center"/>
              <w:rPr>
                <w:b/>
                <w:bCs w:val="0"/>
                <w:lang w:val="es-ES"/>
              </w:rPr>
            </w:pPr>
            <w:r>
              <w:rPr>
                <w:b/>
                <w:bCs w:val="0"/>
                <w:lang w:val="es-ES"/>
              </w:rPr>
              <w:t>Ubicación en el documento</w:t>
            </w:r>
          </w:p>
        </w:tc>
        <w:tc>
          <w:tcPr>
            <w:tcW w:w="5210" w:type="dxa"/>
            <w:tcBorders>
              <w:top w:val="single" w:sz="4" w:space="0" w:color="000000"/>
              <w:left w:val="single" w:sz="4" w:space="0" w:color="000000"/>
              <w:bottom w:val="single" w:sz="4" w:space="0" w:color="000000"/>
              <w:right w:val="single" w:sz="4" w:space="0" w:color="000000"/>
            </w:tcBorders>
            <w:shd w:val="clear" w:color="auto" w:fill="E6E6E6"/>
          </w:tcPr>
          <w:p w14:paraId="2ABF3CA8" w14:textId="77777777" w:rsidR="009B0B8F" w:rsidRDefault="00000000">
            <w:pPr>
              <w:spacing w:before="60" w:after="60"/>
              <w:jc w:val="center"/>
              <w:rPr>
                <w:b/>
                <w:bCs w:val="0"/>
                <w:lang w:val="es-ES"/>
              </w:rPr>
            </w:pPr>
            <w:r>
              <w:rPr>
                <w:b/>
                <w:bCs w:val="0"/>
                <w:lang w:val="es-ES"/>
              </w:rPr>
              <w:t>Cambios</w:t>
            </w:r>
          </w:p>
        </w:tc>
      </w:tr>
      <w:tr w:rsidR="009B0B8F" w14:paraId="423988D2" w14:textId="77777777">
        <w:trPr>
          <w:cantSplit/>
        </w:trPr>
        <w:tc>
          <w:tcPr>
            <w:tcW w:w="637" w:type="dxa"/>
            <w:tcBorders>
              <w:top w:val="single" w:sz="4" w:space="0" w:color="000000"/>
              <w:left w:val="single" w:sz="4" w:space="0" w:color="000000"/>
              <w:bottom w:val="single" w:sz="4" w:space="0" w:color="000000"/>
              <w:right w:val="single" w:sz="4" w:space="0" w:color="000000"/>
            </w:tcBorders>
          </w:tcPr>
          <w:p w14:paraId="1FED0B57" w14:textId="77777777" w:rsidR="009B0B8F" w:rsidRDefault="00000000">
            <w:r>
              <w:t>1.</w:t>
            </w:r>
          </w:p>
        </w:tc>
        <w:tc>
          <w:tcPr>
            <w:tcW w:w="1134" w:type="dxa"/>
            <w:tcBorders>
              <w:top w:val="single" w:sz="4" w:space="0" w:color="000000"/>
              <w:left w:val="single" w:sz="4" w:space="0" w:color="000000"/>
              <w:bottom w:val="single" w:sz="4" w:space="0" w:color="000000"/>
              <w:right w:val="single" w:sz="4" w:space="0" w:color="000000"/>
            </w:tcBorders>
          </w:tcPr>
          <w:p w14:paraId="63D8DCE6" w14:textId="61C0938B" w:rsidR="009B0B8F" w:rsidRDefault="009B0B8F"/>
        </w:tc>
        <w:tc>
          <w:tcPr>
            <w:tcW w:w="3339" w:type="dxa"/>
            <w:tcBorders>
              <w:top w:val="single" w:sz="4" w:space="0" w:color="000000"/>
              <w:left w:val="single" w:sz="4" w:space="0" w:color="000000"/>
              <w:bottom w:val="single" w:sz="4" w:space="0" w:color="000000"/>
              <w:right w:val="single" w:sz="4" w:space="0" w:color="000000"/>
            </w:tcBorders>
          </w:tcPr>
          <w:p w14:paraId="119F4AA9" w14:textId="25592D29" w:rsidR="009B0B8F" w:rsidRDefault="009B0B8F"/>
        </w:tc>
        <w:tc>
          <w:tcPr>
            <w:tcW w:w="5210" w:type="dxa"/>
            <w:tcBorders>
              <w:top w:val="single" w:sz="4" w:space="0" w:color="000000"/>
              <w:left w:val="single" w:sz="4" w:space="0" w:color="000000"/>
              <w:bottom w:val="single" w:sz="4" w:space="0" w:color="000000"/>
              <w:right w:val="single" w:sz="4" w:space="0" w:color="000000"/>
            </w:tcBorders>
          </w:tcPr>
          <w:p w14:paraId="26FFE679" w14:textId="2AE4C4A8" w:rsidR="009B0B8F" w:rsidRDefault="009B0B8F"/>
        </w:tc>
      </w:tr>
      <w:tr w:rsidR="009B0B8F" w14:paraId="3548FC95" w14:textId="77777777">
        <w:trPr>
          <w:cantSplit/>
        </w:trPr>
        <w:tc>
          <w:tcPr>
            <w:tcW w:w="637" w:type="dxa"/>
            <w:tcBorders>
              <w:top w:val="single" w:sz="4" w:space="0" w:color="000000"/>
              <w:left w:val="single" w:sz="4" w:space="0" w:color="000000"/>
              <w:bottom w:val="single" w:sz="4" w:space="0" w:color="000000"/>
              <w:right w:val="single" w:sz="4" w:space="0" w:color="000000"/>
            </w:tcBorders>
          </w:tcPr>
          <w:p w14:paraId="3442CA77" w14:textId="77777777" w:rsidR="009B0B8F" w:rsidRDefault="00000000">
            <w:r>
              <w:t>2.</w:t>
            </w:r>
          </w:p>
        </w:tc>
        <w:tc>
          <w:tcPr>
            <w:tcW w:w="1134" w:type="dxa"/>
            <w:tcBorders>
              <w:top w:val="single" w:sz="4" w:space="0" w:color="000000"/>
              <w:left w:val="single" w:sz="4" w:space="0" w:color="000000"/>
              <w:bottom w:val="single" w:sz="4" w:space="0" w:color="000000"/>
              <w:right w:val="single" w:sz="4" w:space="0" w:color="000000"/>
            </w:tcBorders>
          </w:tcPr>
          <w:p w14:paraId="015DF979" w14:textId="0DAB05A7" w:rsidR="009B0B8F" w:rsidRDefault="009B0B8F"/>
        </w:tc>
        <w:tc>
          <w:tcPr>
            <w:tcW w:w="3339" w:type="dxa"/>
            <w:tcBorders>
              <w:top w:val="single" w:sz="4" w:space="0" w:color="000000"/>
              <w:left w:val="single" w:sz="4" w:space="0" w:color="000000"/>
              <w:bottom w:val="single" w:sz="4" w:space="0" w:color="000000"/>
              <w:right w:val="single" w:sz="4" w:space="0" w:color="000000"/>
            </w:tcBorders>
          </w:tcPr>
          <w:p w14:paraId="0D3839F4" w14:textId="69264659" w:rsidR="009B0B8F" w:rsidRDefault="009B0B8F"/>
        </w:tc>
        <w:tc>
          <w:tcPr>
            <w:tcW w:w="5210" w:type="dxa"/>
            <w:tcBorders>
              <w:top w:val="single" w:sz="4" w:space="0" w:color="000000"/>
              <w:left w:val="single" w:sz="4" w:space="0" w:color="000000"/>
              <w:bottom w:val="single" w:sz="4" w:space="0" w:color="000000"/>
              <w:right w:val="single" w:sz="4" w:space="0" w:color="000000"/>
            </w:tcBorders>
          </w:tcPr>
          <w:p w14:paraId="4113F273" w14:textId="09EB81F2" w:rsidR="009B0B8F" w:rsidRDefault="009B0B8F"/>
        </w:tc>
      </w:tr>
      <w:tr w:rsidR="009B0B8F" w14:paraId="382F7854" w14:textId="77777777">
        <w:trPr>
          <w:cantSplit/>
        </w:trPr>
        <w:tc>
          <w:tcPr>
            <w:tcW w:w="637" w:type="dxa"/>
            <w:tcBorders>
              <w:top w:val="single" w:sz="4" w:space="0" w:color="000000"/>
              <w:left w:val="single" w:sz="4" w:space="0" w:color="000000"/>
              <w:bottom w:val="single" w:sz="4" w:space="0" w:color="000000"/>
              <w:right w:val="single" w:sz="4" w:space="0" w:color="000000"/>
            </w:tcBorders>
          </w:tcPr>
          <w:p w14:paraId="4C0EB758" w14:textId="77777777" w:rsidR="009B0B8F" w:rsidRDefault="00000000">
            <w:r>
              <w:t>3.</w:t>
            </w:r>
          </w:p>
        </w:tc>
        <w:tc>
          <w:tcPr>
            <w:tcW w:w="1134" w:type="dxa"/>
            <w:tcBorders>
              <w:top w:val="single" w:sz="4" w:space="0" w:color="000000"/>
              <w:left w:val="single" w:sz="4" w:space="0" w:color="000000"/>
              <w:bottom w:val="single" w:sz="4" w:space="0" w:color="000000"/>
              <w:right w:val="single" w:sz="4" w:space="0" w:color="000000"/>
            </w:tcBorders>
          </w:tcPr>
          <w:p w14:paraId="6B9C954A" w14:textId="33E91D34" w:rsidR="009B0B8F" w:rsidRDefault="009B0B8F"/>
        </w:tc>
        <w:tc>
          <w:tcPr>
            <w:tcW w:w="3339" w:type="dxa"/>
            <w:tcBorders>
              <w:top w:val="single" w:sz="4" w:space="0" w:color="000000"/>
              <w:left w:val="single" w:sz="4" w:space="0" w:color="000000"/>
              <w:bottom w:val="single" w:sz="4" w:space="0" w:color="000000"/>
              <w:right w:val="single" w:sz="4" w:space="0" w:color="000000"/>
            </w:tcBorders>
          </w:tcPr>
          <w:p w14:paraId="71182E6B" w14:textId="7C65B6F8" w:rsidR="009B0B8F" w:rsidRDefault="009B0B8F"/>
        </w:tc>
        <w:tc>
          <w:tcPr>
            <w:tcW w:w="5210" w:type="dxa"/>
            <w:tcBorders>
              <w:top w:val="single" w:sz="4" w:space="0" w:color="000000"/>
              <w:left w:val="single" w:sz="4" w:space="0" w:color="000000"/>
              <w:bottom w:val="single" w:sz="4" w:space="0" w:color="000000"/>
              <w:right w:val="single" w:sz="4" w:space="0" w:color="000000"/>
            </w:tcBorders>
          </w:tcPr>
          <w:p w14:paraId="47B9A659" w14:textId="1F83449A" w:rsidR="009B0B8F" w:rsidRDefault="009B0B8F"/>
        </w:tc>
      </w:tr>
      <w:tr w:rsidR="009B0B8F" w14:paraId="20BBB10A" w14:textId="77777777">
        <w:trPr>
          <w:cantSplit/>
        </w:trPr>
        <w:tc>
          <w:tcPr>
            <w:tcW w:w="637" w:type="dxa"/>
            <w:tcBorders>
              <w:top w:val="single" w:sz="4" w:space="0" w:color="000000"/>
              <w:left w:val="single" w:sz="4" w:space="0" w:color="000000"/>
              <w:bottom w:val="single" w:sz="4" w:space="0" w:color="000000"/>
              <w:right w:val="single" w:sz="4" w:space="0" w:color="000000"/>
            </w:tcBorders>
          </w:tcPr>
          <w:p w14:paraId="1027F9BF" w14:textId="77777777" w:rsidR="009B0B8F" w:rsidRDefault="00000000">
            <w:r>
              <w:t>4.</w:t>
            </w:r>
          </w:p>
        </w:tc>
        <w:tc>
          <w:tcPr>
            <w:tcW w:w="1134" w:type="dxa"/>
            <w:tcBorders>
              <w:top w:val="single" w:sz="4" w:space="0" w:color="000000"/>
              <w:left w:val="single" w:sz="4" w:space="0" w:color="000000"/>
              <w:bottom w:val="single" w:sz="4" w:space="0" w:color="000000"/>
              <w:right w:val="single" w:sz="4" w:space="0" w:color="000000"/>
            </w:tcBorders>
          </w:tcPr>
          <w:p w14:paraId="68A4D5F2" w14:textId="77777777" w:rsidR="009B0B8F" w:rsidRDefault="009B0B8F"/>
        </w:tc>
        <w:tc>
          <w:tcPr>
            <w:tcW w:w="3339" w:type="dxa"/>
            <w:tcBorders>
              <w:top w:val="single" w:sz="4" w:space="0" w:color="000000"/>
              <w:left w:val="single" w:sz="4" w:space="0" w:color="000000"/>
              <w:bottom w:val="single" w:sz="4" w:space="0" w:color="000000"/>
              <w:right w:val="single" w:sz="4" w:space="0" w:color="000000"/>
            </w:tcBorders>
          </w:tcPr>
          <w:p w14:paraId="16B0A2A6" w14:textId="77777777" w:rsidR="009B0B8F" w:rsidRDefault="009B0B8F"/>
        </w:tc>
        <w:tc>
          <w:tcPr>
            <w:tcW w:w="5210" w:type="dxa"/>
            <w:tcBorders>
              <w:top w:val="single" w:sz="4" w:space="0" w:color="000000"/>
              <w:left w:val="single" w:sz="4" w:space="0" w:color="000000"/>
              <w:bottom w:val="single" w:sz="4" w:space="0" w:color="000000"/>
              <w:right w:val="single" w:sz="4" w:space="0" w:color="000000"/>
            </w:tcBorders>
          </w:tcPr>
          <w:p w14:paraId="115C65D7" w14:textId="77777777" w:rsidR="009B0B8F" w:rsidRDefault="009B0B8F"/>
        </w:tc>
      </w:tr>
      <w:tr w:rsidR="009B0B8F" w14:paraId="695CB067" w14:textId="77777777">
        <w:trPr>
          <w:cantSplit/>
        </w:trPr>
        <w:tc>
          <w:tcPr>
            <w:tcW w:w="637" w:type="dxa"/>
            <w:tcBorders>
              <w:top w:val="single" w:sz="4" w:space="0" w:color="000000"/>
              <w:left w:val="single" w:sz="4" w:space="0" w:color="000000"/>
              <w:bottom w:val="single" w:sz="4" w:space="0" w:color="000000"/>
              <w:right w:val="single" w:sz="4" w:space="0" w:color="000000"/>
            </w:tcBorders>
          </w:tcPr>
          <w:p w14:paraId="5B838E7E" w14:textId="77777777" w:rsidR="009B0B8F" w:rsidRDefault="00000000">
            <w:r>
              <w:t>5.</w:t>
            </w:r>
          </w:p>
        </w:tc>
        <w:tc>
          <w:tcPr>
            <w:tcW w:w="1134" w:type="dxa"/>
            <w:tcBorders>
              <w:top w:val="single" w:sz="4" w:space="0" w:color="000000"/>
              <w:left w:val="single" w:sz="4" w:space="0" w:color="000000"/>
              <w:bottom w:val="single" w:sz="4" w:space="0" w:color="000000"/>
              <w:right w:val="single" w:sz="4" w:space="0" w:color="000000"/>
            </w:tcBorders>
          </w:tcPr>
          <w:p w14:paraId="60FE6B03" w14:textId="77777777" w:rsidR="009B0B8F" w:rsidRDefault="009B0B8F"/>
        </w:tc>
        <w:tc>
          <w:tcPr>
            <w:tcW w:w="3339" w:type="dxa"/>
            <w:tcBorders>
              <w:top w:val="single" w:sz="4" w:space="0" w:color="000000"/>
              <w:left w:val="single" w:sz="4" w:space="0" w:color="000000"/>
              <w:bottom w:val="single" w:sz="4" w:space="0" w:color="000000"/>
              <w:right w:val="single" w:sz="4" w:space="0" w:color="000000"/>
            </w:tcBorders>
          </w:tcPr>
          <w:p w14:paraId="1B5C39DE" w14:textId="77777777" w:rsidR="009B0B8F" w:rsidRDefault="009B0B8F"/>
        </w:tc>
        <w:tc>
          <w:tcPr>
            <w:tcW w:w="5210" w:type="dxa"/>
            <w:tcBorders>
              <w:top w:val="single" w:sz="4" w:space="0" w:color="000000"/>
              <w:left w:val="single" w:sz="4" w:space="0" w:color="000000"/>
              <w:bottom w:val="single" w:sz="4" w:space="0" w:color="000000"/>
              <w:right w:val="single" w:sz="4" w:space="0" w:color="000000"/>
            </w:tcBorders>
          </w:tcPr>
          <w:p w14:paraId="3C24C314" w14:textId="77777777" w:rsidR="009B0B8F" w:rsidRDefault="009B0B8F"/>
        </w:tc>
      </w:tr>
      <w:tr w:rsidR="009B0B8F" w14:paraId="2871DDA1" w14:textId="77777777">
        <w:trPr>
          <w:cantSplit/>
        </w:trPr>
        <w:tc>
          <w:tcPr>
            <w:tcW w:w="637" w:type="dxa"/>
            <w:tcBorders>
              <w:top w:val="single" w:sz="4" w:space="0" w:color="000000"/>
              <w:left w:val="single" w:sz="4" w:space="0" w:color="000000"/>
              <w:bottom w:val="single" w:sz="4" w:space="0" w:color="000000"/>
              <w:right w:val="single" w:sz="4" w:space="0" w:color="000000"/>
            </w:tcBorders>
          </w:tcPr>
          <w:p w14:paraId="23E84CF7" w14:textId="77777777" w:rsidR="009B0B8F" w:rsidRDefault="00000000">
            <w:r>
              <w:t>6.</w:t>
            </w:r>
          </w:p>
        </w:tc>
        <w:tc>
          <w:tcPr>
            <w:tcW w:w="1134" w:type="dxa"/>
            <w:tcBorders>
              <w:top w:val="single" w:sz="4" w:space="0" w:color="000000"/>
              <w:left w:val="single" w:sz="4" w:space="0" w:color="000000"/>
              <w:bottom w:val="single" w:sz="4" w:space="0" w:color="000000"/>
              <w:right w:val="single" w:sz="4" w:space="0" w:color="000000"/>
            </w:tcBorders>
          </w:tcPr>
          <w:p w14:paraId="21DD68A3" w14:textId="77777777" w:rsidR="009B0B8F" w:rsidRDefault="009B0B8F"/>
        </w:tc>
        <w:tc>
          <w:tcPr>
            <w:tcW w:w="3339" w:type="dxa"/>
            <w:tcBorders>
              <w:top w:val="single" w:sz="4" w:space="0" w:color="000000"/>
              <w:left w:val="single" w:sz="4" w:space="0" w:color="000000"/>
              <w:bottom w:val="single" w:sz="4" w:space="0" w:color="000000"/>
              <w:right w:val="single" w:sz="4" w:space="0" w:color="000000"/>
            </w:tcBorders>
          </w:tcPr>
          <w:p w14:paraId="460404F0" w14:textId="77777777" w:rsidR="009B0B8F" w:rsidRDefault="009B0B8F"/>
        </w:tc>
        <w:tc>
          <w:tcPr>
            <w:tcW w:w="5210" w:type="dxa"/>
            <w:tcBorders>
              <w:top w:val="single" w:sz="4" w:space="0" w:color="000000"/>
              <w:left w:val="single" w:sz="4" w:space="0" w:color="000000"/>
              <w:bottom w:val="single" w:sz="4" w:space="0" w:color="000000"/>
              <w:right w:val="single" w:sz="4" w:space="0" w:color="000000"/>
            </w:tcBorders>
          </w:tcPr>
          <w:p w14:paraId="233E4F38" w14:textId="77777777" w:rsidR="009B0B8F" w:rsidRDefault="009B0B8F"/>
        </w:tc>
      </w:tr>
    </w:tbl>
    <w:p w14:paraId="33502B80" w14:textId="77777777" w:rsidR="009B0B8F" w:rsidRDefault="00000000">
      <w:r>
        <w:br w:type="page"/>
      </w:r>
    </w:p>
    <w:p w14:paraId="25A1A851" w14:textId="77777777" w:rsidR="009B0B8F" w:rsidRDefault="009B0B8F"/>
    <w:tbl>
      <w:tblPr>
        <w:tblW w:w="10320" w:type="dxa"/>
        <w:tblInd w:w="108" w:type="dxa"/>
        <w:tblLayout w:type="fixed"/>
        <w:tblLook w:val="04A0" w:firstRow="1" w:lastRow="0" w:firstColumn="1" w:lastColumn="0" w:noHBand="0" w:noVBand="1"/>
      </w:tblPr>
      <w:tblGrid>
        <w:gridCol w:w="709"/>
        <w:gridCol w:w="11"/>
        <w:gridCol w:w="1080"/>
        <w:gridCol w:w="3729"/>
        <w:gridCol w:w="3231"/>
        <w:gridCol w:w="1560"/>
      </w:tblGrid>
      <w:tr w:rsidR="009B0B8F" w14:paraId="08A68AF0" w14:textId="77777777">
        <w:tc>
          <w:tcPr>
            <w:tcW w:w="720" w:type="dxa"/>
            <w:gridSpan w:val="2"/>
          </w:tcPr>
          <w:p w14:paraId="45C2E499" w14:textId="77777777" w:rsidR="009B0B8F" w:rsidRDefault="00000000">
            <w:r>
              <w:t>1</w:t>
            </w:r>
          </w:p>
        </w:tc>
        <w:tc>
          <w:tcPr>
            <w:tcW w:w="9600" w:type="dxa"/>
            <w:gridSpan w:val="4"/>
          </w:tcPr>
          <w:p w14:paraId="00A239EC" w14:textId="77777777" w:rsidR="00B447D4" w:rsidRDefault="00000000">
            <w:r>
              <w:t xml:space="preserve">PROPÓSITO DEL INFORME. </w:t>
            </w:r>
          </w:p>
          <w:p w14:paraId="60C88BC2" w14:textId="11122857" w:rsidR="009B0B8F" w:rsidRDefault="00000000">
            <w:r>
              <w:t xml:space="preserve">Analizar la experiencia </w:t>
            </w:r>
            <w:r w:rsidR="00957AA2">
              <w:t xml:space="preserve">del plantel </w:t>
            </w:r>
            <w:r>
              <w:t>derivada de la incorporación de mujeres al proceso de postulación al escalafón de Infantería de Marina en la Escuela Naval “Arturo Prat”, describiendo las actividades ejecutadas, los criterios aplicados, los resultados obtenidos y la apreciación institucional respecto de su conveniencia y proyección.</w:t>
            </w:r>
          </w:p>
        </w:tc>
      </w:tr>
      <w:tr w:rsidR="009B0B8F" w14:paraId="34D3D1D3" w14:textId="77777777">
        <w:tc>
          <w:tcPr>
            <w:tcW w:w="720" w:type="dxa"/>
            <w:gridSpan w:val="2"/>
          </w:tcPr>
          <w:p w14:paraId="782CDD85" w14:textId="77777777" w:rsidR="009B0B8F" w:rsidRDefault="00000000">
            <w:r>
              <w:t>2</w:t>
            </w:r>
          </w:p>
        </w:tc>
        <w:tc>
          <w:tcPr>
            <w:tcW w:w="9600" w:type="dxa"/>
            <w:gridSpan w:val="4"/>
          </w:tcPr>
          <w:p w14:paraId="6C3B2A54" w14:textId="77777777" w:rsidR="009B0B8F" w:rsidRDefault="00000000">
            <w:r>
              <w:t>DOCUMENTOS RELACIONADOS.</w:t>
            </w:r>
          </w:p>
        </w:tc>
      </w:tr>
      <w:tr w:rsidR="009B0B8F" w14:paraId="5E21CE6E" w14:textId="77777777">
        <w:tc>
          <w:tcPr>
            <w:tcW w:w="720" w:type="dxa"/>
            <w:gridSpan w:val="2"/>
          </w:tcPr>
          <w:p w14:paraId="3D25687D" w14:textId="77777777" w:rsidR="009B0B8F" w:rsidRDefault="00000000">
            <w:r>
              <w:t>2.1</w:t>
            </w:r>
          </w:p>
        </w:tc>
        <w:tc>
          <w:tcPr>
            <w:tcW w:w="9600" w:type="dxa"/>
            <w:gridSpan w:val="4"/>
          </w:tcPr>
          <w:p w14:paraId="5F265F45" w14:textId="77777777" w:rsidR="009B0B8F" w:rsidRDefault="00000000">
            <w:r>
              <w:t>Mensaje naval DIREDUCARM 181143 NOV 2025, mediante el cual se dispuso incluir a mujeres en el proceso de selección para el escalafón IM.</w:t>
            </w:r>
          </w:p>
        </w:tc>
      </w:tr>
      <w:tr w:rsidR="009B0B8F" w14:paraId="3921E6E9" w14:textId="77777777">
        <w:tc>
          <w:tcPr>
            <w:tcW w:w="720" w:type="dxa"/>
            <w:gridSpan w:val="2"/>
          </w:tcPr>
          <w:p w14:paraId="51F92F2C" w14:textId="77777777" w:rsidR="009B0B8F" w:rsidRDefault="00000000">
            <w:r>
              <w:t>2.3</w:t>
            </w:r>
          </w:p>
        </w:tc>
        <w:tc>
          <w:tcPr>
            <w:tcW w:w="9600" w:type="dxa"/>
            <w:gridSpan w:val="4"/>
          </w:tcPr>
          <w:p w14:paraId="5F938353" w14:textId="0AE1EB71" w:rsidR="009B0B8F" w:rsidRDefault="00000000">
            <w:r>
              <w:t>Guía de planificación impartida por la Comandancia General a la Escuela Naval;; planilla consolidada de resultados de pruebas físicas, entrevista y nota final; y demás antecedentes internos empleados durante el proceso.</w:t>
            </w:r>
          </w:p>
        </w:tc>
      </w:tr>
      <w:tr w:rsidR="00957AA2" w14:paraId="5C5EA842" w14:textId="77777777">
        <w:tc>
          <w:tcPr>
            <w:tcW w:w="720" w:type="dxa"/>
            <w:gridSpan w:val="2"/>
          </w:tcPr>
          <w:p w14:paraId="2C4CDD48" w14:textId="77777777" w:rsidR="00957AA2" w:rsidRDefault="00957AA2"/>
        </w:tc>
        <w:tc>
          <w:tcPr>
            <w:tcW w:w="9600" w:type="dxa"/>
            <w:gridSpan w:val="4"/>
          </w:tcPr>
          <w:p w14:paraId="1BD1D82B" w14:textId="64A85639" w:rsidR="00957AA2" w:rsidRDefault="00957AA2">
            <w:r>
              <w:t>O.P.I.</w:t>
            </w:r>
            <w:r>
              <w:t xml:space="preserve"> </w:t>
            </w:r>
            <w:proofErr w:type="spellStart"/>
            <w:r>
              <w:t>N°</w:t>
            </w:r>
            <w:proofErr w:type="spellEnd"/>
            <w:r>
              <w:t xml:space="preserve"> 439 </w:t>
            </w:r>
            <w:r>
              <w:t xml:space="preserve"> la Escuela Naval “Arturo Prat”</w:t>
            </w:r>
            <w:r>
              <w:t>:</w:t>
            </w:r>
            <w:r>
              <w:t xml:space="preserve"> </w:t>
            </w:r>
            <w:r>
              <w:t>E</w:t>
            </w:r>
            <w:r>
              <w:t>stablece protocolo complementario de selección para cadetes postulantes al escalafón IM</w:t>
            </w:r>
          </w:p>
        </w:tc>
      </w:tr>
      <w:tr w:rsidR="009B0B8F" w14:paraId="4983D094" w14:textId="77777777">
        <w:tc>
          <w:tcPr>
            <w:tcW w:w="720" w:type="dxa"/>
            <w:gridSpan w:val="2"/>
          </w:tcPr>
          <w:p w14:paraId="64A457BA" w14:textId="77777777" w:rsidR="009B0B8F" w:rsidRDefault="00000000">
            <w:r>
              <w:t>3</w:t>
            </w:r>
          </w:p>
        </w:tc>
        <w:tc>
          <w:tcPr>
            <w:tcW w:w="9600" w:type="dxa"/>
            <w:gridSpan w:val="4"/>
          </w:tcPr>
          <w:p w14:paraId="0FC667AB" w14:textId="77777777" w:rsidR="009B0B8F" w:rsidRDefault="00000000">
            <w:r>
              <w:t>DEFINICIONES.</w:t>
            </w:r>
          </w:p>
        </w:tc>
      </w:tr>
      <w:tr w:rsidR="009B0B8F" w14:paraId="0E4DAD41" w14:textId="77777777">
        <w:tc>
          <w:tcPr>
            <w:tcW w:w="720" w:type="dxa"/>
            <w:gridSpan w:val="2"/>
          </w:tcPr>
          <w:p w14:paraId="60E5A637" w14:textId="77777777" w:rsidR="009B0B8F" w:rsidRDefault="00000000">
            <w:r>
              <w:t>3.1</w:t>
            </w:r>
          </w:p>
        </w:tc>
        <w:tc>
          <w:tcPr>
            <w:tcW w:w="9600" w:type="dxa"/>
            <w:gridSpan w:val="4"/>
          </w:tcPr>
          <w:p w14:paraId="65266DC3" w14:textId="244456D3" w:rsidR="009B0B8F" w:rsidRDefault="00000000">
            <w:r>
              <w:t>Escalafón IM: línea de formación del Cuerpo de Oficiales orientada a generar oficiales capaces de planificar y conducir</w:t>
            </w:r>
            <w:r w:rsidR="00957AA2">
              <w:t xml:space="preserve"> </w:t>
            </w:r>
            <w:r>
              <w:t xml:space="preserve">unidades de Infantería de Marina, lo que exige un perfil típico de oficial de infantería, con alta demanda física, </w:t>
            </w:r>
            <w:r w:rsidR="00957AA2">
              <w:t xml:space="preserve">liderazgo </w:t>
            </w:r>
            <w:r>
              <w:t xml:space="preserve"> directo y </w:t>
            </w:r>
            <w:r w:rsidR="00957AA2">
              <w:t>dominio de técnicas, tácticas y procedimientos de combate anfibio y terrestre</w:t>
            </w:r>
            <w:r>
              <w:t>.</w:t>
            </w:r>
          </w:p>
        </w:tc>
      </w:tr>
      <w:tr w:rsidR="009B0B8F" w14:paraId="397E1A42" w14:textId="77777777">
        <w:tc>
          <w:tcPr>
            <w:tcW w:w="720" w:type="dxa"/>
            <w:gridSpan w:val="2"/>
          </w:tcPr>
          <w:p w14:paraId="54FC612A" w14:textId="77777777" w:rsidR="009B0B8F" w:rsidRDefault="00000000">
            <w:r>
              <w:t>3.2</w:t>
            </w:r>
          </w:p>
        </w:tc>
        <w:tc>
          <w:tcPr>
            <w:tcW w:w="9600" w:type="dxa"/>
            <w:gridSpan w:val="4"/>
          </w:tcPr>
          <w:p w14:paraId="71287E31" w14:textId="30D60581" w:rsidR="009B0B8F" w:rsidRDefault="00000000">
            <w:r>
              <w:t xml:space="preserve">Protocolo complementario de selección: sistema formalizado por O.P.I. para </w:t>
            </w:r>
            <w:r w:rsidR="00957AA2">
              <w:t xml:space="preserve">regular </w:t>
            </w:r>
            <w:r>
              <w:t xml:space="preserve"> el ingreso al escalafón IM mediante pruebas físicas vinculadas al TEFIM/TECOM, evaluación médica e entrevista personal, aplicado en forma común a todos los postulantes sin discriminar por sexo.</w:t>
            </w:r>
            <w:r w:rsidR="00957AA2">
              <w:t xml:space="preserve"> Cabe destacar que el orden de mérito obtenido en primer año, sigue siendo la métrica principal para la selección de escalafones.</w:t>
            </w:r>
          </w:p>
        </w:tc>
      </w:tr>
      <w:tr w:rsidR="009B0B8F" w14:paraId="50A8EB6B" w14:textId="77777777">
        <w:tc>
          <w:tcPr>
            <w:tcW w:w="720" w:type="dxa"/>
            <w:gridSpan w:val="2"/>
          </w:tcPr>
          <w:p w14:paraId="5EDF7457" w14:textId="77777777" w:rsidR="009B0B8F" w:rsidRDefault="00000000">
            <w:r>
              <w:t>5</w:t>
            </w:r>
          </w:p>
        </w:tc>
        <w:tc>
          <w:tcPr>
            <w:tcW w:w="9600" w:type="dxa"/>
            <w:gridSpan w:val="4"/>
          </w:tcPr>
          <w:p w14:paraId="3D7F1DD9" w14:textId="77777777" w:rsidR="009B0B8F" w:rsidRDefault="00000000">
            <w:r>
              <w:t>INFORMACIÓN Y ANÁLISIS DETALLADO DE LAS ACTIVIDADES EJECUTADAS.</w:t>
            </w:r>
          </w:p>
        </w:tc>
      </w:tr>
      <w:tr w:rsidR="009B0B8F" w14:paraId="0623CC2D" w14:textId="77777777">
        <w:tc>
          <w:tcPr>
            <w:tcW w:w="720" w:type="dxa"/>
            <w:gridSpan w:val="2"/>
          </w:tcPr>
          <w:p w14:paraId="7B5C3CB0" w14:textId="77777777" w:rsidR="009B0B8F" w:rsidRDefault="00000000">
            <w:r>
              <w:t>5.1</w:t>
            </w:r>
          </w:p>
        </w:tc>
        <w:tc>
          <w:tcPr>
            <w:tcW w:w="9600" w:type="dxa"/>
            <w:gridSpan w:val="4"/>
          </w:tcPr>
          <w:p w14:paraId="1C911D75" w14:textId="00545CA9" w:rsidR="009B0B8F" w:rsidRDefault="00000000">
            <w:r>
              <w:t>La orden</w:t>
            </w:r>
            <w:r w:rsidR="00957AA2">
              <w:t xml:space="preserve">, por parte de la Dirección de educación de la Armada, </w:t>
            </w:r>
            <w:r>
              <w:t xml:space="preserve"> de incorporar a la mujer al proceso llegó en </w:t>
            </w:r>
            <w:r w:rsidR="00957AA2">
              <w:t xml:space="preserve">el mes de </w:t>
            </w:r>
            <w:r>
              <w:t>noviembre</w:t>
            </w:r>
            <w:r w:rsidR="00957AA2">
              <w:t xml:space="preserve"> del año 2025</w:t>
            </w:r>
            <w:r>
              <w:t xml:space="preserve">, lo que en lo formal dejó un tiempo reducido de preparación, evaluación y coordinación </w:t>
            </w:r>
            <w:r w:rsidR="00957AA2">
              <w:t>para la integración de cadetes femeninas al proceso de selección.</w:t>
            </w:r>
            <w:r>
              <w:t xml:space="preserve"> No obstante, la Escuela Naval ya había desarrollado y cerrado previamente un protocolo complementario de selección en base a experiencias anteriores, el cual terminó siendo aplicado a todos los postulantes bajo criterios idénticos. Dicho protocolo consideró pruebas físicas, evaluación médica e entrevista personal, constituyéndose además una O.P.I. que formalizó el filtro de ingreso y dio sustento al proceso.</w:t>
            </w:r>
          </w:p>
        </w:tc>
      </w:tr>
      <w:tr w:rsidR="009B0B8F" w14:paraId="42433FF8" w14:textId="77777777">
        <w:tc>
          <w:tcPr>
            <w:tcW w:w="720" w:type="dxa"/>
            <w:gridSpan w:val="2"/>
          </w:tcPr>
          <w:p w14:paraId="265C9671" w14:textId="77777777" w:rsidR="009B0B8F" w:rsidRDefault="00000000">
            <w:r>
              <w:t>5.2</w:t>
            </w:r>
          </w:p>
        </w:tc>
        <w:tc>
          <w:tcPr>
            <w:tcW w:w="9600" w:type="dxa"/>
            <w:gridSpan w:val="4"/>
          </w:tcPr>
          <w:p w14:paraId="49043A74" w14:textId="140E2420" w:rsidR="009B0B8F" w:rsidRDefault="00000000">
            <w:r>
              <w:t>La Comandancia General, a través de su Comandante General, proporcionó una guía de planificación a la Escuela Naval para enfrentar el proceso. Sin embargo, la Dirección de Educación de la Armada, además de establecer que no debían existir pruebas de admisión diferenciadas por sexo, no entregó otros lineamientos sobre selección, formación, infraestructura</w:t>
            </w:r>
            <w:r w:rsidR="00957AA2">
              <w:t xml:space="preserve"> y </w:t>
            </w:r>
            <w:r>
              <w:t>seguimiento. Ello habría sido provechoso para trabajar de manera unificada el acceso de la mujer tanto al escalafón de oficiales como al de Gente de Mar, evitando soluciones parciales o criterios distintos entre sistemas formativos.</w:t>
            </w:r>
          </w:p>
        </w:tc>
      </w:tr>
      <w:tr w:rsidR="009B0B8F" w14:paraId="578C4396" w14:textId="77777777">
        <w:tc>
          <w:tcPr>
            <w:tcW w:w="720" w:type="dxa"/>
            <w:gridSpan w:val="2"/>
          </w:tcPr>
          <w:p w14:paraId="28F9E00B" w14:textId="77777777" w:rsidR="009B0B8F" w:rsidRDefault="00000000">
            <w:r>
              <w:lastRenderedPageBreak/>
              <w:t>5.3</w:t>
            </w:r>
          </w:p>
        </w:tc>
        <w:tc>
          <w:tcPr>
            <w:tcW w:w="9600" w:type="dxa"/>
            <w:gridSpan w:val="4"/>
          </w:tcPr>
          <w:p w14:paraId="1514BC66" w14:textId="36253F37" w:rsidR="009B0B8F" w:rsidRDefault="00000000">
            <w:r>
              <w:t xml:space="preserve">Los resultados del proceso muestran que la postulante femenina superó la etapa de selección e ingresó al escalafón. Sin embargo, ya iniciado el Curso Básico Anfibio, solicitó su retiro dentro de la primera semana de instrucción, aduciendo dolencias en la espalda baja. Posteriormente fue integrada al escalafón ejecutivo, donde se ha desempeñado en forma normal. Este antecedente es relevante, pues evidencia que aprobar el filtro inicial no asegura por sí solo la adaptación y permanencia en un proceso formativo cuya exigencia física, funcional y de continuidad operativa es </w:t>
            </w:r>
            <w:r w:rsidR="00957AA2">
              <w:t>sostenida lo largo de la carrera.</w:t>
            </w:r>
          </w:p>
        </w:tc>
      </w:tr>
      <w:tr w:rsidR="009B0B8F" w14:paraId="730038DF" w14:textId="77777777">
        <w:tc>
          <w:tcPr>
            <w:tcW w:w="720" w:type="dxa"/>
            <w:gridSpan w:val="2"/>
          </w:tcPr>
          <w:p w14:paraId="3B09A39D" w14:textId="77777777" w:rsidR="009B0B8F" w:rsidRDefault="00000000">
            <w:r>
              <w:t>6</w:t>
            </w:r>
          </w:p>
        </w:tc>
        <w:tc>
          <w:tcPr>
            <w:tcW w:w="9600" w:type="dxa"/>
            <w:gridSpan w:val="4"/>
          </w:tcPr>
          <w:p w14:paraId="7BD69ADE" w14:textId="13D66B5B" w:rsidR="009B0B8F" w:rsidRDefault="00957AA2">
            <w:r>
              <w:t>OBSERVACIONES SOBRE EL PROCESO.</w:t>
            </w:r>
          </w:p>
        </w:tc>
      </w:tr>
      <w:tr w:rsidR="009B0B8F" w14:paraId="06C5F335" w14:textId="77777777">
        <w:tc>
          <w:tcPr>
            <w:tcW w:w="720" w:type="dxa"/>
            <w:gridSpan w:val="2"/>
          </w:tcPr>
          <w:p w14:paraId="6A92B760" w14:textId="77777777" w:rsidR="009B0B8F" w:rsidRDefault="00000000">
            <w:r>
              <w:t>6.1</w:t>
            </w:r>
          </w:p>
        </w:tc>
        <w:tc>
          <w:tcPr>
            <w:tcW w:w="9600" w:type="dxa"/>
            <w:gridSpan w:val="4"/>
          </w:tcPr>
          <w:p w14:paraId="1991BB2A" w14:textId="77777777" w:rsidR="009B0B8F" w:rsidRDefault="00000000">
            <w:r>
              <w:t>La incorporación de la mujer al proceso de acceso al escalafón IM fue ejecutada con escaso tiempo de preparación formal; sin embargo, la Escuela Naval contaba previamente con un protocolo de selección construido sobre experiencias anteriores, el cual fue formalizado mediante O.P.I. y aplicado a todos los postulantes sin discriminar por sexo. Dicho filtro se complementa con el Curso Básico Anfibio, instancia que incorpora pruebas que replican el futuro desempeño operativo del oficial IM, entre ellas marchas forzadas de más de 120 kilómetros en menos de 48 horas con carga, estándar que esta Escuela estima inamovible para certificar que el alumno se encuentra en condiciones iniciales de integrar unidades IM.</w:t>
            </w:r>
          </w:p>
        </w:tc>
      </w:tr>
      <w:tr w:rsidR="009B0B8F" w14:paraId="4C7C9F13" w14:textId="77777777">
        <w:tc>
          <w:tcPr>
            <w:tcW w:w="720" w:type="dxa"/>
            <w:gridSpan w:val="2"/>
          </w:tcPr>
          <w:p w14:paraId="730FED86" w14:textId="77777777" w:rsidR="009B0B8F" w:rsidRDefault="00000000">
            <w:r>
              <w:t>6.2</w:t>
            </w:r>
          </w:p>
        </w:tc>
        <w:tc>
          <w:tcPr>
            <w:tcW w:w="9600" w:type="dxa"/>
            <w:gridSpan w:val="4"/>
          </w:tcPr>
          <w:p w14:paraId="45183380" w14:textId="7FF1BEAE" w:rsidR="009B0B8F" w:rsidRDefault="00000000">
            <w:r>
              <w:t xml:space="preserve">La experiencia comparada sugiere una concentración femenina en especialidades administrativas, de apoyo y comunicación. En el USMC, un estudio con datos de 2017 mostró mayores proporciones de mujeres en </w:t>
            </w:r>
            <w:proofErr w:type="spellStart"/>
            <w:r>
              <w:t>Communication</w:t>
            </w:r>
            <w:proofErr w:type="spellEnd"/>
            <w:r>
              <w:t xml:space="preserve"> </w:t>
            </w:r>
            <w:proofErr w:type="spellStart"/>
            <w:r>
              <w:t>Strategy</w:t>
            </w:r>
            <w:proofErr w:type="spellEnd"/>
            <w:r>
              <w:t xml:space="preserve"> &amp; </w:t>
            </w:r>
            <w:proofErr w:type="spellStart"/>
            <w:r>
              <w:t>Operations</w:t>
            </w:r>
            <w:proofErr w:type="spellEnd"/>
            <w:r>
              <w:t xml:space="preserve"> (32,6%), </w:t>
            </w:r>
            <w:proofErr w:type="spellStart"/>
            <w:r>
              <w:t>Distribution</w:t>
            </w:r>
            <w:proofErr w:type="spellEnd"/>
            <w:r>
              <w:t xml:space="preserve"> Management (26,1%) y Manpower &amp; </w:t>
            </w:r>
            <w:proofErr w:type="spellStart"/>
            <w:r>
              <w:t>Administration</w:t>
            </w:r>
            <w:proofErr w:type="spellEnd"/>
            <w:r>
              <w:t xml:space="preserve"> (24,6%), mientras </w:t>
            </w:r>
            <w:proofErr w:type="spellStart"/>
            <w:r>
              <w:t>Infantry</w:t>
            </w:r>
            <w:proofErr w:type="spellEnd"/>
            <w:r>
              <w:t xml:space="preserve"> registró 0,1%; y reportes de 2024 siguen mostrando una presencia muy acotada en infantería, con 15 oficiales y 112 </w:t>
            </w:r>
            <w:r w:rsidR="00957AA2">
              <w:t>gente de mar</w:t>
            </w:r>
            <w:r>
              <w:t xml:space="preserve"> mujeres en todo el Cuerpo</w:t>
            </w:r>
            <w:r w:rsidR="00957AA2">
              <w:t xml:space="preserve"> (el USMC opera con cerca de 24 batallones de infantería)</w:t>
            </w:r>
            <w:r>
              <w:t>. Ello refuerza que, incluso en una institución de gran escala, la presencia femenina sigue concentrándose fuera del núcleo específico de infantería</w:t>
            </w:r>
            <w:r w:rsidR="00957AA2">
              <w:t>.</w:t>
            </w:r>
          </w:p>
        </w:tc>
      </w:tr>
      <w:tr w:rsidR="009B0B8F" w14:paraId="11E6CAE2" w14:textId="77777777">
        <w:tc>
          <w:tcPr>
            <w:tcW w:w="720" w:type="dxa"/>
            <w:gridSpan w:val="2"/>
          </w:tcPr>
          <w:p w14:paraId="63EF731E" w14:textId="77777777" w:rsidR="009B0B8F" w:rsidRDefault="00000000">
            <w:r>
              <w:t>6.3</w:t>
            </w:r>
          </w:p>
        </w:tc>
        <w:tc>
          <w:tcPr>
            <w:tcW w:w="9600" w:type="dxa"/>
            <w:gridSpan w:val="4"/>
          </w:tcPr>
          <w:p w14:paraId="74203038" w14:textId="45294D99" w:rsidR="009B0B8F" w:rsidRDefault="00000000">
            <w:r>
              <w:t>Los resultados disponibles, el caso observado durante el Curso Básico Anfibio y el perfil de egreso del escalafón permiten sostener que, desde la perspectiva de esta Escuela, no se advierte un beneficio táctico evidente en la incorporación de la mujer al escalafón IM. La formación inicial del Infante de Marina se basa en un modelo de infantería ligera, que exige autosuficiencia logística y, por tanto, una carga física sostenida y significativa. En ese contexto, la eventual aparición de dolencias o limitaciones físicas que aparten a la oficial de las actividades operativas podría afectar aún más la disponibilidad del escalafón, considerando que esta integración no contempla un aumento de dotación</w:t>
            </w:r>
            <w:r w:rsidR="00957AA2">
              <w:t xml:space="preserve"> referencial</w:t>
            </w:r>
            <w:r>
              <w:t>. En consecuencia, la relación costo-beneficio podría resultar desbalanceada.</w:t>
            </w:r>
          </w:p>
        </w:tc>
      </w:tr>
      <w:tr w:rsidR="009B0B8F" w14:paraId="1BAC582E" w14:textId="77777777">
        <w:tc>
          <w:tcPr>
            <w:tcW w:w="720" w:type="dxa"/>
            <w:gridSpan w:val="2"/>
          </w:tcPr>
          <w:p w14:paraId="5E020136" w14:textId="77777777" w:rsidR="009B0B8F" w:rsidRDefault="00000000">
            <w:r>
              <w:t>7</w:t>
            </w:r>
          </w:p>
        </w:tc>
        <w:tc>
          <w:tcPr>
            <w:tcW w:w="9600" w:type="dxa"/>
            <w:gridSpan w:val="4"/>
          </w:tcPr>
          <w:p w14:paraId="0DF56EE7" w14:textId="77777777" w:rsidR="009B0B8F" w:rsidRDefault="00000000">
            <w:r>
              <w:t>RECOMENDACIONES.</w:t>
            </w:r>
          </w:p>
        </w:tc>
      </w:tr>
      <w:tr w:rsidR="009B0B8F" w14:paraId="6F56B5FD" w14:textId="77777777">
        <w:tc>
          <w:tcPr>
            <w:tcW w:w="720" w:type="dxa"/>
            <w:gridSpan w:val="2"/>
          </w:tcPr>
          <w:p w14:paraId="3DBFA265" w14:textId="77777777" w:rsidR="009B0B8F" w:rsidRDefault="00000000">
            <w:r>
              <w:t>7.1</w:t>
            </w:r>
          </w:p>
        </w:tc>
        <w:tc>
          <w:tcPr>
            <w:tcW w:w="9600" w:type="dxa"/>
            <w:gridSpan w:val="4"/>
          </w:tcPr>
          <w:p w14:paraId="7BC5D3AE" w14:textId="0F9EBA7F" w:rsidR="009B0B8F" w:rsidRDefault="00000000">
            <w:r>
              <w:t>Mantener el protocolo complementario de selección formalizado por O.P.I. como filtro obligatorio de ingreso al escalafón IM, preservando criterios comunes, objetivos y no diferenciados por sexo.</w:t>
            </w:r>
            <w:r w:rsidR="00B447D4">
              <w:t xml:space="preserve"> Este protocolo puede ser actualizado año a año en base a resultados obtenidos, buscando determinar las métricas y estándares más apropiadas de selección.</w:t>
            </w:r>
          </w:p>
        </w:tc>
      </w:tr>
      <w:tr w:rsidR="009B0B8F" w14:paraId="1F4C13A8" w14:textId="77777777">
        <w:tc>
          <w:tcPr>
            <w:tcW w:w="720" w:type="dxa"/>
            <w:gridSpan w:val="2"/>
          </w:tcPr>
          <w:p w14:paraId="6C90ADCF" w14:textId="77777777" w:rsidR="009B0B8F" w:rsidRDefault="00000000">
            <w:r>
              <w:t>7.2</w:t>
            </w:r>
          </w:p>
        </w:tc>
        <w:tc>
          <w:tcPr>
            <w:tcW w:w="9600" w:type="dxa"/>
            <w:gridSpan w:val="4"/>
          </w:tcPr>
          <w:p w14:paraId="0568C4A1" w14:textId="77777777" w:rsidR="009B0B8F" w:rsidRDefault="00000000">
            <w:r>
              <w:t>Solicitar a la Dirección de Educación de la Armada lineamientos integrales para abordar en forma unificada el acceso de la mujer a los escalafones de oficiales y Gente de Mar, incorporando criterios de selección, formación, infraestructura, seguimiento, lesiones, permanencia y empleo posterior, sin alterar los estándares operativos exigidos por el perfil de egreso IM.</w:t>
            </w:r>
          </w:p>
        </w:tc>
      </w:tr>
      <w:tr w:rsidR="009B0B8F" w14:paraId="7FF83B0D" w14:textId="77777777">
        <w:tc>
          <w:tcPr>
            <w:tcW w:w="720" w:type="dxa"/>
            <w:gridSpan w:val="2"/>
          </w:tcPr>
          <w:p w14:paraId="449ACC3A" w14:textId="77777777" w:rsidR="009B0B8F" w:rsidRDefault="00000000">
            <w:r>
              <w:t>7.3</w:t>
            </w:r>
          </w:p>
        </w:tc>
        <w:tc>
          <w:tcPr>
            <w:tcW w:w="9600" w:type="dxa"/>
            <w:gridSpan w:val="4"/>
          </w:tcPr>
          <w:p w14:paraId="0199AFC1" w14:textId="5FE9F56F" w:rsidR="009B0B8F" w:rsidRDefault="00000000">
            <w:r>
              <w:t xml:space="preserve">Mientras no exista evidencia </w:t>
            </w:r>
            <w:r w:rsidR="00B447D4">
              <w:t>s</w:t>
            </w:r>
            <w:r>
              <w:t xml:space="preserve">uficiente sobre desempeño, permanencia y utilidad institucional, y considerando el retiro de la única cadete femenina del Curso Básico Anfibio durante la primera semana de instrucción, se estima prudente mantener una aproximación restringida y evaluativa respecto de la incorporación de la mujer al escalafón IM, evitando comprometer ajustes estructurales sin una </w:t>
            </w:r>
            <w:r>
              <w:lastRenderedPageBreak/>
              <w:t xml:space="preserve">demostración clara de conveniencia táctica y organizacional. Esta apreciación se ve reforzada por la experiencia comparada, donde </w:t>
            </w:r>
            <w:r w:rsidR="00B447D4">
              <w:t>aún</w:t>
            </w:r>
            <w:r>
              <w:t xml:space="preserve"> cuerpos de infantería de marina de gran envergadura mantienen una presencia femenina muy reducida en el área específica de infantería.</w:t>
            </w:r>
          </w:p>
        </w:tc>
      </w:tr>
      <w:tr w:rsidR="009B0B8F" w14:paraId="7A6863BF" w14:textId="77777777">
        <w:tc>
          <w:tcPr>
            <w:tcW w:w="720" w:type="dxa"/>
            <w:gridSpan w:val="2"/>
          </w:tcPr>
          <w:p w14:paraId="70FE6DE9" w14:textId="77777777" w:rsidR="009B0B8F" w:rsidRDefault="00000000">
            <w:r>
              <w:lastRenderedPageBreak/>
              <w:t>8</w:t>
            </w:r>
          </w:p>
        </w:tc>
        <w:tc>
          <w:tcPr>
            <w:tcW w:w="9600" w:type="dxa"/>
            <w:gridSpan w:val="4"/>
          </w:tcPr>
          <w:p w14:paraId="6BCB898A" w14:textId="77777777" w:rsidR="009B0B8F" w:rsidRDefault="00000000">
            <w:r>
              <w:t>ANEXOS.</w:t>
            </w:r>
          </w:p>
        </w:tc>
      </w:tr>
      <w:tr w:rsidR="009B0B8F" w14:paraId="2C7CCBDE" w14:textId="77777777">
        <w:tc>
          <w:tcPr>
            <w:tcW w:w="720" w:type="dxa"/>
            <w:gridSpan w:val="2"/>
          </w:tcPr>
          <w:p w14:paraId="11C796E4" w14:textId="77777777" w:rsidR="009B0B8F" w:rsidRDefault="00000000">
            <w:r>
              <w:t>“A”</w:t>
            </w:r>
          </w:p>
        </w:tc>
        <w:tc>
          <w:tcPr>
            <w:tcW w:w="9600" w:type="dxa"/>
            <w:gridSpan w:val="4"/>
          </w:tcPr>
          <w:p w14:paraId="30F47016" w14:textId="77777777" w:rsidR="009B0B8F" w:rsidRDefault="00000000">
            <w:r>
              <w:t>Resultados del proceso de selección aplicado por la Escuela Naval.</w:t>
            </w:r>
          </w:p>
        </w:tc>
      </w:tr>
      <w:tr w:rsidR="009B0B8F" w14:paraId="53A22581" w14:textId="77777777">
        <w:tc>
          <w:tcPr>
            <w:tcW w:w="720" w:type="dxa"/>
            <w:gridSpan w:val="2"/>
          </w:tcPr>
          <w:p w14:paraId="57D7B084" w14:textId="77777777" w:rsidR="009B0B8F" w:rsidRDefault="00000000">
            <w:r>
              <w:t>9</w:t>
            </w:r>
          </w:p>
        </w:tc>
        <w:tc>
          <w:tcPr>
            <w:tcW w:w="9600" w:type="dxa"/>
            <w:gridSpan w:val="4"/>
          </w:tcPr>
          <w:p w14:paraId="089B94A5" w14:textId="77777777" w:rsidR="009B0B8F" w:rsidRDefault="00000000">
            <w:r>
              <w:t>FIRMAS.</w:t>
            </w:r>
          </w:p>
        </w:tc>
      </w:tr>
      <w:tr w:rsidR="009B0B8F" w14:paraId="1D847337" w14:textId="77777777">
        <w:tc>
          <w:tcPr>
            <w:tcW w:w="709" w:type="dxa"/>
            <w:tcMar>
              <w:left w:w="0" w:type="dxa"/>
              <w:right w:w="0" w:type="dxa"/>
            </w:tcMar>
          </w:tcPr>
          <w:p w14:paraId="0E859C1C" w14:textId="77777777" w:rsidR="009B0B8F" w:rsidRDefault="009B0B8F"/>
        </w:tc>
        <w:tc>
          <w:tcPr>
            <w:tcW w:w="1091" w:type="dxa"/>
            <w:gridSpan w:val="2"/>
            <w:tcBorders>
              <w:bottom w:val="single" w:sz="6" w:space="0" w:color="000000"/>
              <w:right w:val="single" w:sz="6" w:space="0" w:color="000000"/>
            </w:tcBorders>
            <w:tcMar>
              <w:left w:w="70" w:type="dxa"/>
              <w:right w:w="70" w:type="dxa"/>
            </w:tcMar>
          </w:tcPr>
          <w:p w14:paraId="36C29445" w14:textId="77777777" w:rsidR="009B0B8F" w:rsidRDefault="009B0B8F"/>
        </w:tc>
        <w:tc>
          <w:tcPr>
            <w:tcW w:w="3729" w:type="dxa"/>
            <w:tcBorders>
              <w:top w:val="single" w:sz="6" w:space="0" w:color="000000"/>
              <w:left w:val="single" w:sz="6" w:space="0" w:color="000000"/>
              <w:bottom w:val="single" w:sz="6" w:space="0" w:color="000000"/>
              <w:right w:val="single" w:sz="6" w:space="0" w:color="000000"/>
            </w:tcBorders>
            <w:shd w:val="clear" w:color="auto" w:fill="E6E6E6"/>
            <w:tcMar>
              <w:left w:w="70" w:type="dxa"/>
              <w:right w:w="70" w:type="dxa"/>
            </w:tcMar>
          </w:tcPr>
          <w:p w14:paraId="61BEFA73" w14:textId="77777777" w:rsidR="009B0B8F" w:rsidRDefault="00000000">
            <w:r>
              <w:t>Grado/Nombre/Cargo</w:t>
            </w:r>
          </w:p>
        </w:tc>
        <w:tc>
          <w:tcPr>
            <w:tcW w:w="3231" w:type="dxa"/>
            <w:tcBorders>
              <w:top w:val="single" w:sz="6" w:space="0" w:color="000000"/>
              <w:left w:val="single" w:sz="6" w:space="0" w:color="000000"/>
              <w:bottom w:val="single" w:sz="6" w:space="0" w:color="000000"/>
              <w:right w:val="single" w:sz="6" w:space="0" w:color="000000"/>
            </w:tcBorders>
            <w:shd w:val="clear" w:color="auto" w:fill="E6E6E6"/>
            <w:tcMar>
              <w:left w:w="70" w:type="dxa"/>
              <w:right w:w="70" w:type="dxa"/>
            </w:tcMar>
          </w:tcPr>
          <w:p w14:paraId="769AF061" w14:textId="77777777" w:rsidR="009B0B8F" w:rsidRDefault="00000000">
            <w:r>
              <w:t>Firma</w:t>
            </w:r>
          </w:p>
        </w:tc>
        <w:tc>
          <w:tcPr>
            <w:tcW w:w="1560" w:type="dxa"/>
            <w:tcBorders>
              <w:top w:val="single" w:sz="6" w:space="0" w:color="000000"/>
              <w:left w:val="single" w:sz="6" w:space="0" w:color="000000"/>
              <w:bottom w:val="single" w:sz="6" w:space="0" w:color="000000"/>
              <w:right w:val="single" w:sz="6" w:space="0" w:color="000000"/>
            </w:tcBorders>
            <w:shd w:val="clear" w:color="auto" w:fill="E6E6E6"/>
            <w:tcMar>
              <w:left w:w="70" w:type="dxa"/>
              <w:right w:w="70" w:type="dxa"/>
            </w:tcMar>
          </w:tcPr>
          <w:p w14:paraId="3104BAF1" w14:textId="77777777" w:rsidR="009B0B8F" w:rsidRDefault="00000000">
            <w:r>
              <w:t>Fecha</w:t>
            </w:r>
          </w:p>
        </w:tc>
      </w:tr>
      <w:tr w:rsidR="009B0B8F" w14:paraId="01A7D580" w14:textId="77777777">
        <w:tc>
          <w:tcPr>
            <w:tcW w:w="709" w:type="dxa"/>
            <w:tcMar>
              <w:left w:w="0" w:type="dxa"/>
              <w:right w:w="0" w:type="dxa"/>
            </w:tcMar>
          </w:tcPr>
          <w:p w14:paraId="7D44B947" w14:textId="77777777" w:rsidR="009B0B8F" w:rsidRDefault="009B0B8F"/>
        </w:tc>
        <w:tc>
          <w:tcPr>
            <w:tcW w:w="1091" w:type="dxa"/>
            <w:gridSpan w:val="2"/>
            <w:tcBorders>
              <w:top w:val="single" w:sz="6" w:space="0" w:color="000000"/>
              <w:left w:val="single" w:sz="6" w:space="0" w:color="000000"/>
              <w:bottom w:val="single" w:sz="6" w:space="0" w:color="000000"/>
              <w:right w:val="single" w:sz="6" w:space="0" w:color="000000"/>
            </w:tcBorders>
            <w:tcMar>
              <w:left w:w="70" w:type="dxa"/>
              <w:right w:w="70" w:type="dxa"/>
            </w:tcMar>
          </w:tcPr>
          <w:p w14:paraId="5084D0C1" w14:textId="77777777" w:rsidR="009B0B8F" w:rsidRDefault="00000000">
            <w:r>
              <w:t>Preparó</w:t>
            </w:r>
          </w:p>
        </w:tc>
        <w:tc>
          <w:tcPr>
            <w:tcW w:w="3729" w:type="dxa"/>
            <w:tcBorders>
              <w:top w:val="single" w:sz="6" w:space="0" w:color="000000"/>
              <w:left w:val="single" w:sz="6" w:space="0" w:color="000000"/>
              <w:bottom w:val="single" w:sz="6" w:space="0" w:color="000000"/>
              <w:right w:val="single" w:sz="6" w:space="0" w:color="000000"/>
            </w:tcBorders>
            <w:tcMar>
              <w:left w:w="70" w:type="dxa"/>
              <w:right w:w="70" w:type="dxa"/>
            </w:tcMar>
          </w:tcPr>
          <w:p w14:paraId="12494E9D" w14:textId="241853A9" w:rsidR="009B0B8F" w:rsidRDefault="00B447D4">
            <w:r>
              <w:t>CC IM Friedrich von der Weth Pettinelli</w:t>
            </w:r>
          </w:p>
        </w:tc>
        <w:tc>
          <w:tcPr>
            <w:tcW w:w="3231" w:type="dxa"/>
            <w:tcBorders>
              <w:top w:val="single" w:sz="6" w:space="0" w:color="000000"/>
              <w:left w:val="single" w:sz="6" w:space="0" w:color="000000"/>
              <w:bottom w:val="single" w:sz="6" w:space="0" w:color="000000"/>
              <w:right w:val="single" w:sz="6" w:space="0" w:color="000000"/>
            </w:tcBorders>
            <w:tcMar>
              <w:left w:w="70" w:type="dxa"/>
              <w:right w:w="70" w:type="dxa"/>
            </w:tcMar>
          </w:tcPr>
          <w:p w14:paraId="21598FFD" w14:textId="77777777" w:rsidR="009B0B8F" w:rsidRDefault="009B0B8F"/>
        </w:tc>
        <w:tc>
          <w:tcPr>
            <w:tcW w:w="1560" w:type="dxa"/>
            <w:tcBorders>
              <w:top w:val="single" w:sz="6" w:space="0" w:color="000000"/>
              <w:left w:val="single" w:sz="6" w:space="0" w:color="000000"/>
              <w:bottom w:val="single" w:sz="6" w:space="0" w:color="000000"/>
              <w:right w:val="single" w:sz="6" w:space="0" w:color="000000"/>
            </w:tcBorders>
            <w:tcMar>
              <w:left w:w="70" w:type="dxa"/>
              <w:right w:w="70" w:type="dxa"/>
            </w:tcMar>
          </w:tcPr>
          <w:p w14:paraId="03F5A42C" w14:textId="2901CDDE" w:rsidR="009B0B8F" w:rsidRDefault="00B447D4">
            <w:r>
              <w:t>24-03-2026</w:t>
            </w:r>
          </w:p>
        </w:tc>
      </w:tr>
      <w:tr w:rsidR="00B447D4" w14:paraId="5AB3324B" w14:textId="77777777">
        <w:tc>
          <w:tcPr>
            <w:tcW w:w="709" w:type="dxa"/>
            <w:tcMar>
              <w:left w:w="0" w:type="dxa"/>
              <w:right w:w="0" w:type="dxa"/>
            </w:tcMar>
          </w:tcPr>
          <w:p w14:paraId="1EB634BE" w14:textId="77777777" w:rsidR="00B447D4" w:rsidRDefault="00B447D4" w:rsidP="00B447D4"/>
        </w:tc>
        <w:tc>
          <w:tcPr>
            <w:tcW w:w="1091" w:type="dxa"/>
            <w:gridSpan w:val="2"/>
            <w:tcBorders>
              <w:top w:val="single" w:sz="6" w:space="0" w:color="000000"/>
              <w:left w:val="single" w:sz="6" w:space="0" w:color="000000"/>
              <w:bottom w:val="single" w:sz="6" w:space="0" w:color="000000"/>
              <w:right w:val="single" w:sz="6" w:space="0" w:color="000000"/>
            </w:tcBorders>
            <w:tcMar>
              <w:left w:w="70" w:type="dxa"/>
              <w:right w:w="70" w:type="dxa"/>
            </w:tcMar>
          </w:tcPr>
          <w:p w14:paraId="4F121B11" w14:textId="77777777" w:rsidR="00B447D4" w:rsidRDefault="00B447D4" w:rsidP="00B447D4">
            <w:r>
              <w:t>Revisó</w:t>
            </w:r>
          </w:p>
        </w:tc>
        <w:tc>
          <w:tcPr>
            <w:tcW w:w="3729" w:type="dxa"/>
            <w:tcBorders>
              <w:top w:val="single" w:sz="6" w:space="0" w:color="000000"/>
              <w:left w:val="single" w:sz="6" w:space="0" w:color="000000"/>
              <w:bottom w:val="single" w:sz="6" w:space="0" w:color="000000"/>
              <w:right w:val="single" w:sz="6" w:space="0" w:color="000000"/>
            </w:tcBorders>
            <w:tcMar>
              <w:left w:w="70" w:type="dxa"/>
              <w:right w:w="70" w:type="dxa"/>
            </w:tcMar>
          </w:tcPr>
          <w:p w14:paraId="04A52971" w14:textId="29C8D798" w:rsidR="00B447D4" w:rsidRDefault="00B447D4" w:rsidP="00B447D4">
            <w:r>
              <w:t xml:space="preserve">CF IM Javier Huidobro Bono </w:t>
            </w:r>
          </w:p>
        </w:tc>
        <w:tc>
          <w:tcPr>
            <w:tcW w:w="3231" w:type="dxa"/>
            <w:tcBorders>
              <w:top w:val="single" w:sz="6" w:space="0" w:color="000000"/>
              <w:left w:val="single" w:sz="6" w:space="0" w:color="000000"/>
              <w:bottom w:val="single" w:sz="6" w:space="0" w:color="000000"/>
              <w:right w:val="single" w:sz="6" w:space="0" w:color="000000"/>
            </w:tcBorders>
            <w:tcMar>
              <w:left w:w="70" w:type="dxa"/>
              <w:right w:w="70" w:type="dxa"/>
            </w:tcMar>
          </w:tcPr>
          <w:p w14:paraId="4F339025" w14:textId="77777777" w:rsidR="00B447D4" w:rsidRDefault="00B447D4" w:rsidP="00B447D4"/>
        </w:tc>
        <w:tc>
          <w:tcPr>
            <w:tcW w:w="1560" w:type="dxa"/>
            <w:tcBorders>
              <w:top w:val="single" w:sz="6" w:space="0" w:color="000000"/>
              <w:left w:val="single" w:sz="6" w:space="0" w:color="000000"/>
              <w:bottom w:val="single" w:sz="6" w:space="0" w:color="000000"/>
              <w:right w:val="single" w:sz="6" w:space="0" w:color="000000"/>
            </w:tcBorders>
            <w:tcMar>
              <w:left w:w="70" w:type="dxa"/>
              <w:right w:w="70" w:type="dxa"/>
            </w:tcMar>
          </w:tcPr>
          <w:p w14:paraId="082DA8D9" w14:textId="58EBD30A" w:rsidR="00B447D4" w:rsidRDefault="00B447D4" w:rsidP="00B447D4">
            <w:r w:rsidRPr="0007708A">
              <w:t>24-03-2026</w:t>
            </w:r>
          </w:p>
        </w:tc>
      </w:tr>
      <w:tr w:rsidR="00B447D4" w14:paraId="20772314" w14:textId="77777777">
        <w:tc>
          <w:tcPr>
            <w:tcW w:w="709" w:type="dxa"/>
            <w:tcMar>
              <w:left w:w="0" w:type="dxa"/>
              <w:right w:w="0" w:type="dxa"/>
            </w:tcMar>
          </w:tcPr>
          <w:p w14:paraId="279D608F" w14:textId="77777777" w:rsidR="00B447D4" w:rsidRDefault="00B447D4" w:rsidP="00B447D4"/>
        </w:tc>
        <w:tc>
          <w:tcPr>
            <w:tcW w:w="1091" w:type="dxa"/>
            <w:gridSpan w:val="2"/>
            <w:tcBorders>
              <w:top w:val="single" w:sz="6" w:space="0" w:color="000000"/>
              <w:left w:val="single" w:sz="6" w:space="0" w:color="000000"/>
              <w:bottom w:val="single" w:sz="6" w:space="0" w:color="000000"/>
              <w:right w:val="single" w:sz="6" w:space="0" w:color="000000"/>
            </w:tcBorders>
            <w:tcMar>
              <w:left w:w="70" w:type="dxa"/>
              <w:right w:w="70" w:type="dxa"/>
            </w:tcMar>
          </w:tcPr>
          <w:p w14:paraId="5B8E0459" w14:textId="77777777" w:rsidR="00B447D4" w:rsidRDefault="00B447D4" w:rsidP="00B447D4">
            <w:r>
              <w:t>Aprobó</w:t>
            </w:r>
          </w:p>
        </w:tc>
        <w:tc>
          <w:tcPr>
            <w:tcW w:w="3729" w:type="dxa"/>
            <w:tcBorders>
              <w:top w:val="single" w:sz="6" w:space="0" w:color="000000"/>
              <w:left w:val="single" w:sz="6" w:space="0" w:color="000000"/>
              <w:bottom w:val="single" w:sz="6" w:space="0" w:color="000000"/>
              <w:right w:val="single" w:sz="6" w:space="0" w:color="000000"/>
            </w:tcBorders>
            <w:tcMar>
              <w:left w:w="70" w:type="dxa"/>
              <w:right w:w="70" w:type="dxa"/>
            </w:tcMar>
          </w:tcPr>
          <w:p w14:paraId="72499F39" w14:textId="7344EFA2" w:rsidR="00B447D4" w:rsidRDefault="00B447D4" w:rsidP="00B447D4">
            <w:r>
              <w:t xml:space="preserve">CN Juan Pablo Castro </w:t>
            </w:r>
            <w:proofErr w:type="spellStart"/>
            <w:r>
              <w:t>Brahm</w:t>
            </w:r>
            <w:proofErr w:type="spellEnd"/>
            <w:r>
              <w:t xml:space="preserve"> </w:t>
            </w:r>
          </w:p>
        </w:tc>
        <w:tc>
          <w:tcPr>
            <w:tcW w:w="3231" w:type="dxa"/>
            <w:tcBorders>
              <w:top w:val="single" w:sz="6" w:space="0" w:color="000000"/>
              <w:left w:val="single" w:sz="6" w:space="0" w:color="000000"/>
              <w:bottom w:val="single" w:sz="6" w:space="0" w:color="000000"/>
              <w:right w:val="single" w:sz="6" w:space="0" w:color="000000"/>
            </w:tcBorders>
            <w:tcMar>
              <w:left w:w="70" w:type="dxa"/>
              <w:right w:w="70" w:type="dxa"/>
            </w:tcMar>
          </w:tcPr>
          <w:p w14:paraId="0D6E4632" w14:textId="77777777" w:rsidR="00B447D4" w:rsidRDefault="00B447D4" w:rsidP="00B447D4"/>
        </w:tc>
        <w:tc>
          <w:tcPr>
            <w:tcW w:w="1560" w:type="dxa"/>
            <w:tcBorders>
              <w:top w:val="single" w:sz="6" w:space="0" w:color="000000"/>
              <w:left w:val="single" w:sz="6" w:space="0" w:color="000000"/>
              <w:bottom w:val="single" w:sz="6" w:space="0" w:color="000000"/>
              <w:right w:val="single" w:sz="6" w:space="0" w:color="000000"/>
            </w:tcBorders>
            <w:tcMar>
              <w:left w:w="70" w:type="dxa"/>
              <w:right w:w="70" w:type="dxa"/>
            </w:tcMar>
          </w:tcPr>
          <w:p w14:paraId="5A87A2A3" w14:textId="6A0C12FA" w:rsidR="00B447D4" w:rsidRDefault="00B447D4" w:rsidP="00B447D4">
            <w:r w:rsidRPr="0007708A">
              <w:t>24-03-2026</w:t>
            </w:r>
          </w:p>
        </w:tc>
      </w:tr>
    </w:tbl>
    <w:p w14:paraId="15898445" w14:textId="77777777" w:rsidR="009B0B8F" w:rsidRDefault="009B0B8F">
      <w:pPr>
        <w:jc w:val="both"/>
        <w:rPr>
          <w:b/>
          <w:highlight w:val="yellow"/>
          <w:u w:val="single"/>
        </w:rPr>
      </w:pPr>
    </w:p>
    <w:p w14:paraId="2C781B41" w14:textId="77777777" w:rsidR="00B447D4" w:rsidRDefault="00B447D4">
      <w:pPr>
        <w:jc w:val="both"/>
        <w:rPr>
          <w:b/>
          <w:highlight w:val="yellow"/>
          <w:u w:val="single"/>
        </w:rPr>
      </w:pPr>
    </w:p>
    <w:p w14:paraId="0552E056" w14:textId="77777777" w:rsidR="00B447D4" w:rsidRDefault="00B447D4">
      <w:pPr>
        <w:jc w:val="both"/>
        <w:rPr>
          <w:b/>
          <w:highlight w:val="yellow"/>
          <w:u w:val="single"/>
        </w:rPr>
      </w:pPr>
    </w:p>
    <w:p w14:paraId="3F1DEC03" w14:textId="77777777" w:rsidR="00B447D4" w:rsidRDefault="00B447D4">
      <w:pPr>
        <w:jc w:val="both"/>
        <w:rPr>
          <w:b/>
          <w:highlight w:val="yellow"/>
          <w:u w:val="single"/>
        </w:rPr>
      </w:pPr>
    </w:p>
    <w:p w14:paraId="23BC507A" w14:textId="77777777" w:rsidR="00B447D4" w:rsidRDefault="00B447D4">
      <w:pPr>
        <w:jc w:val="both"/>
        <w:rPr>
          <w:b/>
          <w:highlight w:val="yellow"/>
          <w:u w:val="single"/>
        </w:rPr>
      </w:pPr>
    </w:p>
    <w:p w14:paraId="5864F711" w14:textId="77777777" w:rsidR="00B447D4" w:rsidRDefault="00B447D4">
      <w:pPr>
        <w:jc w:val="both"/>
        <w:rPr>
          <w:b/>
          <w:highlight w:val="yellow"/>
          <w:u w:val="single"/>
        </w:rPr>
      </w:pPr>
    </w:p>
    <w:p w14:paraId="7752BB1E" w14:textId="77777777" w:rsidR="00B447D4" w:rsidRDefault="00B447D4">
      <w:pPr>
        <w:jc w:val="both"/>
        <w:rPr>
          <w:b/>
          <w:highlight w:val="yellow"/>
          <w:u w:val="single"/>
        </w:rPr>
      </w:pPr>
    </w:p>
    <w:p w14:paraId="50050751" w14:textId="77777777" w:rsidR="00B447D4" w:rsidRDefault="00B447D4">
      <w:pPr>
        <w:jc w:val="both"/>
        <w:rPr>
          <w:b/>
          <w:highlight w:val="yellow"/>
          <w:u w:val="single"/>
        </w:rPr>
      </w:pPr>
    </w:p>
    <w:p w14:paraId="6B15D30A" w14:textId="77777777" w:rsidR="00B447D4" w:rsidRDefault="00B447D4">
      <w:pPr>
        <w:jc w:val="both"/>
        <w:rPr>
          <w:b/>
          <w:highlight w:val="yellow"/>
          <w:u w:val="single"/>
        </w:rPr>
      </w:pPr>
    </w:p>
    <w:p w14:paraId="2F88E74A" w14:textId="77777777" w:rsidR="00B447D4" w:rsidRDefault="00B447D4">
      <w:pPr>
        <w:jc w:val="both"/>
        <w:rPr>
          <w:b/>
          <w:highlight w:val="yellow"/>
          <w:u w:val="single"/>
        </w:rPr>
      </w:pPr>
    </w:p>
    <w:p w14:paraId="3DB14352" w14:textId="77777777" w:rsidR="00B447D4" w:rsidRDefault="00B447D4">
      <w:pPr>
        <w:jc w:val="both"/>
        <w:rPr>
          <w:b/>
          <w:highlight w:val="yellow"/>
          <w:u w:val="single"/>
        </w:rPr>
      </w:pPr>
    </w:p>
    <w:p w14:paraId="79232F69" w14:textId="77777777" w:rsidR="00B447D4" w:rsidRDefault="00B447D4">
      <w:pPr>
        <w:jc w:val="both"/>
        <w:rPr>
          <w:b/>
          <w:highlight w:val="yellow"/>
          <w:u w:val="single"/>
        </w:rPr>
      </w:pPr>
    </w:p>
    <w:p w14:paraId="5BF1271A" w14:textId="77777777" w:rsidR="00B447D4" w:rsidRDefault="00B447D4">
      <w:pPr>
        <w:jc w:val="both"/>
        <w:rPr>
          <w:b/>
          <w:highlight w:val="yellow"/>
          <w:u w:val="single"/>
        </w:rPr>
      </w:pPr>
    </w:p>
    <w:p w14:paraId="4338FB32" w14:textId="77777777" w:rsidR="00B447D4" w:rsidRDefault="00B447D4">
      <w:pPr>
        <w:jc w:val="both"/>
        <w:rPr>
          <w:b/>
          <w:highlight w:val="yellow"/>
          <w:u w:val="single"/>
        </w:rPr>
      </w:pPr>
    </w:p>
    <w:p w14:paraId="142E274E" w14:textId="77777777" w:rsidR="00B447D4" w:rsidRDefault="00B447D4">
      <w:pPr>
        <w:jc w:val="both"/>
        <w:rPr>
          <w:b/>
          <w:highlight w:val="yellow"/>
          <w:u w:val="single"/>
        </w:rPr>
      </w:pPr>
    </w:p>
    <w:p w14:paraId="18D52FCD" w14:textId="77777777" w:rsidR="00B447D4" w:rsidRDefault="00B447D4">
      <w:pPr>
        <w:jc w:val="both"/>
        <w:rPr>
          <w:b/>
          <w:highlight w:val="yellow"/>
          <w:u w:val="single"/>
        </w:rPr>
      </w:pPr>
    </w:p>
    <w:p w14:paraId="631E5D38" w14:textId="77777777" w:rsidR="00B447D4" w:rsidRDefault="00B447D4">
      <w:pPr>
        <w:jc w:val="both"/>
        <w:rPr>
          <w:b/>
          <w:highlight w:val="yellow"/>
          <w:u w:val="single"/>
        </w:rPr>
      </w:pPr>
    </w:p>
    <w:p w14:paraId="3C4287EF" w14:textId="77777777" w:rsidR="00B447D4" w:rsidRDefault="00B447D4">
      <w:pPr>
        <w:jc w:val="both"/>
        <w:rPr>
          <w:b/>
          <w:highlight w:val="yellow"/>
          <w:u w:val="single"/>
        </w:rPr>
      </w:pPr>
    </w:p>
    <w:p w14:paraId="59732966" w14:textId="77777777" w:rsidR="00B447D4" w:rsidRDefault="00B447D4">
      <w:pPr>
        <w:jc w:val="both"/>
        <w:rPr>
          <w:b/>
          <w:highlight w:val="yellow"/>
          <w:u w:val="single"/>
        </w:rPr>
      </w:pPr>
    </w:p>
    <w:p w14:paraId="796E6A7F" w14:textId="77777777" w:rsidR="00B447D4" w:rsidRDefault="00B447D4">
      <w:pPr>
        <w:jc w:val="both"/>
        <w:rPr>
          <w:b/>
          <w:highlight w:val="yellow"/>
          <w:u w:val="single"/>
        </w:rPr>
      </w:pPr>
    </w:p>
    <w:p w14:paraId="29FF706C" w14:textId="77777777" w:rsidR="00B447D4" w:rsidRDefault="00B447D4">
      <w:pPr>
        <w:jc w:val="both"/>
        <w:rPr>
          <w:b/>
          <w:highlight w:val="yellow"/>
          <w:u w:val="single"/>
        </w:rPr>
      </w:pPr>
    </w:p>
    <w:p w14:paraId="5FE6A577" w14:textId="77777777" w:rsidR="00B447D4" w:rsidRDefault="00B447D4">
      <w:pPr>
        <w:jc w:val="both"/>
        <w:rPr>
          <w:b/>
          <w:highlight w:val="yellow"/>
          <w:u w:val="single"/>
        </w:rPr>
      </w:pPr>
    </w:p>
    <w:p w14:paraId="57A401EA" w14:textId="77777777" w:rsidR="009B0B8F" w:rsidRDefault="009B0B8F">
      <w:pPr>
        <w:rPr>
          <w:b/>
          <w:sz w:val="18"/>
          <w:szCs w:val="18"/>
          <w:highlight w:val="yellow"/>
          <w:u w:val="single"/>
          <w:lang w:val="es-ES"/>
        </w:rPr>
      </w:pPr>
    </w:p>
    <w:tbl>
      <w:tblPr>
        <w:tblW w:w="10320" w:type="dxa"/>
        <w:tblInd w:w="108" w:type="dxa"/>
        <w:tblLayout w:type="fixed"/>
        <w:tblLook w:val="04A0" w:firstRow="1" w:lastRow="0" w:firstColumn="1" w:lastColumn="0" w:noHBand="0" w:noVBand="1"/>
      </w:tblPr>
      <w:tblGrid>
        <w:gridCol w:w="720"/>
        <w:gridCol w:w="9600"/>
      </w:tblGrid>
      <w:tr w:rsidR="009B0B8F" w14:paraId="3B99A417" w14:textId="77777777">
        <w:tc>
          <w:tcPr>
            <w:tcW w:w="10320" w:type="dxa"/>
            <w:gridSpan w:val="2"/>
          </w:tcPr>
          <w:p w14:paraId="49EA4659" w14:textId="77777777" w:rsidR="009B0B8F" w:rsidRPr="00B447D4" w:rsidRDefault="00000000" w:rsidP="00B447D4">
            <w:pPr>
              <w:jc w:val="center"/>
              <w:rPr>
                <w:b/>
                <w:bCs w:val="0"/>
              </w:rPr>
            </w:pPr>
            <w:r w:rsidRPr="00B447D4">
              <w:rPr>
                <w:b/>
                <w:bCs w:val="0"/>
              </w:rPr>
              <w:t>Anexo “A”</w:t>
            </w:r>
          </w:p>
        </w:tc>
      </w:tr>
      <w:tr w:rsidR="009B0B8F" w14:paraId="71C6E6C8" w14:textId="77777777">
        <w:tc>
          <w:tcPr>
            <w:tcW w:w="10320" w:type="dxa"/>
            <w:gridSpan w:val="2"/>
          </w:tcPr>
          <w:p w14:paraId="1038E571" w14:textId="77777777" w:rsidR="009B0B8F" w:rsidRPr="00B447D4" w:rsidRDefault="00000000" w:rsidP="00B447D4">
            <w:pPr>
              <w:jc w:val="center"/>
              <w:rPr>
                <w:b/>
                <w:bCs w:val="0"/>
              </w:rPr>
            </w:pPr>
            <w:r w:rsidRPr="00B447D4">
              <w:rPr>
                <w:b/>
                <w:bCs w:val="0"/>
              </w:rPr>
              <w:t>Resultados del proceso de selección aplicado por la Escuela Naval</w:t>
            </w:r>
          </w:p>
        </w:tc>
      </w:tr>
      <w:tr w:rsidR="009B0B8F" w14:paraId="67006FC5" w14:textId="77777777">
        <w:tc>
          <w:tcPr>
            <w:tcW w:w="720" w:type="dxa"/>
          </w:tcPr>
          <w:p w14:paraId="74E3D081" w14:textId="77777777" w:rsidR="009B0B8F" w:rsidRDefault="00000000">
            <w:r>
              <w:t>1</w:t>
            </w:r>
          </w:p>
        </w:tc>
        <w:tc>
          <w:tcPr>
            <w:tcW w:w="9600" w:type="dxa"/>
          </w:tcPr>
          <w:p w14:paraId="62C2D208" w14:textId="77777777" w:rsidR="009B0B8F" w:rsidRDefault="00000000">
            <w:r>
              <w:t>El protocolo complementario de selección fue aplicado a todos los postulantes al escalafón IM sin discriminar por sexo.</w:t>
            </w:r>
          </w:p>
        </w:tc>
      </w:tr>
      <w:tr w:rsidR="009B0B8F" w14:paraId="5DF1C90E" w14:textId="77777777">
        <w:tc>
          <w:tcPr>
            <w:tcW w:w="720" w:type="dxa"/>
          </w:tcPr>
          <w:p w14:paraId="16CCC3DE" w14:textId="77777777" w:rsidR="009B0B8F" w:rsidRDefault="00000000">
            <w:r>
              <w:t>2</w:t>
            </w:r>
          </w:p>
        </w:tc>
        <w:tc>
          <w:tcPr>
            <w:tcW w:w="9600" w:type="dxa"/>
          </w:tcPr>
          <w:p w14:paraId="4882D352" w14:textId="77777777" w:rsidR="009B0B8F" w:rsidRDefault="00000000">
            <w:r>
              <w:t>Las pruebas físicas contemplaron carrera de 5 kilómetros, barras, mantención de posición plancha y marcha forzada de 15 kilómetros, además de la evaluación posterior en el Curso Básico Anfibio. Este último incorpora pruebas que replican el futuro desempeño operativo del oficial IM, incluyendo marchas forzadas de más de 120 kilómetros en menos de 48 horas con carga, estándar considerado inamovible para certificar condiciones iniciales de integración a unidades IM.</w:t>
            </w:r>
          </w:p>
        </w:tc>
      </w:tr>
      <w:tr w:rsidR="009B0B8F" w14:paraId="5BA4647C" w14:textId="77777777">
        <w:tc>
          <w:tcPr>
            <w:tcW w:w="720" w:type="dxa"/>
          </w:tcPr>
          <w:p w14:paraId="1FBAF6E1" w14:textId="77777777" w:rsidR="009B0B8F" w:rsidRDefault="00000000">
            <w:r>
              <w:t>3</w:t>
            </w:r>
          </w:p>
        </w:tc>
        <w:tc>
          <w:tcPr>
            <w:tcW w:w="9600" w:type="dxa"/>
          </w:tcPr>
          <w:p w14:paraId="629DD294" w14:textId="77777777" w:rsidR="009B0B8F" w:rsidRDefault="00000000">
            <w:r>
              <w:t>La evaluación médica se ejecutó al término de las pruebas físicas, con criterio de apto o no apto, orientada a detectar patologías osteomusculares que comprometieran la formación.</w:t>
            </w:r>
          </w:p>
        </w:tc>
      </w:tr>
      <w:tr w:rsidR="009B0B8F" w14:paraId="4603DEB9" w14:textId="77777777">
        <w:tc>
          <w:tcPr>
            <w:tcW w:w="720" w:type="dxa"/>
          </w:tcPr>
          <w:p w14:paraId="4CAFD864" w14:textId="77777777" w:rsidR="009B0B8F" w:rsidRDefault="00000000">
            <w:r>
              <w:t>4</w:t>
            </w:r>
          </w:p>
        </w:tc>
        <w:tc>
          <w:tcPr>
            <w:tcW w:w="9600" w:type="dxa"/>
          </w:tcPr>
          <w:p w14:paraId="110D4B06" w14:textId="77777777" w:rsidR="009B0B8F" w:rsidRDefault="00000000">
            <w:r>
              <w:t>La entrevista personal consideró motivación, conocimiento del escalafón, disposición al esfuerzo y proyección profesional.</w:t>
            </w:r>
          </w:p>
        </w:tc>
      </w:tr>
      <w:tr w:rsidR="009B0B8F" w14:paraId="3321174E" w14:textId="77777777">
        <w:tc>
          <w:tcPr>
            <w:tcW w:w="720" w:type="dxa"/>
          </w:tcPr>
          <w:p w14:paraId="1D844C3B" w14:textId="77777777" w:rsidR="009B0B8F" w:rsidRDefault="00000000">
            <w:r>
              <w:t>5</w:t>
            </w:r>
          </w:p>
        </w:tc>
        <w:tc>
          <w:tcPr>
            <w:tcW w:w="9600" w:type="dxa"/>
          </w:tcPr>
          <w:p w14:paraId="776D31EC" w14:textId="77777777" w:rsidR="009B0B8F" w:rsidRDefault="00000000">
            <w:r>
              <w:t>La O.P.I. asignó una ponderación de 60% al orden de mérito de aprobación de primer año común, 30% a las pruebas físicas y 10% a la entrevista personal, quedando la conclusión médica como aceptado o rechazado.</w:t>
            </w:r>
          </w:p>
        </w:tc>
      </w:tr>
      <w:tr w:rsidR="009B0B8F" w14:paraId="715AE70D" w14:textId="77777777">
        <w:tc>
          <w:tcPr>
            <w:tcW w:w="720" w:type="dxa"/>
          </w:tcPr>
          <w:p w14:paraId="1787ECD2" w14:textId="77777777" w:rsidR="009B0B8F" w:rsidRDefault="00000000">
            <w:r>
              <w:t>6</w:t>
            </w:r>
          </w:p>
        </w:tc>
        <w:tc>
          <w:tcPr>
            <w:tcW w:w="9600" w:type="dxa"/>
          </w:tcPr>
          <w:p w14:paraId="5494F3D4" w14:textId="77777777" w:rsidR="009B0B8F" w:rsidRDefault="00000000">
            <w:r>
              <w:t>La única cadete femenina evaluada fue declarada apta médicamente y superó el filtro de ingreso al escalafón IM.</w:t>
            </w:r>
          </w:p>
        </w:tc>
      </w:tr>
      <w:tr w:rsidR="009B0B8F" w14:paraId="7CCCD41E" w14:textId="77777777">
        <w:tc>
          <w:tcPr>
            <w:tcW w:w="720" w:type="dxa"/>
          </w:tcPr>
          <w:p w14:paraId="475ED229" w14:textId="77777777" w:rsidR="009B0B8F" w:rsidRDefault="00000000">
            <w:r>
              <w:t>7</w:t>
            </w:r>
          </w:p>
        </w:tc>
        <w:tc>
          <w:tcPr>
            <w:tcW w:w="9600" w:type="dxa"/>
          </w:tcPr>
          <w:p w14:paraId="1BB15314" w14:textId="77777777" w:rsidR="009B0B8F" w:rsidRDefault="00000000">
            <w:r>
              <w:t>La cadete femenina obtuvo nota 6,70 en pruebas de capacidad física, 6,80 en entrevista personal y 7,411 como nota final.</w:t>
            </w:r>
          </w:p>
        </w:tc>
      </w:tr>
      <w:tr w:rsidR="009B0B8F" w14:paraId="388B4CFA" w14:textId="77777777">
        <w:tc>
          <w:tcPr>
            <w:tcW w:w="720" w:type="dxa"/>
          </w:tcPr>
          <w:p w14:paraId="58F28965" w14:textId="77777777" w:rsidR="009B0B8F" w:rsidRDefault="00000000">
            <w:r>
              <w:t>8</w:t>
            </w:r>
          </w:p>
        </w:tc>
        <w:tc>
          <w:tcPr>
            <w:tcW w:w="9600" w:type="dxa"/>
          </w:tcPr>
          <w:p w14:paraId="6B8DC354" w14:textId="77777777" w:rsidR="009B0B8F" w:rsidRDefault="00000000">
            <w:r>
              <w:t>Una vez iniciado el Curso Básico Anfibio, la cadete femenina solicitó su retiro dentro de la primera semana de instrucción, aduciendo dolencias en la espalda baja. El hecho resulta relevante porque se produjo antes de completar las fases de mayor exigencia del curso.</w:t>
            </w:r>
          </w:p>
        </w:tc>
      </w:tr>
      <w:tr w:rsidR="009B0B8F" w14:paraId="4C013796" w14:textId="77777777">
        <w:tc>
          <w:tcPr>
            <w:tcW w:w="720" w:type="dxa"/>
          </w:tcPr>
          <w:p w14:paraId="5314D608" w14:textId="77777777" w:rsidR="009B0B8F" w:rsidRDefault="00000000">
            <w:r>
              <w:t>9</w:t>
            </w:r>
          </w:p>
        </w:tc>
        <w:tc>
          <w:tcPr>
            <w:tcW w:w="9600" w:type="dxa"/>
          </w:tcPr>
          <w:p w14:paraId="6163C81F" w14:textId="77777777" w:rsidR="009B0B8F" w:rsidRDefault="00000000">
            <w:r>
              <w:t>Posteriormente fue integrada al escalafón ejecutivo, donde se ha desempeñado en forma normal.</w:t>
            </w:r>
          </w:p>
        </w:tc>
      </w:tr>
      <w:tr w:rsidR="009B0B8F" w14:paraId="00C23BB9" w14:textId="77777777">
        <w:tc>
          <w:tcPr>
            <w:tcW w:w="720" w:type="dxa"/>
          </w:tcPr>
          <w:p w14:paraId="65BE45AA" w14:textId="77777777" w:rsidR="009B0B8F" w:rsidRDefault="00000000">
            <w:r>
              <w:t>10</w:t>
            </w:r>
          </w:p>
        </w:tc>
        <w:tc>
          <w:tcPr>
            <w:tcW w:w="9600" w:type="dxa"/>
          </w:tcPr>
          <w:p w14:paraId="4F83723C" w14:textId="77777777" w:rsidR="009B0B8F" w:rsidRDefault="00000000">
            <w:r>
              <w:t>En el grupo masculino con resultados válidos, el promedio fue 8,14 en pruebas físicas, 7,60 en entrevista y 7,97 como nota final.</w:t>
            </w:r>
          </w:p>
        </w:tc>
      </w:tr>
      <w:tr w:rsidR="009B0B8F" w14:paraId="560C273A" w14:textId="77777777">
        <w:tc>
          <w:tcPr>
            <w:tcW w:w="720" w:type="dxa"/>
          </w:tcPr>
          <w:p w14:paraId="3679C61B" w14:textId="77777777" w:rsidR="009B0B8F" w:rsidRDefault="00000000">
            <w:r>
              <w:t>11</w:t>
            </w:r>
          </w:p>
        </w:tc>
        <w:tc>
          <w:tcPr>
            <w:tcW w:w="9600" w:type="dxa"/>
          </w:tcPr>
          <w:p w14:paraId="78B1BF7D" w14:textId="77777777" w:rsidR="009B0B8F" w:rsidRDefault="00000000">
            <w:r>
              <w:t>La información disponible sigue siendo insuficiente para extraer conclusiones estadísticas amplias; sin embargo, el caso observado refuerza la necesidad de mantener filtros exigentes y estándares operativos sin modificación, especialmente en un proceso formativo orientado a un empleo futuro de alta demanda física.</w:t>
            </w:r>
          </w:p>
        </w:tc>
      </w:tr>
      <w:tr w:rsidR="009B0B8F" w14:paraId="0F0383FD" w14:textId="77777777">
        <w:tc>
          <w:tcPr>
            <w:tcW w:w="720" w:type="dxa"/>
          </w:tcPr>
          <w:p w14:paraId="2B49CFD6" w14:textId="77777777" w:rsidR="009B0B8F" w:rsidRDefault="00000000">
            <w:r>
              <w:t>12</w:t>
            </w:r>
          </w:p>
        </w:tc>
        <w:tc>
          <w:tcPr>
            <w:tcW w:w="9600" w:type="dxa"/>
          </w:tcPr>
          <w:p w14:paraId="49B71092" w14:textId="77777777" w:rsidR="009B0B8F" w:rsidRDefault="00000000">
            <w:r>
              <w:t>La información disponible sigue siendo insuficiente para extraer conclusiones estadísticas amplias, por tratarse de una sola observación femenina.</w:t>
            </w:r>
          </w:p>
        </w:tc>
      </w:tr>
    </w:tbl>
    <w:p w14:paraId="69FA6374" w14:textId="6A94BB91" w:rsidR="00D8466D" w:rsidRDefault="00D8466D"/>
    <w:sectPr w:rsidR="00D8466D">
      <w:headerReference w:type="default" r:id="rId7"/>
      <w:footerReference w:type="default" r:id="rId8"/>
      <w:pgSz w:w="12240" w:h="15840"/>
      <w:pgMar w:top="1048" w:right="722" w:bottom="1418" w:left="1247" w:header="992" w:footer="323"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FC6C4" w14:textId="77777777" w:rsidR="00D8466D" w:rsidRDefault="00D8466D">
      <w:pPr>
        <w:spacing w:before="0" w:after="0"/>
      </w:pPr>
      <w:r>
        <w:separator/>
      </w:r>
    </w:p>
  </w:endnote>
  <w:endnote w:type="continuationSeparator" w:id="0">
    <w:p w14:paraId="2ACB0982" w14:textId="77777777" w:rsidR="00D8466D" w:rsidRDefault="00D8466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Liberation Serif">
    <w:altName w:val="Times New Roman"/>
    <w:panose1 w:val="020B0604020202020204"/>
    <w:charset w:val="00"/>
    <w:family w:val="roman"/>
    <w:pitch w:val="variable"/>
  </w:font>
  <w:font w:name="Noto Serif CJK SC">
    <w:panose1 w:val="020B0604020202020204"/>
    <w:charset w:val="00"/>
    <w:family w:val="roman"/>
    <w:notTrueType/>
    <w:pitch w:val="default"/>
  </w:font>
  <w:font w:name="Lohit Devanagari">
    <w:panose1 w:val="020B0604020202020204"/>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iberation Sans">
    <w:altName w:val="Arial"/>
    <w:panose1 w:val="020B0604020202020204"/>
    <w:charset w:val="00"/>
    <w:family w:val="swiss"/>
    <w:pitch w:val="variable"/>
  </w:font>
  <w:font w:name="Noto Sans CJK SC">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20" w:type="dxa"/>
      <w:tblInd w:w="108" w:type="dxa"/>
      <w:tblLayout w:type="fixed"/>
      <w:tblLook w:val="04A0" w:firstRow="1" w:lastRow="0" w:firstColumn="1" w:lastColumn="0" w:noHBand="0" w:noVBand="1"/>
    </w:tblPr>
    <w:tblGrid>
      <w:gridCol w:w="10320"/>
    </w:tblGrid>
    <w:tr w:rsidR="009B0B8F" w14:paraId="1E40DFB0" w14:textId="77777777">
      <w:tc>
        <w:tcPr>
          <w:tcW w:w="10320" w:type="dxa"/>
          <w:tcBorders>
            <w:top w:val="single" w:sz="4" w:space="0" w:color="000000"/>
            <w:left w:val="single" w:sz="4" w:space="0" w:color="000000"/>
            <w:bottom w:val="single" w:sz="4" w:space="0" w:color="000000"/>
            <w:right w:val="single" w:sz="4" w:space="0" w:color="000000"/>
          </w:tcBorders>
        </w:tcPr>
        <w:p w14:paraId="609A65D1" w14:textId="77777777" w:rsidR="009B0B8F" w:rsidRDefault="00000000">
          <w:pPr>
            <w:pStyle w:val="Piedepgina"/>
            <w:tabs>
              <w:tab w:val="clear" w:pos="4252"/>
              <w:tab w:val="clear" w:pos="8504"/>
            </w:tabs>
            <w:ind w:right="-92" w:firstLine="12"/>
            <w:jc w:val="center"/>
            <w:rPr>
              <w:sz w:val="16"/>
              <w:szCs w:val="16"/>
            </w:rPr>
          </w:pPr>
          <w:r>
            <w:rPr>
              <w:sz w:val="16"/>
              <w:szCs w:val="16"/>
            </w:rPr>
            <w:t>Prohibida la reproducción y difusión, sin la autorización de la Dirección de Programas, Investigación y Desarrollo de la Armada.</w:t>
          </w:r>
        </w:p>
      </w:tc>
    </w:tr>
  </w:tbl>
  <w:p w14:paraId="39D237D5" w14:textId="77777777" w:rsidR="009B0B8F" w:rsidRDefault="009B0B8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618CF" w14:textId="77777777" w:rsidR="00D8466D" w:rsidRDefault="00D8466D">
      <w:pPr>
        <w:spacing w:before="0" w:after="0"/>
      </w:pPr>
      <w:r>
        <w:separator/>
      </w:r>
    </w:p>
  </w:footnote>
  <w:footnote w:type="continuationSeparator" w:id="0">
    <w:p w14:paraId="013EF060" w14:textId="77777777" w:rsidR="00D8466D" w:rsidRDefault="00D8466D">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20" w:type="dxa"/>
      <w:tblInd w:w="108" w:type="dxa"/>
      <w:tblLayout w:type="fixed"/>
      <w:tblLook w:val="04A0" w:firstRow="1" w:lastRow="0" w:firstColumn="1" w:lastColumn="0" w:noHBand="0" w:noVBand="1"/>
    </w:tblPr>
    <w:tblGrid>
      <w:gridCol w:w="3480"/>
      <w:gridCol w:w="4800"/>
      <w:gridCol w:w="2040"/>
    </w:tblGrid>
    <w:tr w:rsidR="009B0B8F" w14:paraId="563BC877" w14:textId="77777777">
      <w:trPr>
        <w:cantSplit/>
        <w:trHeight w:val="805"/>
      </w:trPr>
      <w:tc>
        <w:tcPr>
          <w:tcW w:w="3480" w:type="dxa"/>
          <w:tcBorders>
            <w:top w:val="single" w:sz="4" w:space="0" w:color="000000"/>
            <w:left w:val="single" w:sz="4" w:space="0" w:color="000000"/>
            <w:bottom w:val="single" w:sz="4" w:space="0" w:color="000000"/>
            <w:right w:val="single" w:sz="4" w:space="0" w:color="000000"/>
          </w:tcBorders>
          <w:vAlign w:val="center"/>
        </w:tcPr>
        <w:p w14:paraId="10D39B4E" w14:textId="77777777" w:rsidR="009B0B8F" w:rsidRDefault="00000000">
          <w:pPr>
            <w:spacing w:before="0" w:after="0"/>
            <w:jc w:val="center"/>
            <w:rPr>
              <w:b/>
            </w:rPr>
          </w:pPr>
          <w:r>
            <w:rPr>
              <w:b/>
            </w:rPr>
            <w:t>ARMADA DE CHILE</w:t>
          </w:r>
        </w:p>
        <w:p w14:paraId="20F9AB05" w14:textId="77777777" w:rsidR="009B0B8F" w:rsidRDefault="00000000">
          <w:pPr>
            <w:spacing w:before="0" w:after="0"/>
            <w:jc w:val="center"/>
            <w:rPr>
              <w:b/>
            </w:rPr>
          </w:pPr>
          <w:r>
            <w:rPr>
              <w:b/>
            </w:rPr>
            <w:t>DIRECCIÓN DE PROGRAMAS, INVESTIGACIÓN Y DESARROLLO</w:t>
          </w:r>
        </w:p>
      </w:tc>
      <w:tc>
        <w:tcPr>
          <w:tcW w:w="4800" w:type="dxa"/>
          <w:tcBorders>
            <w:top w:val="single" w:sz="4" w:space="0" w:color="000000"/>
            <w:left w:val="single" w:sz="4" w:space="0" w:color="000000"/>
            <w:bottom w:val="single" w:sz="4" w:space="0" w:color="000000"/>
            <w:right w:val="single" w:sz="4" w:space="0" w:color="000000"/>
          </w:tcBorders>
          <w:vAlign w:val="center"/>
        </w:tcPr>
        <w:p w14:paraId="2522B4B0" w14:textId="77777777" w:rsidR="009B0B8F" w:rsidRDefault="00000000">
          <w:pPr>
            <w:spacing w:before="20" w:after="0"/>
            <w:ind w:left="-238"/>
            <w:jc w:val="center"/>
            <w:rPr>
              <w:b/>
              <w:sz w:val="18"/>
              <w:szCs w:val="18"/>
            </w:rPr>
          </w:pPr>
          <w:r>
            <w:rPr>
              <w:b/>
              <w:sz w:val="18"/>
              <w:szCs w:val="18"/>
            </w:rPr>
            <w:t>Organización Administrativa</w:t>
          </w:r>
        </w:p>
        <w:p w14:paraId="3F7A7D8F" w14:textId="77777777" w:rsidR="009B0B8F" w:rsidRDefault="00000000">
          <w:pPr>
            <w:spacing w:before="20" w:after="0"/>
            <w:ind w:left="-238"/>
            <w:jc w:val="center"/>
            <w:rPr>
              <w:b/>
              <w:sz w:val="12"/>
              <w:szCs w:val="12"/>
            </w:rPr>
          </w:pPr>
          <w:r>
            <w:rPr>
              <w:b/>
              <w:sz w:val="12"/>
              <w:szCs w:val="12"/>
            </w:rPr>
            <w:t>(FC-ADM-14 / ver. 2.0)</w:t>
          </w:r>
        </w:p>
      </w:tc>
      <w:tc>
        <w:tcPr>
          <w:tcW w:w="2040" w:type="dxa"/>
          <w:tcBorders>
            <w:top w:val="single" w:sz="4" w:space="0" w:color="000000"/>
            <w:left w:val="single" w:sz="4" w:space="0" w:color="000000"/>
            <w:bottom w:val="single" w:sz="4" w:space="0" w:color="000000"/>
            <w:right w:val="single" w:sz="4" w:space="0" w:color="000000"/>
          </w:tcBorders>
          <w:vAlign w:val="center"/>
        </w:tcPr>
        <w:p w14:paraId="592FA493" w14:textId="77777777" w:rsidR="009B0B8F" w:rsidRPr="00B447D4" w:rsidRDefault="00000000">
          <w:pPr>
            <w:spacing w:before="20" w:after="0"/>
          </w:pPr>
          <w:r w:rsidRPr="00B447D4">
            <w:rPr>
              <w:b/>
            </w:rPr>
            <w:t>ORDINARIO</w:t>
          </w:r>
        </w:p>
        <w:p w14:paraId="13C97C23" w14:textId="77777777" w:rsidR="009B0B8F" w:rsidRPr="00B447D4" w:rsidRDefault="00000000">
          <w:pPr>
            <w:spacing w:before="20" w:after="0"/>
          </w:pPr>
          <w:r w:rsidRPr="00B447D4">
            <w:rPr>
              <w:sz w:val="18"/>
              <w:szCs w:val="18"/>
            </w:rPr>
            <w:t>Fecha:   24/03/2026</w:t>
          </w:r>
        </w:p>
        <w:p w14:paraId="33AC114C" w14:textId="77777777" w:rsidR="009B0B8F" w:rsidRDefault="00000000">
          <w:pPr>
            <w:spacing w:before="20" w:after="0"/>
          </w:pPr>
          <w:r w:rsidRPr="00B447D4">
            <w:rPr>
              <w:sz w:val="18"/>
              <w:szCs w:val="18"/>
            </w:rPr>
            <w:t>Versión: 1.0</w:t>
          </w:r>
          <w:r w:rsidRPr="00B447D4">
            <w:rPr>
              <w:b/>
              <w:sz w:val="18"/>
              <w:szCs w:val="18"/>
            </w:rPr>
            <w:t xml:space="preserve"> </w:t>
          </w:r>
        </w:p>
        <w:p w14:paraId="6B206E7E" w14:textId="77777777" w:rsidR="009B0B8F" w:rsidRDefault="00000000">
          <w:pPr>
            <w:spacing w:before="0" w:after="0"/>
            <w:rPr>
              <w:b/>
            </w:rPr>
          </w:pPr>
          <w:r>
            <w:rPr>
              <w:sz w:val="18"/>
              <w:szCs w:val="18"/>
            </w:rPr>
            <w:t>Página</w:t>
          </w:r>
          <w:r>
            <w:rPr>
              <w:rStyle w:val="Nmerodepgina"/>
              <w:sz w:val="18"/>
              <w:szCs w:val="18"/>
            </w:rPr>
            <w:t xml:space="preserve">: </w:t>
          </w:r>
          <w:r>
            <w:rPr>
              <w:rStyle w:val="Nmerodepgina"/>
              <w:sz w:val="18"/>
              <w:szCs w:val="18"/>
            </w:rPr>
            <w:fldChar w:fldCharType="begin"/>
          </w:r>
          <w:r>
            <w:rPr>
              <w:rStyle w:val="Nmerodepgina"/>
              <w:sz w:val="18"/>
              <w:szCs w:val="18"/>
            </w:rPr>
            <w:instrText xml:space="preserve"> PAGE </w:instrText>
          </w:r>
          <w:r>
            <w:rPr>
              <w:rStyle w:val="Nmerodepgina"/>
              <w:sz w:val="18"/>
              <w:szCs w:val="18"/>
            </w:rPr>
            <w:fldChar w:fldCharType="separate"/>
          </w:r>
          <w:r>
            <w:rPr>
              <w:rStyle w:val="Nmerodepgina"/>
              <w:sz w:val="18"/>
              <w:szCs w:val="18"/>
            </w:rPr>
            <w:t>5</w:t>
          </w:r>
          <w:r>
            <w:rPr>
              <w:rStyle w:val="Nmerodepgina"/>
              <w:sz w:val="18"/>
              <w:szCs w:val="18"/>
            </w:rPr>
            <w:fldChar w:fldCharType="end"/>
          </w:r>
          <w:r>
            <w:rPr>
              <w:rStyle w:val="Nmerodepgina"/>
              <w:sz w:val="18"/>
              <w:szCs w:val="18"/>
            </w:rPr>
            <w:t xml:space="preserve"> de </w:t>
          </w:r>
          <w:r>
            <w:rPr>
              <w:rStyle w:val="Nmerodepgina"/>
              <w:sz w:val="18"/>
              <w:szCs w:val="18"/>
            </w:rPr>
            <w:fldChar w:fldCharType="begin"/>
          </w:r>
          <w:r>
            <w:rPr>
              <w:rStyle w:val="Nmerodepgina"/>
              <w:sz w:val="18"/>
              <w:szCs w:val="18"/>
            </w:rPr>
            <w:instrText xml:space="preserve"> NUMPAGES \* ARABIC </w:instrText>
          </w:r>
          <w:r>
            <w:rPr>
              <w:rStyle w:val="Nmerodepgina"/>
              <w:sz w:val="18"/>
              <w:szCs w:val="18"/>
            </w:rPr>
            <w:fldChar w:fldCharType="separate"/>
          </w:r>
          <w:r>
            <w:rPr>
              <w:rStyle w:val="Nmerodepgina"/>
              <w:sz w:val="18"/>
              <w:szCs w:val="18"/>
            </w:rPr>
            <w:t>5</w:t>
          </w:r>
          <w:r>
            <w:rPr>
              <w:rStyle w:val="Nmerodepgina"/>
              <w:sz w:val="18"/>
              <w:szCs w:val="18"/>
            </w:rPr>
            <w:fldChar w:fldCharType="end"/>
          </w:r>
        </w:p>
      </w:tc>
    </w:tr>
    <w:tr w:rsidR="009B0B8F" w14:paraId="13DB12CC" w14:textId="77777777">
      <w:trPr>
        <w:cantSplit/>
      </w:trPr>
      <w:tc>
        <w:tcPr>
          <w:tcW w:w="10320" w:type="dxa"/>
          <w:gridSpan w:val="3"/>
          <w:tcBorders>
            <w:top w:val="single" w:sz="4" w:space="0" w:color="000000"/>
            <w:left w:val="single" w:sz="4" w:space="0" w:color="000000"/>
            <w:bottom w:val="single" w:sz="4" w:space="0" w:color="000000"/>
            <w:right w:val="single" w:sz="4" w:space="0" w:color="000000"/>
          </w:tcBorders>
          <w:vAlign w:val="center"/>
        </w:tcPr>
        <w:p w14:paraId="4E865E43" w14:textId="652D19E7" w:rsidR="009B0B8F" w:rsidRDefault="00000000">
          <w:pPr>
            <w:spacing w:before="0" w:after="0"/>
            <w:jc w:val="center"/>
            <w:rPr>
              <w:b/>
              <w:szCs w:val="18"/>
              <w:lang w:val="es-ES"/>
            </w:rPr>
          </w:pPr>
          <w:r>
            <w:rPr>
              <w:b/>
            </w:rPr>
            <w:t xml:space="preserve">Informe de </w:t>
          </w:r>
          <w:r w:rsidR="00B447D4" w:rsidRPr="00B447D4">
            <w:rPr>
              <w:b/>
            </w:rPr>
            <w:t xml:space="preserve">Experiencia </w:t>
          </w:r>
          <w:r w:rsidRPr="00B447D4">
            <w:rPr>
              <w:b/>
            </w:rPr>
            <w:t xml:space="preserve"> - Incorporación Mujer</w:t>
          </w:r>
          <w:r w:rsidR="00B447D4" w:rsidRPr="00B447D4">
            <w:rPr>
              <w:b/>
            </w:rPr>
            <w:t xml:space="preserve"> al escalafón </w:t>
          </w:r>
          <w:r w:rsidRPr="00B447D4">
            <w:rPr>
              <w:b/>
            </w:rPr>
            <w:t xml:space="preserve"> IM</w:t>
          </w:r>
        </w:p>
      </w:tc>
    </w:tr>
  </w:tbl>
  <w:p w14:paraId="566CE982" w14:textId="77777777" w:rsidR="009B0B8F" w:rsidRDefault="009B0B8F">
    <w:pPr>
      <w:spacing w:before="0"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059FB"/>
    <w:multiLevelType w:val="multilevel"/>
    <w:tmpl w:val="9BB0216C"/>
    <w:lvl w:ilvl="0">
      <w:start w:val="1"/>
      <w:numFmt w:val="decimal"/>
      <w:pStyle w:val="Ttulo1"/>
      <w:lvlText w:val="%1"/>
      <w:lvlJc w:val="left"/>
      <w:pPr>
        <w:tabs>
          <w:tab w:val="num" w:pos="598"/>
        </w:tabs>
        <w:ind w:left="598" w:hanging="425"/>
      </w:pPr>
      <w:rPr>
        <w:rFonts w:ascii="Arial" w:hAnsi="Arial" w:cs="Arial"/>
        <w:b/>
        <w:i w:val="0"/>
        <w:sz w:val="20"/>
        <w:szCs w:val="20"/>
      </w:rPr>
    </w:lvl>
    <w:lvl w:ilvl="1">
      <w:start w:val="1"/>
      <w:numFmt w:val="decimal"/>
      <w:pStyle w:val="Ttulo2"/>
      <w:lvlText w:val="%1.%2"/>
      <w:lvlJc w:val="left"/>
      <w:pPr>
        <w:tabs>
          <w:tab w:val="num" w:pos="1344"/>
        </w:tabs>
        <w:ind w:left="1344" w:hanging="864"/>
      </w:pPr>
      <w:rPr>
        <w:rFonts w:ascii="Arial" w:hAnsi="Arial" w:cs="Arial"/>
        <w:b/>
        <w:i w:val="0"/>
        <w:sz w:val="20"/>
        <w:szCs w:val="20"/>
      </w:rPr>
    </w:lvl>
    <w:lvl w:ilvl="2">
      <w:start w:val="1"/>
      <w:numFmt w:val="decimal"/>
      <w:lvlText w:val="%1.%2.%3"/>
      <w:lvlJc w:val="left"/>
      <w:pPr>
        <w:tabs>
          <w:tab w:val="num" w:pos="1281"/>
        </w:tabs>
        <w:ind w:left="740" w:hanging="164"/>
      </w:pPr>
      <w:rPr>
        <w:rFonts w:ascii="Arial" w:hAnsi="Arial" w:cs="Arial"/>
        <w:b w:val="0"/>
        <w:i w:val="0"/>
        <w:sz w:val="20"/>
        <w:szCs w:val="20"/>
      </w:rPr>
    </w:lvl>
    <w:lvl w:ilvl="3">
      <w:start w:val="1"/>
      <w:numFmt w:val="decimal"/>
      <w:pStyle w:val="Ttulo4"/>
      <w:lvlText w:val="%1.%2.%3.%4"/>
      <w:lvlJc w:val="left"/>
      <w:pPr>
        <w:tabs>
          <w:tab w:val="num" w:pos="1757"/>
        </w:tabs>
        <w:ind w:left="1757" w:hanging="864"/>
      </w:pPr>
    </w:lvl>
    <w:lvl w:ilvl="4">
      <w:start w:val="1"/>
      <w:numFmt w:val="decimal"/>
      <w:pStyle w:val="Ttulo5"/>
      <w:lvlText w:val="%1.%2.%3.%4.%5"/>
      <w:lvlJc w:val="left"/>
      <w:pPr>
        <w:tabs>
          <w:tab w:val="num" w:pos="1901"/>
        </w:tabs>
        <w:ind w:left="1901" w:hanging="1008"/>
      </w:pPr>
    </w:lvl>
    <w:lvl w:ilvl="5">
      <w:start w:val="1"/>
      <w:numFmt w:val="decimal"/>
      <w:pStyle w:val="Ttulo6"/>
      <w:lvlText w:val="%1.%2.%3.%4.%5.%6"/>
      <w:lvlJc w:val="left"/>
      <w:pPr>
        <w:tabs>
          <w:tab w:val="num" w:pos="2045"/>
        </w:tabs>
        <w:ind w:left="2045" w:hanging="1152"/>
      </w:pPr>
    </w:lvl>
    <w:lvl w:ilvl="6">
      <w:start w:val="1"/>
      <w:numFmt w:val="decimal"/>
      <w:pStyle w:val="Ttulo7"/>
      <w:lvlText w:val="%1.%2.%3.%4.%5.%6.%7"/>
      <w:lvlJc w:val="left"/>
      <w:pPr>
        <w:tabs>
          <w:tab w:val="num" w:pos="2189"/>
        </w:tabs>
        <w:ind w:left="2189" w:hanging="1296"/>
      </w:pPr>
    </w:lvl>
    <w:lvl w:ilvl="7">
      <w:start w:val="1"/>
      <w:numFmt w:val="decimal"/>
      <w:pStyle w:val="Ttulo8"/>
      <w:lvlText w:val="%1.%2.%3.%4.%5.%6.%7.%8"/>
      <w:lvlJc w:val="left"/>
      <w:pPr>
        <w:tabs>
          <w:tab w:val="num" w:pos="2333"/>
        </w:tabs>
        <w:ind w:left="2333" w:hanging="1440"/>
      </w:pPr>
    </w:lvl>
    <w:lvl w:ilvl="8">
      <w:start w:val="1"/>
      <w:numFmt w:val="decimal"/>
      <w:pStyle w:val="Ttulo9"/>
      <w:lvlText w:val="%1.%2.%3.%4.%5.%6.%7.%8.%9"/>
      <w:lvlJc w:val="left"/>
      <w:pPr>
        <w:tabs>
          <w:tab w:val="num" w:pos="2477"/>
        </w:tabs>
        <w:ind w:left="2477" w:hanging="1584"/>
      </w:pPr>
    </w:lvl>
  </w:abstractNum>
  <w:abstractNum w:abstractNumId="1" w15:restartNumberingAfterBreak="0">
    <w:nsid w:val="35A66A22"/>
    <w:multiLevelType w:val="multilevel"/>
    <w:tmpl w:val="D7C2DE24"/>
    <w:lvl w:ilvl="0">
      <w:start w:val="1"/>
      <w:numFmt w:val="lowerLetter"/>
      <w:lvlText w:val="%1)"/>
      <w:lvlJc w:val="left"/>
      <w:pPr>
        <w:tabs>
          <w:tab w:val="num" w:pos="0"/>
        </w:tabs>
        <w:ind w:left="108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C443ABB"/>
    <w:multiLevelType w:val="multilevel"/>
    <w:tmpl w:val="D15423EA"/>
    <w:lvl w:ilvl="0">
      <w:start w:val="1"/>
      <w:numFmt w:val="decimal"/>
      <w:pStyle w:val="Titulo5"/>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9B72CDB"/>
    <w:multiLevelType w:val="multilevel"/>
    <w:tmpl w:val="EEB66276"/>
    <w:lvl w:ilvl="0">
      <w:start w:val="1"/>
      <w:numFmt w:val="decimal"/>
      <w:pStyle w:val="Titulo6"/>
      <w:lvlText w:val="%1"/>
      <w:lvlJc w:val="left"/>
      <w:pPr>
        <w:tabs>
          <w:tab w:val="num" w:pos="785"/>
        </w:tabs>
        <w:ind w:left="785" w:hanging="425"/>
      </w:pPr>
      <w:rPr>
        <w:rFonts w:ascii="Arial" w:hAnsi="Arial" w:cs="Arial"/>
        <w:b/>
        <w:i w:val="0"/>
        <w:sz w:val="20"/>
        <w:szCs w:val="20"/>
      </w:rPr>
    </w:lvl>
    <w:lvl w:ilvl="1">
      <w:start w:val="1"/>
      <w:numFmt w:val="decimal"/>
      <w:lvlText w:val="%1.%2"/>
      <w:lvlJc w:val="left"/>
      <w:pPr>
        <w:tabs>
          <w:tab w:val="num" w:pos="1627"/>
        </w:tabs>
        <w:ind w:left="1627" w:hanging="907"/>
      </w:pPr>
      <w:rPr>
        <w:rFonts w:ascii="Arial" w:hAnsi="Arial" w:cs="Arial"/>
        <w:b/>
        <w:i w:val="0"/>
        <w:sz w:val="20"/>
        <w:szCs w:val="20"/>
      </w:rPr>
    </w:lvl>
    <w:lvl w:ilvl="2">
      <w:start w:val="1"/>
      <w:numFmt w:val="decimal"/>
      <w:lvlText w:val="%1.%2.%3"/>
      <w:lvlJc w:val="left"/>
      <w:pPr>
        <w:tabs>
          <w:tab w:val="num" w:pos="1344"/>
        </w:tabs>
        <w:ind w:left="927" w:hanging="303"/>
      </w:pPr>
      <w:rPr>
        <w:rFonts w:ascii="Arial" w:hAnsi="Arial" w:cs="Arial"/>
        <w:b/>
        <w:i w:val="0"/>
        <w:sz w:val="20"/>
        <w:szCs w:val="20"/>
      </w:rPr>
    </w:lvl>
    <w:lvl w:ilvl="3">
      <w:start w:val="1"/>
      <w:numFmt w:val="decimal"/>
      <w:lvlText w:val="%1.%2.%3.%4"/>
      <w:lvlJc w:val="left"/>
      <w:pPr>
        <w:tabs>
          <w:tab w:val="num" w:pos="1944"/>
        </w:tabs>
        <w:ind w:left="1944" w:hanging="864"/>
      </w:pPr>
    </w:lvl>
    <w:lvl w:ilvl="4">
      <w:start w:val="1"/>
      <w:numFmt w:val="decimal"/>
      <w:lvlText w:val="%1.%2.%3.%4.%5"/>
      <w:lvlJc w:val="left"/>
      <w:pPr>
        <w:tabs>
          <w:tab w:val="num" w:pos="2088"/>
        </w:tabs>
        <w:ind w:left="2088" w:hanging="1008"/>
      </w:pPr>
    </w:lvl>
    <w:lvl w:ilvl="5">
      <w:start w:val="1"/>
      <w:numFmt w:val="decimal"/>
      <w:lvlText w:val="%1.%2.%3.%4.%5.%6"/>
      <w:lvlJc w:val="left"/>
      <w:pPr>
        <w:tabs>
          <w:tab w:val="num" w:pos="2232"/>
        </w:tabs>
        <w:ind w:left="2232" w:hanging="1152"/>
      </w:pPr>
    </w:lvl>
    <w:lvl w:ilvl="6">
      <w:start w:val="1"/>
      <w:numFmt w:val="decimal"/>
      <w:lvlText w:val="%1.%2.%3.%4.%5.%6.%7"/>
      <w:lvlJc w:val="left"/>
      <w:pPr>
        <w:tabs>
          <w:tab w:val="num" w:pos="2376"/>
        </w:tabs>
        <w:ind w:left="2376" w:hanging="1296"/>
      </w:pPr>
    </w:lvl>
    <w:lvl w:ilvl="7">
      <w:start w:val="1"/>
      <w:numFmt w:val="decimal"/>
      <w:lvlText w:val="%1.%2.%3.%4.%5.%6.%7.%8"/>
      <w:lvlJc w:val="left"/>
      <w:pPr>
        <w:tabs>
          <w:tab w:val="num" w:pos="2520"/>
        </w:tabs>
        <w:ind w:left="2520" w:hanging="1440"/>
      </w:pPr>
    </w:lvl>
    <w:lvl w:ilvl="8">
      <w:start w:val="1"/>
      <w:numFmt w:val="decimal"/>
      <w:lvlText w:val="%1.%2.%3.%4.%5.%6.%7.%8.%9"/>
      <w:lvlJc w:val="left"/>
      <w:pPr>
        <w:tabs>
          <w:tab w:val="num" w:pos="2664"/>
        </w:tabs>
        <w:ind w:left="2664" w:hanging="1584"/>
      </w:pPr>
    </w:lvl>
  </w:abstractNum>
  <w:abstractNum w:abstractNumId="4" w15:restartNumberingAfterBreak="0">
    <w:nsid w:val="5555688E"/>
    <w:multiLevelType w:val="multilevel"/>
    <w:tmpl w:val="9C6438CE"/>
    <w:lvl w:ilvl="0">
      <w:start w:val="1"/>
      <w:numFmt w:val="bullet"/>
      <w:lvlText w:val=""/>
      <w:lvlJc w:val="left"/>
      <w:pPr>
        <w:tabs>
          <w:tab w:val="num" w:pos="72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8766F77"/>
    <w:multiLevelType w:val="multilevel"/>
    <w:tmpl w:val="F4B2E8F4"/>
    <w:lvl w:ilvl="0">
      <w:start w:val="1"/>
      <w:numFmt w:val="lowerLetter"/>
      <w:pStyle w:val="Lista1erNivel"/>
      <w:lvlText w:val="%1)"/>
      <w:lvlJc w:val="left"/>
      <w:pPr>
        <w:tabs>
          <w:tab w:val="num" w:pos="737"/>
        </w:tabs>
        <w:ind w:left="737" w:hanging="34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AB93EB1"/>
    <w:multiLevelType w:val="multilevel"/>
    <w:tmpl w:val="BE1CED06"/>
    <w:lvl w:ilvl="0">
      <w:start w:val="1"/>
      <w:numFmt w:val="decimal"/>
      <w:lvlText w:val="%1."/>
      <w:lvlJc w:val="left"/>
      <w:pPr>
        <w:tabs>
          <w:tab w:val="num" w:pos="360"/>
        </w:tabs>
        <w:ind w:left="340" w:hanging="34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DE32174"/>
    <w:multiLevelType w:val="multilevel"/>
    <w:tmpl w:val="30E07C14"/>
    <w:lvl w:ilvl="0">
      <w:start w:val="1"/>
      <w:numFmt w:val="lowerLetter"/>
      <w:pStyle w:val="Titulo4"/>
      <w:lvlText w:val="%1)"/>
      <w:lvlJc w:val="left"/>
      <w:pPr>
        <w:tabs>
          <w:tab w:val="num" w:pos="936"/>
        </w:tabs>
        <w:ind w:left="936" w:hanging="360"/>
      </w:pPr>
      <w:rPr>
        <w:b w:val="0"/>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17A4A92"/>
    <w:multiLevelType w:val="multilevel"/>
    <w:tmpl w:val="25EE6914"/>
    <w:lvl w:ilvl="0">
      <w:start w:val="1"/>
      <w:numFmt w:val="lowerLetter"/>
      <w:pStyle w:val="Lista4toNivel"/>
      <w:lvlText w:val="%1)"/>
      <w:lvlJc w:val="left"/>
      <w:pPr>
        <w:tabs>
          <w:tab w:val="num" w:pos="1758"/>
        </w:tabs>
        <w:ind w:left="1758" w:hanging="454"/>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916743352">
    <w:abstractNumId w:val="0"/>
  </w:num>
  <w:num w:numId="2" w16cid:durableId="1455754269">
    <w:abstractNumId w:val="3"/>
  </w:num>
  <w:num w:numId="3" w16cid:durableId="1477530097">
    <w:abstractNumId w:val="1"/>
  </w:num>
  <w:num w:numId="4" w16cid:durableId="248739509">
    <w:abstractNumId w:val="4"/>
  </w:num>
  <w:num w:numId="5" w16cid:durableId="1699774265">
    <w:abstractNumId w:val="7"/>
  </w:num>
  <w:num w:numId="6" w16cid:durableId="702942611">
    <w:abstractNumId w:val="8"/>
  </w:num>
  <w:num w:numId="7" w16cid:durableId="1096907317">
    <w:abstractNumId w:val="5"/>
  </w:num>
  <w:num w:numId="8" w16cid:durableId="609821337">
    <w:abstractNumId w:val="2"/>
  </w:num>
  <w:num w:numId="9" w16cid:durableId="768769567">
    <w:abstractNumId w:val="6"/>
  </w:num>
  <w:num w:numId="10" w16cid:durableId="209554308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8"/>
  <w:autoHyphenation/>
  <w:hyphenationZone w:val="0"/>
  <w:characterSpacingControl w:val="doNotCompress"/>
  <w:footnotePr>
    <w:footnote w:id="-1"/>
    <w:footnote w:id="0"/>
  </w:footnotePr>
  <w:endnotePr>
    <w:endnote w:id="-1"/>
    <w:endnote w:id="0"/>
  </w:endnotePr>
  <w:compat>
    <w:doNotBreakWrappedTab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B8F"/>
    <w:rsid w:val="008B6ED8"/>
    <w:rsid w:val="00957AA2"/>
    <w:rsid w:val="009B0B8F"/>
    <w:rsid w:val="00B447D4"/>
    <w:rsid w:val="00D8466D"/>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ecimalSymbol w:val="."/>
  <w:listSeparator w:val=","/>
  <w14:docId w14:val="5A5477CF"/>
  <w15:docId w15:val="{889CCA25-AB7C-8D4E-BA72-94E272A9E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Lohit Devanagari"/>
        <w:lang w:val="es-U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before="120" w:after="120"/>
    </w:pPr>
    <w:rPr>
      <w:rFonts w:ascii="Arial" w:eastAsia="Times New Roman" w:hAnsi="Arial" w:cs="Arial"/>
      <w:bCs/>
      <w:lang w:val="es-CL" w:eastAsia="zh-CN"/>
    </w:rPr>
  </w:style>
  <w:style w:type="paragraph" w:styleId="Ttulo1">
    <w:name w:val="heading 1"/>
    <w:basedOn w:val="Normal"/>
    <w:next w:val="Normal"/>
    <w:uiPriority w:val="9"/>
    <w:qFormat/>
    <w:pPr>
      <w:widowControl w:val="0"/>
      <w:numPr>
        <w:numId w:val="1"/>
      </w:numPr>
      <w:spacing w:after="60"/>
      <w:jc w:val="both"/>
      <w:outlineLvl w:val="0"/>
    </w:pPr>
    <w:rPr>
      <w:b/>
      <w:bCs w:val="0"/>
      <w:spacing w:val="-2"/>
      <w:lang w:val="es-ES"/>
    </w:rPr>
  </w:style>
  <w:style w:type="paragraph" w:styleId="Ttulo2">
    <w:name w:val="heading 2"/>
    <w:basedOn w:val="Normal"/>
    <w:next w:val="Normal"/>
    <w:uiPriority w:val="9"/>
    <w:semiHidden/>
    <w:unhideWhenUsed/>
    <w:qFormat/>
    <w:pPr>
      <w:widowControl w:val="0"/>
      <w:numPr>
        <w:ilvl w:val="1"/>
        <w:numId w:val="1"/>
      </w:numPr>
      <w:tabs>
        <w:tab w:val="left" w:pos="960"/>
      </w:tabs>
      <w:spacing w:after="60"/>
      <w:ind w:left="960" w:hanging="720"/>
      <w:jc w:val="both"/>
      <w:outlineLvl w:val="1"/>
    </w:pPr>
    <w:rPr>
      <w:bCs w:val="0"/>
      <w:iCs/>
      <w:sz w:val="22"/>
      <w:szCs w:val="28"/>
      <w:lang w:val="es-ES"/>
    </w:rPr>
  </w:style>
  <w:style w:type="paragraph" w:styleId="Ttulo3">
    <w:name w:val="heading 3"/>
    <w:basedOn w:val="Ttulo2"/>
    <w:next w:val="Normal"/>
    <w:uiPriority w:val="9"/>
    <w:semiHidden/>
    <w:unhideWhenUsed/>
    <w:qFormat/>
    <w:pPr>
      <w:numPr>
        <w:ilvl w:val="0"/>
        <w:numId w:val="0"/>
      </w:numPr>
      <w:ind w:left="960" w:hanging="720"/>
      <w:outlineLvl w:val="2"/>
    </w:pPr>
    <w:rPr>
      <w:szCs w:val="26"/>
    </w:rPr>
  </w:style>
  <w:style w:type="paragraph" w:styleId="Ttulo4">
    <w:name w:val="heading 4"/>
    <w:basedOn w:val="Normal"/>
    <w:next w:val="Normal"/>
    <w:uiPriority w:val="9"/>
    <w:semiHidden/>
    <w:unhideWhenUsed/>
    <w:qFormat/>
    <w:pPr>
      <w:keepNext/>
      <w:numPr>
        <w:ilvl w:val="3"/>
        <w:numId w:val="1"/>
      </w:numPr>
      <w:spacing w:before="240" w:after="60"/>
      <w:outlineLvl w:val="3"/>
    </w:pPr>
    <w:rPr>
      <w:rFonts w:ascii="Times New Roman" w:hAnsi="Times New Roman" w:cs="Times New Roman"/>
      <w:bCs w:val="0"/>
      <w:sz w:val="28"/>
      <w:szCs w:val="28"/>
    </w:rPr>
  </w:style>
  <w:style w:type="paragraph" w:styleId="Ttulo5">
    <w:name w:val="heading 5"/>
    <w:basedOn w:val="Normal"/>
    <w:next w:val="Normal"/>
    <w:uiPriority w:val="9"/>
    <w:semiHidden/>
    <w:unhideWhenUsed/>
    <w:qFormat/>
    <w:pPr>
      <w:numPr>
        <w:ilvl w:val="4"/>
        <w:numId w:val="1"/>
      </w:numPr>
      <w:spacing w:before="240" w:after="60"/>
      <w:outlineLvl w:val="4"/>
    </w:pPr>
    <w:rPr>
      <w:b/>
      <w:i/>
      <w:iCs/>
      <w:sz w:val="26"/>
      <w:szCs w:val="26"/>
    </w:rPr>
  </w:style>
  <w:style w:type="paragraph" w:styleId="Ttulo6">
    <w:name w:val="heading 6"/>
    <w:basedOn w:val="Normal"/>
    <w:next w:val="Normal"/>
    <w:uiPriority w:val="9"/>
    <w:semiHidden/>
    <w:unhideWhenUsed/>
    <w:qFormat/>
    <w:pPr>
      <w:numPr>
        <w:ilvl w:val="5"/>
        <w:numId w:val="1"/>
      </w:numPr>
      <w:spacing w:before="240" w:after="60"/>
      <w:outlineLvl w:val="5"/>
    </w:pPr>
    <w:rPr>
      <w:rFonts w:ascii="Times New Roman" w:hAnsi="Times New Roman" w:cs="Times New Roman"/>
      <w:b/>
      <w:bCs w:val="0"/>
      <w:sz w:val="22"/>
      <w:szCs w:val="22"/>
    </w:rPr>
  </w:style>
  <w:style w:type="paragraph" w:styleId="Ttulo7">
    <w:name w:val="heading 7"/>
    <w:basedOn w:val="Normal"/>
    <w:next w:val="Normal"/>
    <w:qFormat/>
    <w:pPr>
      <w:numPr>
        <w:ilvl w:val="6"/>
        <w:numId w:val="1"/>
      </w:numPr>
      <w:spacing w:before="240" w:after="60"/>
      <w:outlineLvl w:val="6"/>
    </w:pPr>
    <w:rPr>
      <w:rFonts w:ascii="Times New Roman" w:hAnsi="Times New Roman" w:cs="Times New Roman"/>
    </w:rPr>
  </w:style>
  <w:style w:type="paragraph" w:styleId="Ttulo8">
    <w:name w:val="heading 8"/>
    <w:basedOn w:val="Normal"/>
    <w:next w:val="Normal"/>
    <w:qFormat/>
    <w:pPr>
      <w:numPr>
        <w:ilvl w:val="7"/>
        <w:numId w:val="1"/>
      </w:numPr>
      <w:spacing w:before="240" w:after="60"/>
      <w:outlineLvl w:val="7"/>
    </w:pPr>
    <w:rPr>
      <w:rFonts w:ascii="Times New Roman" w:hAnsi="Times New Roman" w:cs="Times New Roman"/>
      <w:i/>
      <w:iCs/>
    </w:rPr>
  </w:style>
  <w:style w:type="paragraph" w:styleId="Ttulo9">
    <w:name w:val="heading 9"/>
    <w:basedOn w:val="Normal"/>
    <w:next w:val="Normal"/>
    <w:qFormat/>
    <w:pPr>
      <w:numPr>
        <w:ilvl w:val="8"/>
        <w:numId w:val="1"/>
      </w:numPr>
      <w:spacing w:before="240" w:after="60"/>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Arial" w:hAnsi="Arial" w:cs="Arial"/>
      <w:b/>
      <w:i w:val="0"/>
      <w:sz w:val="20"/>
      <w:szCs w:val="20"/>
    </w:rPr>
  </w:style>
  <w:style w:type="character" w:customStyle="1" w:styleId="WW8Num1z3">
    <w:name w:val="WW8Num1z3"/>
    <w:qFormat/>
  </w:style>
  <w:style w:type="character" w:customStyle="1" w:styleId="WW8Num2z0">
    <w:name w:val="WW8Num2z0"/>
    <w:qFormat/>
    <w:rPr>
      <w:u w:val="none"/>
    </w:rPr>
  </w:style>
  <w:style w:type="character" w:customStyle="1" w:styleId="WW8Num3z0">
    <w:name w:val="WW8Num3z0"/>
    <w:qFormat/>
    <w:rPr>
      <w:rFonts w:ascii="Symbol" w:hAnsi="Symbol" w:cs="Symbo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4z0">
    <w:name w:val="WW8Num4z0"/>
    <w:qFormat/>
    <w:rPr>
      <w:b w:val="0"/>
      <w:i w:val="0"/>
    </w:rPr>
  </w:style>
  <w:style w:type="character" w:customStyle="1" w:styleId="WW8Num5z0">
    <w:name w:val="WW8Num5z0"/>
    <w:qFormat/>
  </w:style>
  <w:style w:type="character" w:customStyle="1" w:styleId="WW8Num6z0">
    <w:name w:val="WW8Num6z0"/>
    <w:qFormat/>
    <w:rPr>
      <w:rFonts w:ascii="Arial" w:hAnsi="Arial" w:cs="Arial"/>
      <w:b/>
      <w:i w:val="0"/>
      <w:sz w:val="20"/>
      <w:szCs w:val="20"/>
    </w:rPr>
  </w:style>
  <w:style w:type="character" w:customStyle="1" w:styleId="WW8Num6z2">
    <w:name w:val="WW8Num6z2"/>
    <w:qFormat/>
    <w:rPr>
      <w:rFonts w:ascii="Arial" w:hAnsi="Arial" w:cs="Arial"/>
      <w:b w:val="0"/>
      <w:i w:val="0"/>
      <w:sz w:val="20"/>
      <w:szCs w:val="20"/>
    </w:rPr>
  </w:style>
  <w:style w:type="character" w:customStyle="1" w:styleId="WW8Num6z3">
    <w:name w:val="WW8Num6z3"/>
    <w:qFormat/>
  </w:style>
  <w:style w:type="character" w:customStyle="1" w:styleId="WW8Num7z0">
    <w:name w:val="WW8Num7z0"/>
    <w:qFormat/>
    <w:rPr>
      <w:rFonts w:ascii="Arial" w:hAnsi="Arial" w:cs="Arial"/>
      <w:b/>
      <w:i w:val="0"/>
      <w:sz w:val="20"/>
      <w:szCs w:val="20"/>
    </w:rPr>
  </w:style>
  <w:style w:type="character" w:customStyle="1" w:styleId="WW8Num7z2">
    <w:name w:val="WW8Num7z2"/>
    <w:qFormat/>
    <w:rPr>
      <w:rFonts w:ascii="Arial" w:hAnsi="Arial" w:cs="Arial"/>
      <w:b w:val="0"/>
      <w:i w:val="0"/>
      <w:sz w:val="20"/>
      <w:szCs w:val="20"/>
    </w:rPr>
  </w:style>
  <w:style w:type="character" w:customStyle="1" w:styleId="WW8Num7z3">
    <w:name w:val="WW8Num7z3"/>
    <w:qFormat/>
  </w:style>
  <w:style w:type="character" w:customStyle="1" w:styleId="WW8Num8z0">
    <w:name w:val="WW8Num8z0"/>
    <w:qFormat/>
    <w:rPr>
      <w:rFonts w:ascii="Symbol" w:hAnsi="Symbol" w:cs="Symbol"/>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9z0">
    <w:name w:val="WW8Num9z0"/>
    <w:qFormat/>
    <w:rPr>
      <w:rFonts w:ascii="Arial" w:hAnsi="Arial" w:cs="Arial"/>
      <w:b/>
      <w:i w:val="0"/>
      <w:sz w:val="20"/>
      <w:szCs w:val="20"/>
    </w:rPr>
  </w:style>
  <w:style w:type="character" w:customStyle="1" w:styleId="WW8Num9z2">
    <w:name w:val="WW8Num9z2"/>
    <w:qFormat/>
    <w:rPr>
      <w:rFonts w:ascii="Arial" w:hAnsi="Arial" w:cs="Arial"/>
      <w:b w:val="0"/>
      <w:i w:val="0"/>
      <w:sz w:val="20"/>
      <w:szCs w:val="20"/>
    </w:rPr>
  </w:style>
  <w:style w:type="character" w:customStyle="1" w:styleId="WW8Num9z3">
    <w:name w:val="WW8Num9z3"/>
    <w:qFormat/>
  </w:style>
  <w:style w:type="character" w:customStyle="1" w:styleId="WW8Num10z0">
    <w:name w:val="WW8Num10z0"/>
    <w:qFormat/>
  </w:style>
  <w:style w:type="character" w:customStyle="1" w:styleId="WW8Num11z0">
    <w:name w:val="WW8Num11z0"/>
    <w:qFormat/>
  </w:style>
  <w:style w:type="character" w:customStyle="1" w:styleId="WW8Num12z0">
    <w:name w:val="WW8Num12z0"/>
    <w:qFormat/>
  </w:style>
  <w:style w:type="character" w:customStyle="1" w:styleId="WW8Num13z0">
    <w:name w:val="WW8Num13z0"/>
    <w:qFormat/>
  </w:style>
  <w:style w:type="character" w:styleId="Nmerodepgina">
    <w:name w:val="page number"/>
    <w:basedOn w:val="Fuentedeprrafopredeter"/>
  </w:style>
  <w:style w:type="character" w:styleId="Hipervnculo">
    <w:name w:val="Hyperlink"/>
    <w:rPr>
      <w:color w:val="0000FF"/>
      <w:u w:val="single"/>
    </w:rPr>
  </w:style>
  <w:style w:type="character" w:customStyle="1" w:styleId="FootnoteCharacters">
    <w:name w:val="Footnote Characters"/>
    <w:qFormat/>
    <w:rPr>
      <w:vertAlign w:val="superscript"/>
    </w:rPr>
  </w:style>
  <w:style w:type="character" w:styleId="Refdecomentario">
    <w:name w:val="annotation reference"/>
    <w:qFormat/>
    <w:rPr>
      <w:sz w:val="16"/>
      <w:szCs w:val="16"/>
    </w:rPr>
  </w:style>
  <w:style w:type="paragraph" w:customStyle="1" w:styleId="Heading">
    <w:name w:val="Heading"/>
    <w:basedOn w:val="Normal"/>
    <w:next w:val="Textoindependiente"/>
    <w:qFormat/>
    <w:pPr>
      <w:keepNext/>
      <w:spacing w:before="240"/>
    </w:pPr>
    <w:rPr>
      <w:rFonts w:ascii="Liberation Sans" w:eastAsia="Noto Sans CJK SC" w:hAnsi="Liberation Sans" w:cs="Lohit Devanagari"/>
      <w:sz w:val="28"/>
      <w:szCs w:val="28"/>
    </w:rPr>
  </w:style>
  <w:style w:type="paragraph" w:styleId="Textoindependiente">
    <w:name w:val="Body Text"/>
    <w:basedOn w:val="Normal"/>
    <w:pPr>
      <w:spacing w:before="0" w:after="140" w:line="276" w:lineRule="auto"/>
    </w:pPr>
  </w:style>
  <w:style w:type="paragraph" w:styleId="Lista">
    <w:name w:val="List"/>
    <w:basedOn w:val="Textoindependiente"/>
    <w:rPr>
      <w:rFonts w:cs="Lohit Devanagari"/>
    </w:rPr>
  </w:style>
  <w:style w:type="paragraph" w:styleId="Descripcin">
    <w:name w:val="caption"/>
    <w:basedOn w:val="Normal"/>
    <w:qFormat/>
    <w:pPr>
      <w:suppressLineNumbers/>
    </w:pPr>
    <w:rPr>
      <w:rFonts w:cs="Lohit Devanagari"/>
      <w:i/>
      <w:iCs/>
      <w:sz w:val="24"/>
      <w:szCs w:val="24"/>
    </w:rPr>
  </w:style>
  <w:style w:type="paragraph" w:customStyle="1" w:styleId="Index">
    <w:name w:val="Index"/>
    <w:basedOn w:val="Normal"/>
    <w:qFormat/>
    <w:pPr>
      <w:suppressLineNumbers/>
    </w:pPr>
    <w:rPr>
      <w:rFonts w:cs="Lohit Devanagari"/>
    </w:rPr>
  </w:style>
  <w:style w:type="paragraph" w:customStyle="1" w:styleId="HeaderandFooter">
    <w:name w:val="Header and Footer"/>
    <w:basedOn w:val="Normal"/>
    <w:qFormat/>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notapie">
    <w:name w:val="footnote text"/>
    <w:basedOn w:val="Normal"/>
  </w:style>
  <w:style w:type="paragraph" w:styleId="Textocomentario">
    <w:name w:val="annotation text"/>
    <w:basedOn w:val="Normal"/>
    <w:qFormat/>
  </w:style>
  <w:style w:type="paragraph" w:styleId="Textodeglobo">
    <w:name w:val="Balloon Text"/>
    <w:basedOn w:val="Normal"/>
    <w:qFormat/>
    <w:rPr>
      <w:rFonts w:ascii="Tahoma" w:hAnsi="Tahoma" w:cs="Tahoma"/>
      <w:sz w:val="16"/>
      <w:szCs w:val="16"/>
    </w:rPr>
  </w:style>
  <w:style w:type="paragraph" w:customStyle="1" w:styleId="Titulo4">
    <w:name w:val="Titulo 4"/>
    <w:basedOn w:val="Ttulo3"/>
    <w:next w:val="Normal"/>
    <w:qFormat/>
    <w:pPr>
      <w:numPr>
        <w:numId w:val="5"/>
      </w:numPr>
    </w:pPr>
  </w:style>
  <w:style w:type="paragraph" w:customStyle="1" w:styleId="titulo1texto">
    <w:name w:val="titulo 1 texto"/>
    <w:basedOn w:val="Normal"/>
    <w:next w:val="Ttulo1"/>
    <w:qFormat/>
    <w:pPr>
      <w:spacing w:before="0" w:after="0"/>
      <w:ind w:left="624"/>
    </w:pPr>
    <w:rPr>
      <w:lang w:val="es-ES"/>
    </w:rPr>
  </w:style>
  <w:style w:type="paragraph" w:customStyle="1" w:styleId="Titulo5">
    <w:name w:val="Titulo 5"/>
    <w:basedOn w:val="Normal"/>
    <w:next w:val="Normal"/>
    <w:qFormat/>
    <w:pPr>
      <w:numPr>
        <w:numId w:val="8"/>
      </w:numPr>
    </w:pPr>
  </w:style>
  <w:style w:type="paragraph" w:customStyle="1" w:styleId="Titulo6">
    <w:name w:val="Titulo 6"/>
    <w:basedOn w:val="Normal"/>
    <w:next w:val="Normal"/>
    <w:qFormat/>
    <w:pPr>
      <w:numPr>
        <w:numId w:val="2"/>
      </w:numPr>
    </w:pPr>
  </w:style>
  <w:style w:type="paragraph" w:customStyle="1" w:styleId="Parrafo1erNivel">
    <w:name w:val="Parrafo 1er Nivel"/>
    <w:basedOn w:val="Normal"/>
    <w:qFormat/>
    <w:pPr>
      <w:ind w:left="397"/>
      <w:jc w:val="both"/>
    </w:pPr>
    <w:rPr>
      <w:bCs w:val="0"/>
      <w:szCs w:val="24"/>
      <w:lang w:val="es-ES"/>
    </w:rPr>
  </w:style>
  <w:style w:type="paragraph" w:customStyle="1" w:styleId="Lista1erNivel">
    <w:name w:val="Lista 1er Nivel"/>
    <w:basedOn w:val="Normal"/>
    <w:qFormat/>
    <w:pPr>
      <w:numPr>
        <w:numId w:val="7"/>
      </w:numPr>
      <w:tabs>
        <w:tab w:val="left" w:pos="1800"/>
      </w:tabs>
      <w:spacing w:before="60" w:after="60"/>
      <w:jc w:val="both"/>
    </w:pPr>
    <w:rPr>
      <w:bCs w:val="0"/>
      <w:szCs w:val="24"/>
      <w:lang w:val="es-ES"/>
    </w:rPr>
  </w:style>
  <w:style w:type="paragraph" w:customStyle="1" w:styleId="Lista4toNivel">
    <w:name w:val="Lista 4to Nivel"/>
    <w:basedOn w:val="Normal"/>
    <w:qFormat/>
    <w:pPr>
      <w:numPr>
        <w:numId w:val="6"/>
      </w:numPr>
      <w:tabs>
        <w:tab w:val="left" w:pos="1800"/>
      </w:tabs>
      <w:spacing w:before="60" w:after="60"/>
      <w:jc w:val="both"/>
    </w:pPr>
    <w:rPr>
      <w:bCs w:val="0"/>
      <w:szCs w:val="24"/>
      <w:lang w:val="es-ES"/>
    </w:rPr>
  </w:style>
  <w:style w:type="paragraph" w:customStyle="1" w:styleId="PieFirmaCarta">
    <w:name w:val="Pie Firma Carta"/>
    <w:basedOn w:val="Normal"/>
    <w:qFormat/>
    <w:pPr>
      <w:widowControl w:val="0"/>
      <w:spacing w:before="0" w:after="0"/>
      <w:jc w:val="center"/>
    </w:pPr>
    <w:rPr>
      <w:b/>
      <w:bCs w:val="0"/>
      <w:caps/>
      <w:sz w:val="24"/>
      <w:szCs w:val="24"/>
      <w:lang w:val="en-US"/>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6</Pages>
  <Words>1530</Words>
  <Characters>8707</Characters>
  <Application>Microsoft Office Word</Application>
  <DocSecurity>0</DocSecurity>
  <Lines>241</Lines>
  <Paragraphs>129</Paragraphs>
  <ScaleCrop>false</ScaleCrop>
  <HeadingPairs>
    <vt:vector size="2" baseType="variant">
      <vt:variant>
        <vt:lpstr>Título</vt:lpstr>
      </vt:variant>
      <vt:variant>
        <vt:i4>1</vt:i4>
      </vt:variant>
    </vt:vector>
  </HeadingPairs>
  <TitlesOfParts>
    <vt:vector size="1" baseType="lpstr">
      <vt:lpstr>DECLARACION JURADA</vt:lpstr>
    </vt:vector>
  </TitlesOfParts>
  <Company/>
  <LinksUpToDate>false</LinksUpToDate>
  <CharactersWithSpaces>10108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dc:title>
  <dc:subject/>
  <dc:creator>DIPRIDA_PT545</dc:creator>
  <cp:keywords/>
  <dc:description/>
  <cp:lastModifiedBy>Friedrich von der Weth</cp:lastModifiedBy>
  <cp:revision>3</cp:revision>
  <cp:lastPrinted>2009-05-06T10:40:00Z</cp:lastPrinted>
  <dcterms:created xsi:type="dcterms:W3CDTF">2026-03-24T12:29:00Z</dcterms:created>
  <dcterms:modified xsi:type="dcterms:W3CDTF">2026-03-24T14:17:00Z</dcterms:modified>
  <dc:language>en-US</dc:language>
</cp:coreProperties>
</file>