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10E" w:rsidRPr="005D210E" w:rsidRDefault="005D210E" w:rsidP="005D21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L"/>
        </w:rPr>
      </w:pP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Frazer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Oil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&amp; 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Energy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es un jugador clave en la comercialización global de combustibles y derivados. Desde 2015, hemos crecido hasta forjar alianzas estratégicas con gigantes como PEMEX (México), BP, 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Eni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, Delta Airlines (EE. UU.) </w:t>
      </w:r>
      <w:proofErr w:type="gram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y</w:t>
      </w:r>
      <w:proofErr w:type="gram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Mediterranean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Shipping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Company - MSC (global). Esta última no sólo es cliente, sino también un socio logístico y estratégico de 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Frazer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Oil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, potenciando nuestra capacidad de distribución a nivel mundial. En México, por ejemplo, trabajamos con la mayor empresa de transporte de combustible, garantizando entregas eficientes a todo el país desde el puerto de Pajaritos en Veracruz.  </w:t>
      </w:r>
      <w:r w:rsidRPr="005D210E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  <w:r w:rsidRPr="005D210E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Nuestra escala y experiencia nos permiten gestionar con éxito grandes cuentas, como contratos gubernamentales de mediano y alto volumen. Actualmente manejamos más de 8 millones de barriles mensuales de productos como ESPO, HSFO y crudo en acuerdos de mediano plazo (3-5 años), además de 260,000 toneladas métricas mensuales de gas natural licuado (LNG) bajo un contrato a 15 años en un país de Asia (No es China). Operamos en América, Europa, Asia, África y Medio Oriente, trabajando directamente con refinerías y consumidores finales, sirviendo a gobiernos y grandes empresas de transporte con precios competitivos, excelencia operativa y un firme compromiso con la sostenibilidad.  </w:t>
      </w:r>
      <w:r w:rsidRPr="005D210E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  <w:r w:rsidRPr="005D210E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Ofrecemos una amplia gama de productos, tales como combustibles marinos (HSFO, VLSFO, LNG), de aviación (Jet A-1), terrestres (ULSD, EN590), crudos (ESPO, D2) y créditos de carbono certificados bajo los estándares más altos del mercado (</w:t>
      </w:r>
      <w:proofErr w:type="spellStart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>Verra</w:t>
      </w:r>
      <w:proofErr w:type="spellEnd"/>
      <w:r w:rsidRPr="005D210E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CL"/>
        </w:rPr>
        <w:t xml:space="preserve"> y Gold Standard). Nuestra fortaleza radica no solo en la calidad y eficiencia, sino también en nuestra capacidad para construir alianzas estratégicas que generen valor compartido.  </w:t>
      </w:r>
      <w:r w:rsidRPr="005D210E">
        <w:rPr>
          <w:rFonts w:ascii="Arial" w:eastAsia="Times New Roman" w:hAnsi="Arial" w:cs="Arial"/>
          <w:color w:val="222222"/>
          <w:sz w:val="24"/>
          <w:szCs w:val="24"/>
          <w:lang w:eastAsia="es-CL"/>
        </w:rPr>
        <w:br/>
      </w:r>
    </w:p>
    <w:p w:rsidR="005D210E" w:rsidRPr="005D210E" w:rsidRDefault="005D210E" w:rsidP="005D21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5D210E">
        <w:rPr>
          <w:rFonts w:ascii="Arial" w:eastAsia="Times New Roman" w:hAnsi="Arial" w:cs="Arial"/>
          <w:color w:val="222222"/>
          <w:sz w:val="24"/>
          <w:szCs w:val="24"/>
          <w:lang w:eastAsia="es-CL"/>
        </w:rPr>
        <w:t>Vemos en Chile una oportunidad única para implementar soluciones energéticas innovadoras y sostenibles, alineadas con las prioridades ambientales y económicas del país y las necesidades estratégicas</w:t>
      </w:r>
    </w:p>
    <w:p w:rsidR="00FB452C" w:rsidRDefault="005D210E" w:rsidP="005D210E">
      <w:pPr>
        <w:jc w:val="both"/>
      </w:pPr>
      <w:bookmarkStart w:id="0" w:name="_GoBack"/>
      <w:bookmarkEnd w:id="0"/>
    </w:p>
    <w:sectPr w:rsidR="00FB452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10E"/>
    <w:rsid w:val="002B0FF0"/>
    <w:rsid w:val="005D210E"/>
    <w:rsid w:val="00A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91B66-C85D-40AC-B45B-D523C190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8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ANDRES DESCALZI SOLARI</dc:creator>
  <cp:keywords/>
  <dc:description/>
  <cp:lastModifiedBy>FELIPE ANDRES DESCALZI SOLARI</cp:lastModifiedBy>
  <cp:revision>1</cp:revision>
  <dcterms:created xsi:type="dcterms:W3CDTF">2025-04-01T12:43:00Z</dcterms:created>
  <dcterms:modified xsi:type="dcterms:W3CDTF">2025-04-01T12:47:00Z</dcterms:modified>
</cp:coreProperties>
</file>