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F94" w:rsidRPr="00C67F94" w:rsidRDefault="00C67F94" w:rsidP="00C67F9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C67F94">
        <w:rPr>
          <w:rFonts w:ascii="Arial" w:eastAsia="Times New Roman" w:hAnsi="Arial" w:cs="Arial"/>
          <w:vanish/>
          <w:sz w:val="16"/>
          <w:szCs w:val="16"/>
          <w:lang w:eastAsia="es-CL"/>
        </w:rPr>
        <w:t>Principio del formulario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Nuestro país se comprometió, en forma decidida, con la puesta en práctica de </w:t>
      </w:r>
      <w:hyperlink r:id="rId4" w:tooltip="La Resolución 1325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del Consejo de Seguridad de las Naciones Unidas, lo cual dio origen en Chile al Plan de Acción Nacional: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34" type="#_x0000_t75" style="width:20.25pt;height:17.25pt" o:ole="">
            <v:imagedata r:id="rId5" o:title=""/>
          </v:shape>
          <w:control r:id="rId6" w:name="DefaultOcxName" w:shapeid="_x0000_i123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 “Aprobación de la Eutanasia Activa”.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3" type="#_x0000_t75" style="width:20.25pt;height:17.25pt" o:ole="">
            <v:imagedata r:id="rId7" o:title=""/>
          </v:shape>
          <w:control r:id="rId8" w:name="DefaultOcxName1" w:shapeid="_x0000_i123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“Mujeres, Seguridad y Paz”.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2" type="#_x0000_t75" style="width:20.25pt;height:17.25pt" o:ole="">
            <v:imagedata r:id="rId5" o:title=""/>
          </v:shape>
          <w:control r:id="rId9" w:name="DefaultOcxName2" w:shapeid="_x0000_i123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“Movimiento de liberación de la mujer”.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1" type="#_x0000_t75" style="width:20.25pt;height:17.25pt" o:ole="">
            <v:imagedata r:id="rId5" o:title=""/>
          </v:shape>
          <w:control r:id="rId10" w:name="DefaultOcxName3" w:shapeid="_x0000_i123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“Ilegalidad del aborto”.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“Mujeres, Seguridad y Paz”.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2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¿Qué instituciones están involucradas en la implementación de </w:t>
      </w:r>
      <w:hyperlink r:id="rId11" w:tooltip="La Resolución 1325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?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Naciones Unidas.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Gobiernos nacionales.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Organizaciones no gubernamentales.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2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30" type="#_x0000_t75" style="width:20.25pt;height:17.25pt" o:ole="">
            <v:imagedata r:id="rId5" o:title=""/>
          </v:shape>
          <w:control r:id="rId12" w:name="DefaultOcxName4" w:shapeid="_x0000_i1230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9" type="#_x0000_t75" style="width:20.25pt;height:17.25pt" o:ole="">
            <v:imagedata r:id="rId5" o:title=""/>
          </v:shape>
          <w:control r:id="rId13" w:name="DefaultOcxName5" w:shapeid="_x0000_i122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8" type="#_x0000_t75" style="width:20.25pt;height:17.25pt" o:ole="">
            <v:imagedata r:id="rId5" o:title=""/>
          </v:shape>
          <w:control r:id="rId14" w:name="DefaultOcxName6" w:shapeid="_x0000_i122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7" type="#_x0000_t75" style="width:20.25pt;height:17.25pt" o:ole="">
            <v:imagedata r:id="rId7" o:title=""/>
          </v:shape>
          <w:control r:id="rId15" w:name="DefaultOcxName7" w:shapeid="_x0000_i122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3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hyperlink r:id="rId16" w:tooltip="La Resolución 1325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de las Naciones Unidas tiene como tema central: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3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6" type="#_x0000_t75" style="width:20.25pt;height:17.25pt" o:ole="">
            <v:imagedata r:id="rId5" o:title=""/>
          </v:shape>
          <w:control r:id="rId17" w:name="DefaultOcxName8" w:shapeid="_x0000_i122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reducción de armamentos de destrucción masiva.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5" type="#_x0000_t75" style="width:20.25pt;height:17.25pt" o:ole="">
            <v:imagedata r:id="rId5" o:title=""/>
          </v:shape>
          <w:control r:id="rId18" w:name="DefaultOcxName9" w:shapeid="_x0000_i1225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protección de los niños en conflictos armados.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4" type="#_x0000_t75" style="width:20.25pt;height:17.25pt" o:ole="">
            <v:imagedata r:id="rId7" o:title=""/>
          </v:shape>
          <w:control r:id="rId19" w:name="DefaultOcxName10" w:shapeid="_x0000_i122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 participación de las mujeres en la resolución de conflictos.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3" type="#_x0000_t75" style="width:20.25pt;height:17.25pt" o:ole="">
            <v:imagedata r:id="rId5" o:title=""/>
          </v:shape>
          <w:control r:id="rId20" w:name="DefaultOcxName11" w:shapeid="_x0000_i122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Crear un listado específico sobre </w:t>
      </w:r>
      <w:hyperlink r:id="rId21" w:tooltip="Derechos Humanos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derechos humanos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participación de las mujeres en la resolución de conflictos.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4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hyperlink r:id="rId22" w:tooltip="La Resolución 1325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aborda distintos tipos de violencia, como es el caso del tipo: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 Sexual.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 Físico.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 Psicológico.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4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52" type="#_x0000_t75" style="width:20.25pt;height:17.25pt" o:ole="">
            <v:imagedata r:id="rId7" o:title=""/>
          </v:shape>
          <w:control r:id="rId23" w:name="DefaultOcxName12" w:shapeid="_x0000_i125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21" type="#_x0000_t75" style="width:20.25pt;height:17.25pt" o:ole="">
            <v:imagedata r:id="rId5" o:title=""/>
          </v:shape>
          <w:control r:id="rId24" w:name="DefaultOcxName13" w:shapeid="_x0000_i122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51" type="#_x0000_t75" style="width:20.25pt;height:17.25pt" o:ole="">
            <v:imagedata r:id="rId5" o:title=""/>
          </v:shape>
          <w:control r:id="rId25" w:name="DefaultOcxName14" w:shapeid="_x0000_i125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9" type="#_x0000_t75" style="width:20.25pt;height:17.25pt" o:ole="">
            <v:imagedata r:id="rId5" o:title=""/>
          </v:shape>
          <w:control r:id="rId26" w:name="DefaultOcxName15" w:shapeid="_x0000_i121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5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impacto de la Resolución 1325 respecto de la seguridad radica en que permite: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5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8" type="#_x0000_t75" style="width:20.25pt;height:17.25pt" o:ole="">
            <v:imagedata r:id="rId5" o:title=""/>
          </v:shape>
          <w:control r:id="rId27" w:name="DefaultOcxName16" w:shapeid="_x0000_i121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Debilitar a seguridad interna.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7" type="#_x0000_t75" style="width:20.25pt;height:17.25pt" o:ole="">
            <v:imagedata r:id="rId5" o:title=""/>
          </v:shape>
          <w:control r:id="rId28" w:name="DefaultOcxName17" w:shapeid="_x0000_i121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Debilita la seguridad internacional.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6" type="#_x0000_t75" style="width:20.25pt;height:17.25pt" o:ole="">
            <v:imagedata r:id="rId7" o:title=""/>
          </v:shape>
          <w:control r:id="rId29" w:name="DefaultOcxName18" w:shapeid="_x0000_i121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Fortalece la seguridad internacional.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5" type="#_x0000_t75" style="width:20.25pt;height:17.25pt" o:ole="">
            <v:imagedata r:id="rId5" o:title=""/>
          </v:shape>
          <w:control r:id="rId30" w:name="DefaultOcxName19" w:shapeid="_x0000_i1215"/>
        </w:object>
      </w:r>
      <w:proofErr w:type="spellStart"/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d.Ser</w:t>
      </w:r>
      <w:proofErr w:type="spellEnd"/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neutral frente al seguridad.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Fortalece la seguridad internacional.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6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El objetivo principal de </w:t>
      </w:r>
      <w:hyperlink r:id="rId31" w:tooltip="La Resolución 1325" w:history="1">
        <w:r w:rsidRPr="00C67F94">
          <w:rPr>
            <w:rFonts w:ascii="Montserrat" w:eastAsia="Times New Roman" w:hAnsi="Montserrat" w:cs="Times New Roman"/>
            <w:color w:val="244894"/>
            <w:sz w:val="23"/>
            <w:szCs w:val="23"/>
            <w:u w:val="single"/>
            <w:lang w:eastAsia="es-CL"/>
          </w:rPr>
          <w:t>la Resolución 1325</w:t>
        </w:r>
      </w:hyperlink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 es: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6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4" type="#_x0000_t75" style="width:20.25pt;height:17.25pt" o:ole="">
            <v:imagedata r:id="rId5" o:title=""/>
          </v:shape>
          <w:control r:id="rId32" w:name="DefaultOcxName20" w:shapeid="_x0000_i121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Establecer un fondo para la reconstrucción después de conflictos.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3" type="#_x0000_t75" style="width:20.25pt;height:17.25pt" o:ole="">
            <v:imagedata r:id="rId5" o:title=""/>
          </v:shape>
          <w:control r:id="rId33" w:name="DefaultOcxName21" w:shapeid="_x0000_i121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Proteger a las mujeres y los niños en conflictos armados.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2" type="#_x0000_t75" style="width:20.25pt;height:17.25pt" o:ole="">
            <v:imagedata r:id="rId7" o:title=""/>
          </v:shape>
          <w:control r:id="rId34" w:name="DefaultOcxName22" w:shapeid="_x0000_i121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Promover la participación de las mujeres en la resolución de conflictos.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1" type="#_x0000_t75" style="width:20.25pt;height:17.25pt" o:ole="">
            <v:imagedata r:id="rId5" o:title=""/>
          </v:shape>
          <w:control r:id="rId35" w:name="DefaultOcxName23" w:shapeid="_x0000_i121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Fortalecer la seguridad internacional.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jc w:val="both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Promover la participación de las mujeres en la resolución de conflictos.</w:t>
      </w:r>
    </w:p>
    <w:p w:rsid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7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Según la Resolución 1325, el papel de las mujeres en la resolución de conflictos consiste en ser: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7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10" type="#_x0000_t75" style="width:20.25pt;height:17.25pt" o:ole="">
            <v:imagedata r:id="rId5" o:title=""/>
          </v:shape>
          <w:control r:id="rId36" w:name="DefaultOcxName24" w:shapeid="_x0000_i1210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Ocupar todos los cargos de líderes políticas.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9" type="#_x0000_t75" style="width:20.25pt;height:17.25pt" o:ole="">
            <v:imagedata r:id="rId5" o:title=""/>
          </v:shape>
          <w:control r:id="rId37" w:name="DefaultOcxName25" w:shapeid="_x0000_i120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Solo ocupar el lugar de víctimas.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8" type="#_x0000_t75" style="width:20.25pt;height:17.25pt" o:ole="">
            <v:imagedata r:id="rId5" o:title=""/>
          </v:shape>
          <w:control r:id="rId38" w:name="DefaultOcxName26" w:shapeid="_x0000_i120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Únicamente actuar como mediadoras.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7" type="#_x0000_t75" style="width:20.25pt;height:17.25pt" o:ole="">
            <v:imagedata r:id="rId7" o:title=""/>
          </v:shape>
          <w:control r:id="rId39" w:name="DefaultOcxName27" w:shapeid="_x0000_i120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Participantes activas en su resolución.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Participantes activas en su resolución.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8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establece la obligación de las y los empleadores de: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Implementar políticas y prácticas orientadas a la prevención de riesgos psicosociales.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Fomentar medidas que promuevan la salud mental.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Actuar para asegurar el bienestar de las y los trabajadores.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8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6" type="#_x0000_t75" style="width:20.25pt;height:17.25pt" o:ole="">
            <v:imagedata r:id="rId5" o:title=""/>
          </v:shape>
          <w:control r:id="rId40" w:name="DefaultOcxName28" w:shapeid="_x0000_i120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5" type="#_x0000_t75" style="width:20.25pt;height:17.25pt" o:ole="">
            <v:imagedata r:id="rId5" o:title=""/>
          </v:shape>
          <w:control r:id="rId41" w:name="DefaultOcxName29" w:shapeid="_x0000_i1205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4" type="#_x0000_t75" style="width:20.25pt;height:17.25pt" o:ole="">
            <v:imagedata r:id="rId5" o:title=""/>
          </v:shape>
          <w:control r:id="rId42" w:name="DefaultOcxName30" w:shapeid="_x0000_i120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3" type="#_x0000_t75" style="width:20.25pt;height:17.25pt" o:ole="">
            <v:imagedata r:id="rId7" o:title=""/>
          </v:shape>
          <w:control r:id="rId43" w:name="DefaultOcxName31" w:shapeid="_x0000_i120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9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Cuando hablamos de acoso laboral, podemos incluir acciones como: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Gritar, avasallar o insultar a una persona cuando está sola o en presencia de personas.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Asignar objetivos, proyectos o tareas con plazos que se saben inalcanzables o imposibles de cumplir en ese tiempo.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Difamar a la persona, extendiendo rumores maliciosos o calumniosos que menoscaban su reputación, imagen o profesionalidad.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9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2" type="#_x0000_t75" style="width:20.25pt;height:17.25pt" o:ole="">
            <v:imagedata r:id="rId5" o:title=""/>
          </v:shape>
          <w:control r:id="rId44" w:name="DefaultOcxName32" w:shapeid="_x0000_i120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201" type="#_x0000_t75" style="width:20.25pt;height:17.25pt" o:ole="">
            <v:imagedata r:id="rId5" o:title=""/>
          </v:shape>
          <w:control r:id="rId45" w:name="DefaultOcxName33" w:shapeid="_x0000_i120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405" w:dyaOrig="345">
          <v:shape id="_x0000_i1200" type="#_x0000_t75" style="width:20.25pt;height:17.25pt" o:ole="">
            <v:imagedata r:id="rId5" o:title=""/>
          </v:shape>
          <w:control r:id="rId46" w:name="DefaultOcxName34" w:shapeid="_x0000_i1200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9" type="#_x0000_t75" style="width:20.25pt;height:17.25pt" o:ole="">
            <v:imagedata r:id="rId7" o:title=""/>
          </v:shape>
          <w:control r:id="rId47" w:name="DefaultOcxName35" w:shapeid="_x0000_i119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10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 </w:t>
      </w:r>
      <w:bookmarkStart w:id="0" w:name="_GoBack"/>
      <w:bookmarkEnd w:id="0"/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entró en vigencia el 1 de agosto del 2024, y establece medidas específicas para promover ambientes laborales saludables, por lo que las empresas están obligadas a: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  Implementar políticas y prácticas orientadas a la prevención de riesgos psicosociales.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 Promoción de la salud mental y el bienestar de la persona trabajadora.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 Reducir la carga laboral de 44 a 40 horas de trabajo semanal.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10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8" type="#_x0000_t75" style="width:20.25pt;height:17.25pt" o:ole="">
            <v:imagedata r:id="rId5" o:title=""/>
          </v:shape>
          <w:control r:id="rId48" w:name="DefaultOcxName36" w:shapeid="_x0000_i119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7" type="#_x0000_t75" style="width:20.25pt;height:17.25pt" o:ole="">
            <v:imagedata r:id="rId7" o:title=""/>
          </v:shape>
          <w:control r:id="rId49" w:name="DefaultOcxName37" w:shapeid="_x0000_i119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6" type="#_x0000_t75" style="width:20.25pt;height:17.25pt" o:ole="">
            <v:imagedata r:id="rId5" o:title=""/>
          </v:shape>
          <w:control r:id="rId50" w:name="DefaultOcxName38" w:shapeid="_x0000_i119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5" type="#_x0000_t75" style="width:20.25pt;height:17.25pt" o:ole="">
            <v:imagedata r:id="rId5" o:title=""/>
          </v:shape>
          <w:control r:id="rId51" w:name="DefaultOcxName39" w:shapeid="_x0000_i1195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11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“Se entiende por acoso sexual aquellas acciones que una persona realice, en forma indebida y por cualquier medio, requerimientos de carácter sexual, no consentidos por quien los recibe y que amenacen o perjudiquen su situación laboral o sus oportunidades en el empleo”. A partir de la definición anterior, caen en esta categoría acciones tales como: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Envío o muestra de videos o fotografías de carácter sexual, por cualquier medio.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Chistes de doble sentido o sexistas.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Invitaciones impropias e insinuaciones.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11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4" type="#_x0000_t75" style="width:20.25pt;height:17.25pt" o:ole="">
            <v:imagedata r:id="rId5" o:title=""/>
          </v:shape>
          <w:control r:id="rId52" w:name="DefaultOcxName40" w:shapeid="_x0000_i119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3" type="#_x0000_t75" style="width:20.25pt;height:17.25pt" o:ole="">
            <v:imagedata r:id="rId7" o:title=""/>
          </v:shape>
          <w:control r:id="rId53" w:name="DefaultOcxName41" w:shapeid="_x0000_i119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2" type="#_x0000_t75" style="width:20.25pt;height:17.25pt" o:ole="">
            <v:imagedata r:id="rId5" o:title=""/>
          </v:shape>
          <w:control r:id="rId54" w:name="DefaultOcxName42" w:shapeid="_x0000_i119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1" type="#_x0000_t75" style="width:20.25pt;height:17.25pt" o:ole="">
            <v:imagedata r:id="rId5" o:title=""/>
          </v:shape>
          <w:control r:id="rId55" w:name="DefaultOcxName43" w:shapeid="_x0000_i119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lastRenderedPageBreak/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12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 introdujo modificaciones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al Código del Trabajo (inciso II, art. 2, título preliminar), donde establece que las relaciones laborales deberán siempre fundarse: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12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90" type="#_x0000_t75" style="width:20.25pt;height:17.25pt" o:ole="">
            <v:imagedata r:id="rId5" o:title=""/>
          </v:shape>
          <w:control r:id="rId56" w:name="DefaultOcxName44" w:shapeid="_x0000_i1190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un ambiente de trabajo que permita la discriminación con perspectiva de género.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9" type="#_x0000_t75" style="width:20.25pt;height:17.25pt" o:ole="">
            <v:imagedata r:id="rId5" o:title=""/>
          </v:shape>
          <w:control r:id="rId57" w:name="DefaultOcxName45" w:shapeid="_x0000_i118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.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un horario igual o inferior a 40 horas semanales.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8" type="#_x0000_t75" style="width:20.25pt;height:17.25pt" o:ole="">
            <v:imagedata r:id="rId7" o:title=""/>
          </v:shape>
          <w:control r:id="rId58" w:name="DefaultOcxName46" w:shapeid="_x0000_i118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Un trato libre de violencia, compatible con la dignidad de la persona.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7" type="#_x0000_t75" style="width:20.25pt;height:17.25pt" o:ole="">
            <v:imagedata r:id="rId5" o:title=""/>
          </v:shape>
          <w:control r:id="rId59" w:name="DefaultOcxName47" w:shapeid="_x0000_i118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Sobre la base de un sueldo mínimo igual o superior 14 uf mensuales.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C67F94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Un trato libre de violencia, compatible con la dignidad de la persona.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13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Dentro de los principios que se incorporan al ordenamiento jurídico, por medio de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Karin), podemos afirmar como correcto que: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Se establecen medidas para prevenir, sancionar y erradicar la violencia contra las mujeres, en razón de su género.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  Permite reducir el horario laboral de manera progresiva, manteniendo la remuneración.</w:t>
      </w:r>
    </w:p>
    <w:p w:rsidR="00C67F94" w:rsidRPr="00C67F94" w:rsidRDefault="00C67F94" w:rsidP="00C67F94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 Tienen aplicación general a todos los órganos de la Administración del Estado.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13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6" type="#_x0000_t75" style="width:20.25pt;height:17.25pt" o:ole="">
            <v:imagedata r:id="rId5" o:title=""/>
          </v:shape>
          <w:control r:id="rId60" w:name="DefaultOcxName48" w:shapeid="_x0000_i118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5" type="#_x0000_t75" style="width:20.25pt;height:17.25pt" o:ole="">
            <v:imagedata r:id="rId7" o:title=""/>
          </v:shape>
          <w:control r:id="rId61" w:name="DefaultOcxName49" w:shapeid="_x0000_i1185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4" type="#_x0000_t75" style="width:20.25pt;height:17.25pt" o:ole="">
            <v:imagedata r:id="rId5" o:title=""/>
          </v:shape>
          <w:control r:id="rId62" w:name="DefaultOcxName50" w:shapeid="_x0000_i1184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3" type="#_x0000_t75" style="width:20.25pt;height:17.25pt" o:ole="">
            <v:imagedata r:id="rId5" o:title=""/>
          </v:shape>
          <w:control r:id="rId63" w:name="DefaultOcxName51" w:shapeid="_x0000_i1183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ED1D0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D1D0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14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Para que una conducta sea considerada como constitutiva de acoso laboral, deben encontrarse los siguientes elementos.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  Informar a una o un trabajador sobre su desempeño laboral insatisfactorio y aplicar medidas disciplinarias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Ser realizada por cualquier medio (verbal, físico, por acción u omisión).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Que ocasione menoscabo, maltrato o humillación.</w:t>
      </w:r>
    </w:p>
    <w:p w:rsidR="00C67F94" w:rsidRPr="00C67F94" w:rsidRDefault="00C67F94" w:rsidP="00ED1D02">
      <w:pPr>
        <w:shd w:val="clear" w:color="auto" w:fill="E7F3F5"/>
        <w:spacing w:after="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14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lastRenderedPageBreak/>
        <w:object w:dxaOrig="405" w:dyaOrig="345">
          <v:shape id="_x0000_i1182" type="#_x0000_t75" style="width:20.25pt;height:17.25pt" o:ole="">
            <v:imagedata r:id="rId5" o:title=""/>
          </v:shape>
          <w:control r:id="rId64" w:name="DefaultOcxName52" w:shapeid="_x0000_i1182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1" type="#_x0000_t75" style="width:20.25pt;height:17.25pt" o:ole="">
            <v:imagedata r:id="rId7" o:title=""/>
          </v:shape>
          <w:control r:id="rId65" w:name="DefaultOcxName53" w:shapeid="_x0000_i1181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80" type="#_x0000_t75" style="width:20.25pt;height:17.25pt" o:ole="">
            <v:imagedata r:id="rId5" o:title=""/>
          </v:shape>
          <w:control r:id="rId66" w:name="DefaultOcxName54" w:shapeid="_x0000_i1180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9" type="#_x0000_t75" style="width:20.25pt;height:17.25pt" o:ole="">
            <v:imagedata r:id="rId5" o:title=""/>
          </v:shape>
          <w:control r:id="rId67" w:name="DefaultOcxName55" w:shapeid="_x0000_i1179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ED1D0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D1D0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F8F9FA"/>
        <w:spacing w:after="0" w:line="240" w:lineRule="auto"/>
        <w:outlineLvl w:val="2"/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1D2125"/>
          <w:sz w:val="18"/>
          <w:szCs w:val="18"/>
          <w:lang w:eastAsia="es-CL"/>
        </w:rPr>
        <w:t>Pregunta </w:t>
      </w:r>
      <w:r w:rsidRPr="00C67F94">
        <w:rPr>
          <w:rFonts w:ascii="Montserrat" w:eastAsia="Times New Roman" w:hAnsi="Montserrat" w:cs="Times New Roman"/>
          <w:b/>
          <w:bCs/>
          <w:color w:val="1D2125"/>
          <w:sz w:val="27"/>
          <w:szCs w:val="27"/>
          <w:lang w:eastAsia="es-CL"/>
        </w:rPr>
        <w:t>15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Correcta</w:t>
      </w:r>
    </w:p>
    <w:p w:rsidR="00C67F94" w:rsidRPr="00C67F94" w:rsidRDefault="00C67F94" w:rsidP="00C67F94">
      <w:pPr>
        <w:shd w:val="clear" w:color="auto" w:fill="F8F9FA"/>
        <w:spacing w:after="0" w:line="240" w:lineRule="auto"/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</w:pPr>
      <w:r w:rsidRPr="00C67F94">
        <w:rPr>
          <w:rFonts w:ascii="Montserrat" w:eastAsia="Times New Roman" w:hAnsi="Montserrat" w:cs="Times New Roman"/>
          <w:color w:val="1D2125"/>
          <w:sz w:val="18"/>
          <w:szCs w:val="18"/>
          <w:lang w:eastAsia="es-CL"/>
        </w:rPr>
        <w:t>Se puntúa 1,00 sobre 1,00</w:t>
      </w:r>
    </w:p>
    <w:p w:rsidR="00C67F94" w:rsidRPr="00C67F94" w:rsidRDefault="00C67F94" w:rsidP="00C67F94">
      <w:pPr>
        <w:shd w:val="clear" w:color="auto" w:fill="E7F3F5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001A1E"/>
          <w:sz w:val="24"/>
          <w:szCs w:val="24"/>
          <w:lang w:eastAsia="es-CL"/>
        </w:rPr>
        <w:t>Enunciado de la pregunta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Las principales modificaciones introducidas por la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s-MX" w:eastAsia="es-CL"/>
        </w:rPr>
        <w:t>ley 21.643 (Ley Karin) 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en el Código del Trabajo y en la Ley de Bases de la Administración de Estado, dicen relación con que: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I.    Las relaciones laborales deben fundarse siempre en un trato “libre de violencia”.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II.   La incorporación de la “perspectiva de género”.</w:t>
      </w:r>
    </w:p>
    <w:p w:rsidR="00C67F94" w:rsidRPr="00C67F94" w:rsidRDefault="00C67F94" w:rsidP="00ED1D02">
      <w:pPr>
        <w:shd w:val="clear" w:color="auto" w:fill="E7F3F5"/>
        <w:spacing w:after="120" w:line="240" w:lineRule="auto"/>
        <w:jc w:val="both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III.  El establecimiento de la “vacaciones progresivas”.</w:t>
      </w:r>
    </w:p>
    <w:p w:rsidR="00C67F94" w:rsidRPr="00C67F94" w:rsidRDefault="00C67F94" w:rsidP="00C67F94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bdr w:val="none" w:sz="0" w:space="0" w:color="auto" w:frame="1"/>
          <w:lang w:eastAsia="es-CL"/>
        </w:rPr>
        <w:t>Pregunta 15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Respuesta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8" type="#_x0000_t75" style="width:20.25pt;height:17.25pt" o:ole="">
            <v:imagedata r:id="rId5" o:title=""/>
          </v:shape>
          <w:control r:id="rId68" w:name="DefaultOcxName56" w:shapeid="_x0000_i1178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a.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7" type="#_x0000_t75" style="width:20.25pt;height:17.25pt" o:ole="">
            <v:imagedata r:id="rId7" o:title=""/>
          </v:shape>
          <w:control r:id="rId69" w:name="DefaultOcxName57" w:shapeid="_x0000_i1177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b.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6" type="#_x0000_t75" style="width:20.25pt;height:17.25pt" o:ole="">
            <v:imagedata r:id="rId5" o:title=""/>
          </v:shape>
          <w:control r:id="rId70" w:name="DefaultOcxName58" w:shapeid="_x0000_i1176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c.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val="en-US" w:eastAsia="es-CL"/>
        </w:rPr>
        <w:t>I, III</w:t>
      </w:r>
    </w:p>
    <w:p w:rsidR="00C67F94" w:rsidRPr="00C67F94" w:rsidRDefault="00C67F94" w:rsidP="00ED1D02">
      <w:pPr>
        <w:shd w:val="clear" w:color="auto" w:fill="E7F3F5"/>
        <w:spacing w:after="0" w:line="240" w:lineRule="auto"/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object w:dxaOrig="405" w:dyaOrig="345">
          <v:shape id="_x0000_i1175" type="#_x0000_t75" style="width:20.25pt;height:17.25pt" o:ole="">
            <v:imagedata r:id="rId5" o:title=""/>
          </v:shape>
          <w:control r:id="rId71" w:name="DefaultOcxName59" w:shapeid="_x0000_i1175"/>
        </w:objec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d.</w:t>
      </w:r>
      <w:r w:rsidR="00ED1D02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001A1E"/>
          <w:sz w:val="23"/>
          <w:szCs w:val="23"/>
          <w:lang w:eastAsia="es-CL"/>
        </w:rPr>
        <w:t>II, III</w:t>
      </w:r>
    </w:p>
    <w:p w:rsidR="00C67F94" w:rsidRPr="00C67F94" w:rsidRDefault="00C67F94" w:rsidP="00C67F94">
      <w:pPr>
        <w:shd w:val="clear" w:color="auto" w:fill="FCEFDC"/>
        <w:spacing w:after="0" w:line="240" w:lineRule="auto"/>
        <w:ind w:left="2025" w:right="-15"/>
        <w:outlineLvl w:val="3"/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</w:pPr>
      <w:r w:rsidRPr="00C67F94">
        <w:rPr>
          <w:rFonts w:ascii="Montserrat" w:eastAsia="Times New Roman" w:hAnsi="Montserrat" w:cs="Times New Roman"/>
          <w:b/>
          <w:bCs/>
          <w:color w:val="8E662E"/>
          <w:sz w:val="24"/>
          <w:szCs w:val="24"/>
          <w:lang w:eastAsia="es-CL"/>
        </w:rPr>
        <w:t>Retroalimentación</w:t>
      </w:r>
    </w:p>
    <w:p w:rsidR="00C67F94" w:rsidRPr="00C67F94" w:rsidRDefault="00C67F94" w:rsidP="00ED1D02">
      <w:pPr>
        <w:shd w:val="clear" w:color="auto" w:fill="FCEFDC"/>
        <w:spacing w:after="0" w:line="240" w:lineRule="auto"/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</w:pP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>La respuesta correcta es:</w:t>
      </w:r>
      <w:r w:rsidR="00ED1D02">
        <w:rPr>
          <w:rFonts w:ascii="Montserrat" w:eastAsia="Times New Roman" w:hAnsi="Montserrat" w:cs="Times New Roman"/>
          <w:color w:val="8E662E"/>
          <w:sz w:val="23"/>
          <w:szCs w:val="23"/>
          <w:lang w:eastAsia="es-CL"/>
        </w:rPr>
        <w:t xml:space="preserve"> </w:t>
      </w:r>
      <w:r w:rsidRPr="00C67F94">
        <w:rPr>
          <w:rFonts w:ascii="Montserrat" w:eastAsia="Times New Roman" w:hAnsi="Montserrat" w:cs="Times New Roman"/>
          <w:color w:val="8E662E"/>
          <w:sz w:val="23"/>
          <w:szCs w:val="23"/>
          <w:lang w:val="en-US" w:eastAsia="es-CL"/>
        </w:rPr>
        <w:t>I, II</w:t>
      </w:r>
    </w:p>
    <w:p w:rsidR="00C67F94" w:rsidRPr="00C67F94" w:rsidRDefault="00C67F94" w:rsidP="00C67F9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s-CL"/>
        </w:rPr>
      </w:pPr>
      <w:r w:rsidRPr="00C67F94">
        <w:rPr>
          <w:rFonts w:ascii="Arial" w:eastAsia="Times New Roman" w:hAnsi="Arial" w:cs="Arial"/>
          <w:vanish/>
          <w:sz w:val="16"/>
          <w:szCs w:val="16"/>
          <w:lang w:eastAsia="es-CL"/>
        </w:rPr>
        <w:t>Final del formulario</w:t>
      </w:r>
    </w:p>
    <w:p w:rsidR="00D322DF" w:rsidRDefault="00D322DF"/>
    <w:sectPr w:rsidR="00D322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F94"/>
    <w:rsid w:val="00C67F94"/>
    <w:rsid w:val="00D209BB"/>
    <w:rsid w:val="00D322DF"/>
    <w:rsid w:val="00ED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749FF"/>
  <w15:chartTrackingRefBased/>
  <w15:docId w15:val="{F33D349B-3420-4259-A26F-8CC4A8555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C67F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paragraph" w:styleId="Ttulo4">
    <w:name w:val="heading 4"/>
    <w:basedOn w:val="Normal"/>
    <w:link w:val="Ttulo4Car"/>
    <w:uiPriority w:val="9"/>
    <w:qFormat/>
    <w:rsid w:val="00C67F9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67F94"/>
    <w:rPr>
      <w:rFonts w:ascii="Times New Roman" w:eastAsia="Times New Roman" w:hAnsi="Times New Roman" w:cs="Times New Roman"/>
      <w:b/>
      <w:bCs/>
      <w:sz w:val="27"/>
      <w:szCs w:val="27"/>
      <w:lang w:eastAsia="es-CL"/>
    </w:rPr>
  </w:style>
  <w:style w:type="character" w:customStyle="1" w:styleId="Ttulo4Car">
    <w:name w:val="Título 4 Car"/>
    <w:basedOn w:val="Fuentedeprrafopredeter"/>
    <w:link w:val="Ttulo4"/>
    <w:uiPriority w:val="9"/>
    <w:rsid w:val="00C67F94"/>
    <w:rPr>
      <w:rFonts w:ascii="Times New Roman" w:eastAsia="Times New Roman" w:hAnsi="Times New Roman" w:cs="Times New Roman"/>
      <w:b/>
      <w:bCs/>
      <w:sz w:val="24"/>
      <w:szCs w:val="24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C67F94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C67F9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C67F94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C67F94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49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166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64882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077322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04634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53898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69071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68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61833616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59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23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640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619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518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52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696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909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8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50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4019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930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378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1423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4087750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31882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742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1407090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56525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57378533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88324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276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1861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09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69295193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2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53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26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064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82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076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199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51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22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961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9003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031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841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26628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8789215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4717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4206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328504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75093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3894603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8507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31861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15662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0257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98161640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00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14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966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841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6781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255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43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9683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095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331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1344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665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127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86075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1898626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88124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7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1753263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028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0426048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770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64643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26553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375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50452033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602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41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20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287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8259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40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91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85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322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96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217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853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93894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9406928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682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770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7804169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556330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71357828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34948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750922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970864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7698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72483957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92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126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73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2377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048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838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7166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24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517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348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483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690435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568448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5688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99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170777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94073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99972396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53028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01667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918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2371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03769795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36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626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035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129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688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87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911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0913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16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911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173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359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735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467328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208772465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08902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2805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0587774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43424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872763642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501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05877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1450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4707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6897036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03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76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87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52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1979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593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81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2544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827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48652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742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1932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47345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65540380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5201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394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2381262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7785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05685204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8655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11809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423035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65833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0637581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311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256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679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55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7045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92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042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3508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529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565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765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5504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8195044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493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51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321466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60365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50250107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79481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57174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646450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866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6505822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48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55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1653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180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788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116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678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754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97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00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965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16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6685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951777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3674930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07232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075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022975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31814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4321171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370863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42134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07091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824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126119343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726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815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8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62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61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036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421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367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699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97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42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931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70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723937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22795301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90585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198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05857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2502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9413818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6882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90343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264270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3401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060668417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121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75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0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550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532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99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066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6546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459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297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0230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99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675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190599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5209702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24199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189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6100403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6158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38811465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24706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09821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47148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7877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945620309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65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137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73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776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478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209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282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6083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252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2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23855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0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49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327566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44750125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03431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7492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436989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3779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1064160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10442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651404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14724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20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252904920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28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3775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51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71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3791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395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0978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166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71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91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1554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728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036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790948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897563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060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235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2397046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79416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2034381065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00226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122730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557347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24696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449131921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31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5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72306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63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480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465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30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771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8660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72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79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11681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188529120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94273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07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8343201">
              <w:marLeft w:val="0"/>
              <w:marRight w:val="0"/>
              <w:marTop w:val="0"/>
              <w:marBottom w:val="43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92707">
                  <w:marLeft w:val="0"/>
                  <w:marRight w:val="0"/>
                  <w:marTop w:val="0"/>
                  <w:marBottom w:val="432"/>
                  <w:divBdr>
                    <w:top w:val="single" w:sz="6" w:space="6" w:color="CAD0D7"/>
                    <w:left w:val="single" w:sz="6" w:space="6" w:color="CAD0D7"/>
                    <w:bottom w:val="single" w:sz="6" w:space="6" w:color="CAD0D7"/>
                    <w:right w:val="single" w:sz="6" w:space="6" w:color="CAD0D7"/>
                  </w:divBdr>
                  <w:divsChild>
                    <w:div w:id="1696733791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959017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851749">
                      <w:marLeft w:val="0"/>
                      <w:marRight w:val="0"/>
                      <w:marTop w:val="168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35442">
                  <w:marLeft w:val="20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216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B8DCE2"/>
                        <w:left w:val="single" w:sz="2" w:space="0" w:color="B8DCE2"/>
                        <w:bottom w:val="single" w:sz="2" w:space="0" w:color="B8DCE2"/>
                        <w:right w:val="single" w:sz="2" w:space="0" w:color="B8DCE2"/>
                      </w:divBdr>
                      <w:divsChild>
                        <w:div w:id="1377393786">
                          <w:marLeft w:val="0"/>
                          <w:marRight w:val="0"/>
                          <w:marTop w:val="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87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064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851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3141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03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641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511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43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034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3417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31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16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7029356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FBE8CD"/>
                        <w:left w:val="single" w:sz="2" w:space="0" w:color="FBE8CD"/>
                        <w:bottom w:val="single" w:sz="2" w:space="0" w:color="FBE8CD"/>
                        <w:right w:val="single" w:sz="2" w:space="0" w:color="FBE8CD"/>
                      </w:divBdr>
                      <w:divsChild>
                        <w:div w:id="404181951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36952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424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ontrol" Target="activeX/activeX16.xml"/><Relationship Id="rId21" Type="http://schemas.openxmlformats.org/officeDocument/2006/relationships/hyperlink" Target="https://www.aulasced.cl/mod/resource/view.php?id=41040" TargetMode="External"/><Relationship Id="rId42" Type="http://schemas.openxmlformats.org/officeDocument/2006/relationships/control" Target="activeX/activeX31.xml"/><Relationship Id="rId47" Type="http://schemas.openxmlformats.org/officeDocument/2006/relationships/control" Target="activeX/activeX36.xml"/><Relationship Id="rId63" Type="http://schemas.openxmlformats.org/officeDocument/2006/relationships/control" Target="activeX/activeX52.xml"/><Relationship Id="rId68" Type="http://schemas.openxmlformats.org/officeDocument/2006/relationships/control" Target="activeX/activeX57.xml"/><Relationship Id="rId2" Type="http://schemas.openxmlformats.org/officeDocument/2006/relationships/settings" Target="settings.xml"/><Relationship Id="rId16" Type="http://schemas.openxmlformats.org/officeDocument/2006/relationships/hyperlink" Target="https://www.aulasced.cl/mod/resource/view.php?id=41109" TargetMode="External"/><Relationship Id="rId29" Type="http://schemas.openxmlformats.org/officeDocument/2006/relationships/control" Target="activeX/activeX19.xml"/><Relationship Id="rId11" Type="http://schemas.openxmlformats.org/officeDocument/2006/relationships/hyperlink" Target="https://www.aulasced.cl/mod/resource/view.php?id=41109" TargetMode="External"/><Relationship Id="rId24" Type="http://schemas.openxmlformats.org/officeDocument/2006/relationships/control" Target="activeX/activeX14.xml"/><Relationship Id="rId32" Type="http://schemas.openxmlformats.org/officeDocument/2006/relationships/control" Target="activeX/activeX21.xml"/><Relationship Id="rId37" Type="http://schemas.openxmlformats.org/officeDocument/2006/relationships/control" Target="activeX/activeX26.xml"/><Relationship Id="rId40" Type="http://schemas.openxmlformats.org/officeDocument/2006/relationships/control" Target="activeX/activeX29.xml"/><Relationship Id="rId45" Type="http://schemas.openxmlformats.org/officeDocument/2006/relationships/control" Target="activeX/activeX34.xml"/><Relationship Id="rId53" Type="http://schemas.openxmlformats.org/officeDocument/2006/relationships/control" Target="activeX/activeX42.xml"/><Relationship Id="rId58" Type="http://schemas.openxmlformats.org/officeDocument/2006/relationships/control" Target="activeX/activeX47.xml"/><Relationship Id="rId66" Type="http://schemas.openxmlformats.org/officeDocument/2006/relationships/control" Target="activeX/activeX55.xml"/><Relationship Id="rId5" Type="http://schemas.openxmlformats.org/officeDocument/2006/relationships/image" Target="media/image1.wmf"/><Relationship Id="rId61" Type="http://schemas.openxmlformats.org/officeDocument/2006/relationships/control" Target="activeX/activeX50.xml"/><Relationship Id="rId19" Type="http://schemas.openxmlformats.org/officeDocument/2006/relationships/control" Target="activeX/activeX11.xml"/><Relationship Id="rId14" Type="http://schemas.openxmlformats.org/officeDocument/2006/relationships/control" Target="activeX/activeX7.xml"/><Relationship Id="rId22" Type="http://schemas.openxmlformats.org/officeDocument/2006/relationships/hyperlink" Target="https://www.aulasced.cl/mod/resource/view.php?id=41109" TargetMode="External"/><Relationship Id="rId27" Type="http://schemas.openxmlformats.org/officeDocument/2006/relationships/control" Target="activeX/activeX17.xml"/><Relationship Id="rId30" Type="http://schemas.openxmlformats.org/officeDocument/2006/relationships/control" Target="activeX/activeX20.xml"/><Relationship Id="rId35" Type="http://schemas.openxmlformats.org/officeDocument/2006/relationships/control" Target="activeX/activeX24.xml"/><Relationship Id="rId43" Type="http://schemas.openxmlformats.org/officeDocument/2006/relationships/control" Target="activeX/activeX32.xml"/><Relationship Id="rId48" Type="http://schemas.openxmlformats.org/officeDocument/2006/relationships/control" Target="activeX/activeX37.xml"/><Relationship Id="rId56" Type="http://schemas.openxmlformats.org/officeDocument/2006/relationships/control" Target="activeX/activeX45.xml"/><Relationship Id="rId64" Type="http://schemas.openxmlformats.org/officeDocument/2006/relationships/control" Target="activeX/activeX53.xml"/><Relationship Id="rId69" Type="http://schemas.openxmlformats.org/officeDocument/2006/relationships/control" Target="activeX/activeX58.xml"/><Relationship Id="rId8" Type="http://schemas.openxmlformats.org/officeDocument/2006/relationships/control" Target="activeX/activeX2.xml"/><Relationship Id="rId51" Type="http://schemas.openxmlformats.org/officeDocument/2006/relationships/control" Target="activeX/activeX40.xml"/><Relationship Id="rId72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control" Target="activeX/activeX15.xml"/><Relationship Id="rId33" Type="http://schemas.openxmlformats.org/officeDocument/2006/relationships/control" Target="activeX/activeX22.xml"/><Relationship Id="rId38" Type="http://schemas.openxmlformats.org/officeDocument/2006/relationships/control" Target="activeX/activeX27.xml"/><Relationship Id="rId46" Type="http://schemas.openxmlformats.org/officeDocument/2006/relationships/control" Target="activeX/activeX35.xml"/><Relationship Id="rId59" Type="http://schemas.openxmlformats.org/officeDocument/2006/relationships/control" Target="activeX/activeX48.xml"/><Relationship Id="rId67" Type="http://schemas.openxmlformats.org/officeDocument/2006/relationships/control" Target="activeX/activeX56.xml"/><Relationship Id="rId20" Type="http://schemas.openxmlformats.org/officeDocument/2006/relationships/control" Target="activeX/activeX12.xml"/><Relationship Id="rId41" Type="http://schemas.openxmlformats.org/officeDocument/2006/relationships/control" Target="activeX/activeX30.xml"/><Relationship Id="rId54" Type="http://schemas.openxmlformats.org/officeDocument/2006/relationships/control" Target="activeX/activeX43.xml"/><Relationship Id="rId62" Type="http://schemas.openxmlformats.org/officeDocument/2006/relationships/control" Target="activeX/activeX51.xml"/><Relationship Id="rId70" Type="http://schemas.openxmlformats.org/officeDocument/2006/relationships/control" Target="activeX/activeX59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5" Type="http://schemas.openxmlformats.org/officeDocument/2006/relationships/control" Target="activeX/activeX8.xml"/><Relationship Id="rId23" Type="http://schemas.openxmlformats.org/officeDocument/2006/relationships/control" Target="activeX/activeX13.xml"/><Relationship Id="rId28" Type="http://schemas.openxmlformats.org/officeDocument/2006/relationships/control" Target="activeX/activeX18.xml"/><Relationship Id="rId36" Type="http://schemas.openxmlformats.org/officeDocument/2006/relationships/control" Target="activeX/activeX25.xml"/><Relationship Id="rId49" Type="http://schemas.openxmlformats.org/officeDocument/2006/relationships/control" Target="activeX/activeX38.xml"/><Relationship Id="rId57" Type="http://schemas.openxmlformats.org/officeDocument/2006/relationships/control" Target="activeX/activeX46.xml"/><Relationship Id="rId10" Type="http://schemas.openxmlformats.org/officeDocument/2006/relationships/control" Target="activeX/activeX4.xml"/><Relationship Id="rId31" Type="http://schemas.openxmlformats.org/officeDocument/2006/relationships/hyperlink" Target="https://www.aulasced.cl/mod/resource/view.php?id=41109" TargetMode="External"/><Relationship Id="rId44" Type="http://schemas.openxmlformats.org/officeDocument/2006/relationships/control" Target="activeX/activeX33.xml"/><Relationship Id="rId52" Type="http://schemas.openxmlformats.org/officeDocument/2006/relationships/control" Target="activeX/activeX41.xml"/><Relationship Id="rId60" Type="http://schemas.openxmlformats.org/officeDocument/2006/relationships/control" Target="activeX/activeX49.xml"/><Relationship Id="rId65" Type="http://schemas.openxmlformats.org/officeDocument/2006/relationships/control" Target="activeX/activeX54.xml"/><Relationship Id="rId73" Type="http://schemas.openxmlformats.org/officeDocument/2006/relationships/theme" Target="theme/theme1.xml"/><Relationship Id="rId4" Type="http://schemas.openxmlformats.org/officeDocument/2006/relationships/hyperlink" Target="https://www.aulasced.cl/mod/resource/view.php?id=41109" TargetMode="External"/><Relationship Id="rId9" Type="http://schemas.openxmlformats.org/officeDocument/2006/relationships/control" Target="activeX/activeX3.xml"/><Relationship Id="rId13" Type="http://schemas.openxmlformats.org/officeDocument/2006/relationships/control" Target="activeX/activeX6.xml"/><Relationship Id="rId18" Type="http://schemas.openxmlformats.org/officeDocument/2006/relationships/control" Target="activeX/activeX10.xml"/><Relationship Id="rId39" Type="http://schemas.openxmlformats.org/officeDocument/2006/relationships/control" Target="activeX/activeX28.xml"/><Relationship Id="rId34" Type="http://schemas.openxmlformats.org/officeDocument/2006/relationships/control" Target="activeX/activeX23.xml"/><Relationship Id="rId50" Type="http://schemas.openxmlformats.org/officeDocument/2006/relationships/control" Target="activeX/activeX39.xml"/><Relationship Id="rId55" Type="http://schemas.openxmlformats.org/officeDocument/2006/relationships/control" Target="activeX/activeX44.xml"/><Relationship Id="rId7" Type="http://schemas.openxmlformats.org/officeDocument/2006/relationships/image" Target="media/image2.wmf"/><Relationship Id="rId71" Type="http://schemas.openxmlformats.org/officeDocument/2006/relationships/control" Target="activeX/activeX60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1647</Words>
  <Characters>9061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B07 Acreditación PAC. Jorge Weldt P.</dc:creator>
  <cp:keywords/>
  <dc:description/>
  <cp:lastModifiedBy>B07 Acreditación PAC. Jorge Weldt P.</cp:lastModifiedBy>
  <cp:revision>2</cp:revision>
  <dcterms:created xsi:type="dcterms:W3CDTF">2024-12-18T18:42:00Z</dcterms:created>
  <dcterms:modified xsi:type="dcterms:W3CDTF">2024-12-18T18:55:00Z</dcterms:modified>
</cp:coreProperties>
</file>