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EE1E3" w14:textId="77777777" w:rsidR="00EA0949" w:rsidRPr="00CC1EAA" w:rsidRDefault="00000000">
      <w:pPr>
        <w:jc w:val="center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 copia)</w:t>
      </w:r>
    </w:p>
    <w:p w14:paraId="5D9CB228" w14:textId="77777777" w:rsidR="00EA0949" w:rsidRPr="00CC1EAA" w:rsidRDefault="00000000">
      <w:pPr>
        <w:jc w:val="center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b/>
          <w:color w:val="000000" w:themeColor="text1"/>
          <w:sz w:val="18"/>
          <w:szCs w:val="18"/>
          <w:lang w:val="es-ES_tradnl"/>
        </w:rPr>
        <w:t>ORDEN DE OPERACIONES 02-26</w:t>
      </w:r>
    </w:p>
    <w:p w14:paraId="5F6B8990" w14:textId="77777777" w:rsidR="00EA0949" w:rsidRPr="00CC1EAA" w:rsidRDefault="00000000">
      <w:pPr>
        <w:jc w:val="center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b/>
          <w:color w:val="000000" w:themeColor="text1"/>
          <w:sz w:val="18"/>
          <w:szCs w:val="18"/>
          <w:lang w:val="es-ES_tradnl"/>
        </w:rPr>
        <w:t>OPERACIÓN BASTIÓN AUSTRAL</w:t>
      </w:r>
    </w:p>
    <w:p w14:paraId="3B893BC5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FUERZA ROJA DAWSON:</w:t>
      </w:r>
    </w:p>
    <w:p w14:paraId="1AC6C1F8" w14:textId="77777777" w:rsidR="00EA0949" w:rsidRPr="00CC1EAA" w:rsidRDefault="00000000">
      <w:pPr>
        <w:spacing w:after="40" w:line="240" w:lineRule="auto"/>
        <w:ind w:left="283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COY ROJA REFORZADA / DESTACAMENTO DAWSON</w:t>
      </w:r>
    </w:p>
    <w:p w14:paraId="560C12EC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Clasificación: Ejercicio ficticio para fines educacionales.</w:t>
      </w:r>
    </w:p>
    <w:p w14:paraId="283EBAAF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ORGANIZACIÓN DE TAREA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981"/>
        <w:gridCol w:w="4981"/>
      </w:tblGrid>
      <w:tr w:rsidR="00EA0949" w:rsidRPr="00CC1EAA" w14:paraId="675E08D1" w14:textId="77777777">
        <w:trPr>
          <w:jc w:val="center"/>
        </w:trPr>
        <w:tc>
          <w:tcPr>
            <w:tcW w:w="4986" w:type="dxa"/>
            <w:vAlign w:val="center"/>
          </w:tcPr>
          <w:p w14:paraId="098C81FA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Unidad</w:t>
            </w:r>
          </w:p>
        </w:tc>
        <w:tc>
          <w:tcPr>
            <w:tcW w:w="4986" w:type="dxa"/>
            <w:vAlign w:val="center"/>
          </w:tcPr>
          <w:p w14:paraId="6E630259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Composición / función</w:t>
            </w:r>
          </w:p>
        </w:tc>
      </w:tr>
      <w:tr w:rsidR="00EA0949" w:rsidRPr="00CC1EAA" w14:paraId="11255165" w14:textId="77777777">
        <w:trPr>
          <w:jc w:val="center"/>
        </w:trPr>
        <w:tc>
          <w:tcPr>
            <w:tcW w:w="4986" w:type="dxa"/>
            <w:vAlign w:val="center"/>
          </w:tcPr>
          <w:p w14:paraId="1D8516C4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Destacamento Dawson</w:t>
            </w:r>
          </w:p>
        </w:tc>
        <w:tc>
          <w:tcPr>
            <w:tcW w:w="4986" w:type="dxa"/>
            <w:vAlign w:val="center"/>
          </w:tcPr>
          <w:p w14:paraId="15C712B4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Puesto de mando de compañía reforzada y elementos de enlace.</w:t>
            </w:r>
          </w:p>
        </w:tc>
      </w:tr>
      <w:tr w:rsidR="00EA0949" w:rsidRPr="00CC1EAA" w14:paraId="6F45A5B6" w14:textId="77777777">
        <w:trPr>
          <w:jc w:val="center"/>
        </w:trPr>
        <w:tc>
          <w:tcPr>
            <w:tcW w:w="4986" w:type="dxa"/>
            <w:vAlign w:val="center"/>
          </w:tcPr>
          <w:p w14:paraId="5FB0468A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GT Harris</w:t>
            </w:r>
          </w:p>
        </w:tc>
        <w:tc>
          <w:tcPr>
            <w:tcW w:w="4986" w:type="dxa"/>
            <w:vAlign w:val="center"/>
          </w:tcPr>
          <w:p w14:paraId="088EF47A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2 pelotones de infantería; sección SHORAD; 2 equipos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Spike</w:t>
            </w:r>
            <w:proofErr w:type="spellEnd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SR; sección logística; 2 piezas de artillería 155 mm en apoyo directo.</w:t>
            </w:r>
          </w:p>
        </w:tc>
      </w:tr>
      <w:tr w:rsidR="00EA0949" w:rsidRPr="00CC1EAA" w14:paraId="31145A7A" w14:textId="77777777">
        <w:trPr>
          <w:jc w:val="center"/>
        </w:trPr>
        <w:tc>
          <w:tcPr>
            <w:tcW w:w="4986" w:type="dxa"/>
            <w:vAlign w:val="center"/>
          </w:tcPr>
          <w:p w14:paraId="5DF33C90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GT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Schroeders</w:t>
            </w:r>
            <w:proofErr w:type="spellEnd"/>
          </w:p>
        </w:tc>
        <w:tc>
          <w:tcPr>
            <w:tcW w:w="4986" w:type="dxa"/>
            <w:vAlign w:val="center"/>
          </w:tcPr>
          <w:p w14:paraId="57674D7B" w14:textId="6EF6F202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2 pelotones de infantería mecanizada en M-113; escuadra de ingenieros de combate; sección logística motorizada</w:t>
            </w:r>
            <w:r w:rsidR="00CC1EAA"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.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</w:p>
        </w:tc>
      </w:tr>
      <w:tr w:rsidR="00EA0949" w:rsidRPr="00CC1EAA" w14:paraId="327986BD" w14:textId="77777777">
        <w:trPr>
          <w:jc w:val="center"/>
        </w:trPr>
        <w:tc>
          <w:tcPr>
            <w:tcW w:w="4986" w:type="dxa"/>
            <w:vAlign w:val="center"/>
          </w:tcPr>
          <w:p w14:paraId="74DFB848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Reserva móvil</w:t>
            </w:r>
          </w:p>
        </w:tc>
        <w:tc>
          <w:tcPr>
            <w:tcW w:w="4986" w:type="dxa"/>
            <w:vAlign w:val="center"/>
          </w:tcPr>
          <w:p w14:paraId="45ADAAAD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4 vehículos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Stryker</w:t>
            </w:r>
            <w:proofErr w:type="spellEnd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con RWS y capacidad antiaérea de corto alcance.</w:t>
            </w:r>
          </w:p>
        </w:tc>
      </w:tr>
      <w:tr w:rsidR="00EA0949" w:rsidRPr="00CC1EAA" w14:paraId="58A641D7" w14:textId="77777777">
        <w:trPr>
          <w:jc w:val="center"/>
        </w:trPr>
        <w:tc>
          <w:tcPr>
            <w:tcW w:w="4986" w:type="dxa"/>
            <w:vAlign w:val="center"/>
          </w:tcPr>
          <w:p w14:paraId="7B32DCF8" w14:textId="77777777" w:rsidR="00EA0949" w:rsidRPr="00CC1EAA" w:rsidRDefault="00000000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Elemento de reconocimiento</w:t>
            </w:r>
          </w:p>
        </w:tc>
        <w:tc>
          <w:tcPr>
            <w:tcW w:w="4986" w:type="dxa"/>
            <w:vAlign w:val="center"/>
          </w:tcPr>
          <w:p w14:paraId="54B8CE79" w14:textId="5BD23DC3" w:rsidR="00EA0949" w:rsidRPr="00CC1EAA" w:rsidRDefault="00CC1EAA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02 EQUIPO DE RECON 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br/>
              <w:t xml:space="preserve">4X DRONE (Rango: </w:t>
            </w:r>
            <w: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20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K,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Autonomia</w:t>
            </w:r>
            <w:proofErr w:type="spellEnd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4 horas)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br/>
              <w:t>5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S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istemas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loitering</w:t>
            </w:r>
            <w:proofErr w:type="spellEnd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(20 K, </w:t>
            </w:r>
            <w:proofErr w:type="spellStart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Autonomia</w:t>
            </w:r>
            <w:proofErr w:type="spellEnd"/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2 horas)</w:t>
            </w:r>
          </w:p>
          <w:p w14:paraId="69540DE7" w14:textId="7A986F15" w:rsidR="00CC1EAA" w:rsidRPr="00CC1EAA" w:rsidRDefault="00CC1EAA">
            <w:pP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</w:pP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Bote Yagan no tripulado con radio de acción de </w:t>
            </w:r>
            <w: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10</w:t>
            </w:r>
            <w:r w:rsidRPr="00CC1EAA"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 xml:space="preserve"> millas </w:t>
            </w:r>
            <w:r>
              <w:rPr>
                <w:rFonts w:cs="Arial"/>
                <w:color w:val="000000" w:themeColor="text1"/>
                <w:sz w:val="18"/>
                <w:szCs w:val="18"/>
                <w:lang w:val="es-ES_tradnl"/>
              </w:rPr>
              <w:t>con capacidad de auto detonación.</w:t>
            </w:r>
          </w:p>
        </w:tc>
      </w:tr>
    </w:tbl>
    <w:p w14:paraId="7D38B6A9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1. (U) SITUACIÓN</w:t>
      </w:r>
    </w:p>
    <w:p w14:paraId="03C45E45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a. Área de operaciones</w:t>
      </w:r>
    </w:p>
    <w:p w14:paraId="1F612DB2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(U) Área de interés. Isla Dawson, estrecho de Magallanes y las aproximaciones marítimas y aéreas desde las cuales fuerzas azules pueden aislar, desembarcar o reforzar una fuerza de asalto.</w:t>
      </w:r>
    </w:p>
    <w:p w14:paraId="6E22DB14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(U) Área de operaciones. AO BAKER, incluyendo APOD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(OBJ ROJO 1), SPOD Harris (OBJ ROJO 2), rutas terrestres entre ambos objetivos, zonas aptas para desembarco y terrenos dominantes que controlan las aproximaciones.</w:t>
      </w:r>
    </w:p>
    <w:p w14:paraId="4A3B912A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(3) (U) Terreno y meteorología. El terreno canaliza el movimiento hacia la red vial existente, limita la maniobra fuera de camino y favorece la defensa de pasos obligados. La meteorología puede restringir ISR, apoyo aéreo, movilidad de vehículos y operaciones de desembarco.</w:t>
      </w:r>
    </w:p>
    <w:p w14:paraId="6A3CDEAF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b. Fuerzas enemigas</w:t>
      </w:r>
    </w:p>
    <w:p w14:paraId="3C37C507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(U) Situación general. Fuerzas azules preparan una operación anfibia para recuperar infraestructura crítica de isla Dawson y emplearla como base adelantada. Se estima que la fuerza de desembarco será de magnitud compañía reforzada, apoyada por medios navales, ISR, fuerzas especiales y apoyo aéreo conjunto.</w:t>
      </w:r>
    </w:p>
    <w:p w14:paraId="428E7522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(2) (U) Capacidades. El enemigo puede: ejecutar reconocimiento previo; realizar movimiento buque–playa por más de un punto; emplear fuegos aéreos contra posiciones detectadas; capturar APOD y SPOD mediante acciones simultáneas o sucesivas; introducir sistemas A2/AD después del desembarco; y mantener una reserva embarcada para explotar el éxito o responder a un contraataque.</w:t>
      </w:r>
    </w:p>
    <w:p w14:paraId="6E308027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(3) (U) Limitaciones estimadas. La fuerza de desembarco dependerá inicialmente del sostenimiento desde el mar, tendrá capacidad limitada para reemplazar pérdidas y deberá asegurar rutas antes de introducir medios logísticos pesados.</w:t>
      </w:r>
    </w:p>
    <w:p w14:paraId="55B13A19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(4) (U) Curso de acción más probable. Desembarcar en AO BAKER, aislar los núcleos defensivos, capturar primero el objetivo que permita desarticular el sistema defensivo y luego despejar la ruta entre Harris y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>.</w:t>
      </w:r>
    </w:p>
    <w:p w14:paraId="0B0EBA82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(5) (U) Curso de acción más peligroso. Ejecutar desembarcos simultáneos próximos a ambos objetivos, neutralizar tempranamente la artillería y defensa antiaérea, y emplear una fuerza móvil para bloquear la reserva roja antes de que pueda contraatacar.</w:t>
      </w:r>
    </w:p>
    <w:p w14:paraId="4F15D681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c. Fuerzas propias</w:t>
      </w:r>
    </w:p>
    <w:p w14:paraId="13D3056F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(U) Misión del escalón superior. El Comando Rojo Austral mantiene el control de isla Dawson para conservar una base expedicionaria avanzada, negar su empleo a fuerzas azules y sostener una posición favorable en el conflicto por el paso marítimo Atlántico–Pacífico.</w:t>
      </w:r>
    </w:p>
    <w:p w14:paraId="21841C63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(U) Apoyos. Se prevé refuerzo de magnitud compañía o superior a contar del 31 JUL, sujeto a que APOD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o SPOD Harris permanezcan utilizables. Medios aéreos y navales rojos fuera del área pueden apoyar de manera limitada, conforme disponibilidad del ejercicio.</w:t>
      </w:r>
    </w:p>
    <w:p w14:paraId="6441CA1E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lastRenderedPageBreak/>
        <w:t>d. Agregaciones y segregaciones</w:t>
      </w:r>
    </w:p>
    <w:p w14:paraId="4AF3DE07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(U) Ninguna, salvo las indicadas en la organización de tarea. La batería 155 mm permanece en apoyo directo del Destacamento Dawson.</w:t>
      </w:r>
    </w:p>
    <w:p w14:paraId="0899996C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2. (U) MISIÓN</w:t>
      </w:r>
    </w:p>
    <w:p w14:paraId="079F86C6" w14:textId="0D2C61CA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El Destacamento Dawson </w:t>
      </w:r>
      <w:r w:rsidR="00CC1EAA" w:rsidRPr="00CC1EAA">
        <w:rPr>
          <w:rFonts w:cs="Arial"/>
          <w:color w:val="000000" w:themeColor="text1"/>
          <w:sz w:val="18"/>
          <w:szCs w:val="18"/>
          <w:lang w:val="es-ES_tradnl"/>
        </w:rPr>
        <w:t>Retener</w:t>
      </w: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APOD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y SPOD Harris desde 291600 JUL hasta el arribo de refuerzos NLT 310600 JUL, con el propósito de impedir que fuerzas azules reactiven isla Dawson como base naval y aérea adelantada.</w:t>
      </w:r>
    </w:p>
    <w:p w14:paraId="0E0218CC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3. (U) EJECUCIÓN</w:t>
      </w:r>
    </w:p>
    <w:p w14:paraId="017E0CCD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a. Intención del comandante</w:t>
      </w:r>
    </w:p>
    <w:p w14:paraId="5BBDBAE9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(U) Propósito. Negar a la fuerza de desembarco el control simultáneo del APOD y SPOD, conservar al menos una instalación crítica operativa y ganar tiempo para la llegada de refuerzos.</w:t>
      </w:r>
    </w:p>
    <w:p w14:paraId="18B85D75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(U) Método. Detectar el desembarco con la mayor anticipación posible; degradar su libertad de acción mediante obstáculos, fuegos y ataques de sistemas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loitering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; defender Harris y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como posiciones mutuamente apoyadas; evitar quedar fijados en una defensa estática; y emplear la reserva móvil contra una fuerza azul aislada, su apoyo logístico o el objetivo más débilmente ocupado. La prioridad inicial será preservar la artillería, la defensa antiaérea y la reserva móvil hasta identificar el esfuerzo principal enemigo.</w:t>
      </w:r>
    </w:p>
    <w:p w14:paraId="73E60427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(3) (U) Estado final. Al arribo de refuerzos, fuerzas rojas conservan al menos uno de los dos objetivos críticos y una ruta de acceso; la fuerza azul no puede operar simultáneamente APOD y SPOD; el Destacamento Dawson mantiene mando y control, capacidad de combate organizada y condiciones para continuar la defensa o ejecutar un contraataque coordinado.</w:t>
      </w:r>
    </w:p>
    <w:p w14:paraId="5A3A4447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b. Concepto de operaciones</w:t>
      </w:r>
    </w:p>
    <w:p w14:paraId="085A383B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(U) La operación se ejecutará en cuatro fases:</w:t>
      </w:r>
    </w:p>
    <w:p w14:paraId="082BDA25" w14:textId="77777777" w:rsidR="00EA0949" w:rsidRPr="00CC1EAA" w:rsidRDefault="00000000">
      <w:pPr>
        <w:spacing w:after="40" w:line="240" w:lineRule="auto"/>
        <w:ind w:left="227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Fase I – Preparación y vigilancia. Inicia con la recepción de esta orden y termina con la detección confirmada del movimiento buque–playa. Se completarán posiciones alternas, obstáculos, planes de fuego, rutas de repliegue, puntos de observación y medidas de engaño. Los sistemas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loitering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y patrullas priorizarán la localización de medios de desembarco, puestos de mando, defensa antiaérea y apoyo logístico azul.</w:t>
      </w:r>
    </w:p>
    <w:p w14:paraId="155C8573" w14:textId="77777777" w:rsidR="00EA0949" w:rsidRPr="00CC1EAA" w:rsidRDefault="00000000">
      <w:pPr>
        <w:spacing w:after="40" w:line="240" w:lineRule="auto"/>
        <w:ind w:left="227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Fase II – Disrupción del desembarco. Inicia con la detección del movimiento buque–playa y termina cuando el enemigo establece una cabeza de playa organizada. La artillería, sistemas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loitering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y fuegos directos atacarán blancos que retrasen la acumulación de poder de combate. Las unidades evitarán revelar prematuramente todas sus posiciones.</w:t>
      </w:r>
    </w:p>
    <w:p w14:paraId="1978559C" w14:textId="77777777" w:rsidR="00EA0949" w:rsidRPr="00CC1EAA" w:rsidRDefault="00000000">
      <w:pPr>
        <w:spacing w:after="40" w:line="240" w:lineRule="auto"/>
        <w:ind w:left="227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Fase III – Defensa de objetivos. Inicia cuando la fuerza azul abandona la cabeza de playa y termina cuando captura un objetivo o pierde su capacidad ofensiva. GT Harris y GT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defenderán en profundidad, empleando posiciones primarias, alternas y suplementarias. La reserva móvil permanecerá oculta y preparada para contraatacar sobre orden.</w:t>
      </w:r>
    </w:p>
    <w:p w14:paraId="38790A6E" w14:textId="77777777" w:rsidR="00EA0949" w:rsidRPr="00CC1EAA" w:rsidRDefault="00000000">
      <w:pPr>
        <w:spacing w:after="40" w:line="240" w:lineRule="auto"/>
        <w:ind w:left="227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Fase IV – Retención o contraataque. Inicia con la captura parcial de un objetivo o con la culminación del ataque azul y termina con el arribo de refuerzos. Se mantendrá el objetivo restante, se aislarán las fuerzas azules adelantadas y se ejecutará un contraataque limitado para recuperar terreno, abrir una ruta o impedir la operación del APOD/SPOD.</w:t>
      </w:r>
    </w:p>
    <w:p w14:paraId="1691DFC0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c. Esquema de maniobra</w:t>
      </w:r>
    </w:p>
    <w:p w14:paraId="75418EA8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GT Harris constituye el esfuerzo principal inicial y retiene SPOD Harris, debido a su valor para el sostenimiento y recepción de refuerzos marítimos.</w:t>
      </w:r>
    </w:p>
    <w:p w14:paraId="6F0AAEED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GT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constituye el esfuerzo de apoyo y niega el uso de APOD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>, canalizando la fuerza azul y manteniendo capacidad de desplazamiento hacia Harris.</w:t>
      </w:r>
    </w:p>
    <w:p w14:paraId="07E5A985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(3) La reserva móvil se mantiene bajo control del comandante del Destacamento Dawson, inicialmente en una zona cubierta entre ambos objetivos, con rutas preparadas hacia Harris,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y los principales ejes de avance.</w:t>
      </w:r>
    </w:p>
    <w:p w14:paraId="10A50AB1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(4) Si la inteligencia confirma que el esfuerzo principal azul se orienta al APOD, el esfuerzo principal podrá cambiar a GT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mediante FRAGO.</w:t>
      </w:r>
    </w:p>
    <w:p w14:paraId="2697E4B2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d. Fuegos</w:t>
      </w:r>
    </w:p>
    <w:p w14:paraId="2C2D4394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Prioridad de fuegos inicial: medios de desembarco y concentraciones de tropas en playa; posteriormente, puestos de mando, medios de apoyo logístico, sistemas A2/AD, vehículos de combate y fuerzas que intenten aislar los objetivos.</w:t>
      </w:r>
    </w:p>
    <w:p w14:paraId="5F86401B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(2) La batería 155 mm empleará posiciones primarias y alternas, limitará emisiones y desplazará después de misiones de fuego críticas.</w:t>
      </w:r>
    </w:p>
    <w:p w14:paraId="3C56469E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(3) Los sistemas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loitering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se conservarán para blancos de alto valor o para detener el esfuerzo principal enemigo en un paso obligado.</w:t>
      </w:r>
    </w:p>
    <w:p w14:paraId="54DFEA12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e. Inteligencia</w:t>
      </w:r>
    </w:p>
    <w:p w14:paraId="2D23AA1A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Prioridades de información: ubicación del esfuerzo principal azul; lugar y hora de desembarco; ubicación de la reserva embarcada; introducción de sistemas A2/AD; ubicación del puesto de mando y tren logístico; y condición de las rutas entre playa, APOD y SPOD.</w:t>
      </w:r>
    </w:p>
    <w:p w14:paraId="4C41810F" w14:textId="77777777" w:rsidR="00EA0949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(2) Los elementos de reconocimiento evitarán combate decisivo y reportarán por medios alternativos conforme PACE.</w:t>
      </w:r>
    </w:p>
    <w:p w14:paraId="53A9A43A" w14:textId="77777777" w:rsidR="00CC1EAA" w:rsidRPr="00CC1EAA" w:rsidRDefault="00CC1EAA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</w:p>
    <w:p w14:paraId="292D67E5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lastRenderedPageBreak/>
        <w:t>g. Instrucciones de coordinación</w:t>
      </w:r>
    </w:p>
    <w:p w14:paraId="4DF791C2" w14:textId="15BD4B44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(1) Día D: 29 JUL. Hora H estimada del enemigo: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>nocturno</w:t>
      </w:r>
    </w:p>
    <w:p w14:paraId="6147AD63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(3) Autoridad para destruir infraestructura crítica: solo por orden del comandante del Destacamento Dawson. Se privilegiará su inutilización temporal antes que su destrucción permanente.</w:t>
      </w:r>
    </w:p>
    <w:p w14:paraId="15D38E34" w14:textId="7397E3C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(4) Criterios de repliegue local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 a posiciones alternativas</w:t>
      </w: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: riesgo de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>envolvimiento</w:t>
      </w:r>
      <w:r w:rsidRPr="00CC1EAA">
        <w:rPr>
          <w:rFonts w:cs="Arial"/>
          <w:color w:val="000000" w:themeColor="text1"/>
          <w:sz w:val="18"/>
          <w:szCs w:val="18"/>
          <w:lang w:val="es-ES_tradnl"/>
        </w:rPr>
        <w:t>; pérdida de 30 % de la capacidad de combate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>.</w:t>
      </w:r>
    </w:p>
    <w:p w14:paraId="70030F32" w14:textId="250A332B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(5) No se autoriza repliegue fuera de AO BAKER sin orden. </w:t>
      </w:r>
    </w:p>
    <w:p w14:paraId="5D70664C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(7) Criterios de éxito: conservar al menos un objetivo crítico hasta 310600 JUL; impedir la operación simultánea de APOD y SPOD; mantener una fuerza organizada capaz de enlazar con refuerzos; y preservar una ruta de acceso a la instalación retenida.</w:t>
      </w:r>
    </w:p>
    <w:p w14:paraId="3C115351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4. (U) ADMINISTRACIÓN Y LOGÍSTICA</w:t>
      </w:r>
    </w:p>
    <w:p w14:paraId="7FB61EDE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a. Concepto de apoyo</w:t>
      </w:r>
    </w:p>
    <w:p w14:paraId="08CB1FB1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(U) El apoyo se ejecutará mediante depósitos dispersos, puntos logísticos alternos y redistribución nocturna o bajo cobertura. La prioridad es sostener el esfuerzo principal, la artillería, la reserva móvil y las capacidades antiblindaje/antiaéreas.</w:t>
      </w:r>
    </w:p>
    <w:p w14:paraId="738B7222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b. Abastecimiento</w:t>
      </w:r>
    </w:p>
    <w:p w14:paraId="47A68254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Clase I. Raciones y agua para 72 horas en posiciones; reserva adicional en depósitos alternos.</w:t>
      </w:r>
    </w:p>
    <w:p w14:paraId="59E2B3A5" w14:textId="01621FD9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Clase III.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Autonomía de 300 km por </w:t>
      </w:r>
      <w:proofErr w:type="spellStart"/>
      <w:r w:rsidR="00CC1EAA">
        <w:rPr>
          <w:rFonts w:cs="Arial"/>
          <w:color w:val="000000" w:themeColor="text1"/>
          <w:sz w:val="18"/>
          <w:szCs w:val="18"/>
          <w:lang w:val="es-ES_tradnl"/>
        </w:rPr>
        <w:t>vehiculo</w:t>
      </w:r>
      <w:proofErr w:type="spellEnd"/>
      <w:r w:rsidR="00CC1EAA">
        <w:rPr>
          <w:rFonts w:cs="Arial"/>
          <w:color w:val="000000" w:themeColor="text1"/>
          <w:sz w:val="18"/>
          <w:szCs w:val="18"/>
          <w:lang w:val="es-ES_tradnl"/>
        </w:rPr>
        <w:t>.</w:t>
      </w:r>
    </w:p>
    <w:p w14:paraId="6912A6B1" w14:textId="597A648C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(3) Clase V.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3 DOT Básicas por armas. Cantidad de municiones especiales asignadas (ver principio de la orden). </w:t>
      </w:r>
      <w:proofErr w:type="spellStart"/>
      <w:r w:rsidR="00CC1EAA">
        <w:rPr>
          <w:rFonts w:cs="Arial"/>
          <w:color w:val="000000" w:themeColor="text1"/>
          <w:sz w:val="18"/>
          <w:szCs w:val="18"/>
          <w:lang w:val="es-ES_tradnl"/>
        </w:rPr>
        <w:t>Bateria</w:t>
      </w:r>
      <w:proofErr w:type="spellEnd"/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 cuenta con 40 tiros HE para dos misiones de fuego las cuales deben ser ejecutadas mediante EFST.</w:t>
      </w:r>
    </w:p>
    <w:p w14:paraId="72A98085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c. Sanidad y evacuación</w:t>
      </w:r>
    </w:p>
    <w:p w14:paraId="6BB451BE" w14:textId="3CB467D3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(1) Establecer puestos de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atención de heridos </w:t>
      </w: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alternos en Harris y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>.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 Cada sección logística cuanta con unidad PMA para atender tres heridos en forma </w:t>
      </w:r>
      <w:proofErr w:type="spellStart"/>
      <w:r w:rsidR="00CC1EAA">
        <w:rPr>
          <w:rFonts w:cs="Arial"/>
          <w:color w:val="000000" w:themeColor="text1"/>
          <w:sz w:val="18"/>
          <w:szCs w:val="18"/>
          <w:lang w:val="es-ES_tradnl"/>
        </w:rPr>
        <w:t>simultanea</w:t>
      </w:r>
      <w:proofErr w:type="spellEnd"/>
      <w:r w:rsidR="00CC1EAA">
        <w:rPr>
          <w:rFonts w:cs="Arial"/>
          <w:color w:val="000000" w:themeColor="text1"/>
          <w:sz w:val="18"/>
          <w:szCs w:val="18"/>
          <w:lang w:val="es-ES_tradnl"/>
        </w:rPr>
        <w:t>.</w:t>
      </w:r>
    </w:p>
    <w:p w14:paraId="7FB0E7B9" w14:textId="2F2E16A4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Evacuación terrestre hacia el objetivo retenido. Evacuación aérea 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>vía CH-47, debiendo ser informadas LZ en emisión de OPORD.</w:t>
      </w:r>
    </w:p>
    <w:p w14:paraId="367B482C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d. Personal y prisioneros</w:t>
      </w:r>
    </w:p>
    <w:p w14:paraId="328C988D" w14:textId="56859231" w:rsidR="00EA0949" w:rsidRPr="00CC1EAA" w:rsidRDefault="00CC1EAA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>
        <w:rPr>
          <w:rFonts w:cs="Arial"/>
          <w:color w:val="000000" w:themeColor="text1"/>
          <w:sz w:val="18"/>
          <w:szCs w:val="18"/>
          <w:lang w:val="es-ES_tradnl"/>
        </w:rPr>
        <w:t>(</w:t>
      </w:r>
      <w:proofErr w:type="gramStart"/>
      <w:r>
        <w:rPr>
          <w:rFonts w:cs="Arial"/>
          <w:color w:val="000000" w:themeColor="text1"/>
          <w:sz w:val="18"/>
          <w:szCs w:val="18"/>
          <w:lang w:val="es-ES_tradnl"/>
        </w:rPr>
        <w:t>1)</w:t>
      </w:r>
      <w:r w:rsidR="00000000" w:rsidRPr="00CC1EAA">
        <w:rPr>
          <w:rFonts w:cs="Arial"/>
          <w:color w:val="000000" w:themeColor="text1"/>
          <w:sz w:val="18"/>
          <w:szCs w:val="18"/>
          <w:lang w:val="es-ES_tradnl"/>
        </w:rPr>
        <w:t>Personal</w:t>
      </w:r>
      <w:proofErr w:type="gramEnd"/>
      <w:r w:rsidR="00000000"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 aislado se integrará a la unidad roja más próxima.</w:t>
      </w:r>
    </w:p>
    <w:p w14:paraId="56C52786" w14:textId="339EF586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(2) Prisioneros y personal capturado serán desarmados, registrados, segregados y trasladados al punto de colección establecido por el puesto de mando</w:t>
      </w:r>
      <w:r w:rsidR="00CC1EAA">
        <w:rPr>
          <w:rFonts w:cs="Arial"/>
          <w:color w:val="000000" w:themeColor="text1"/>
          <w:sz w:val="18"/>
          <w:szCs w:val="18"/>
          <w:lang w:val="es-ES_tradnl"/>
        </w:rPr>
        <w:t xml:space="preserve"> para interrogatorio táctico.</w:t>
      </w:r>
    </w:p>
    <w:p w14:paraId="648A1266" w14:textId="77777777" w:rsidR="00EA0949" w:rsidRPr="00CC1EAA" w:rsidRDefault="00000000">
      <w:pPr>
        <w:pStyle w:val="Ttulo1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5. (U) MANDO Y SEÑALES</w:t>
      </w:r>
    </w:p>
    <w:p w14:paraId="1FF0C147" w14:textId="77777777" w:rsidR="00EA0949" w:rsidRPr="00CC1EAA" w:rsidRDefault="00000000">
      <w:pPr>
        <w:pStyle w:val="Ttulo2"/>
        <w:spacing w:before="100" w:after="40"/>
        <w:rPr>
          <w:rFonts w:ascii="Arial" w:hAnsi="Arial" w:cs="Arial"/>
          <w:color w:val="000000" w:themeColor="text1"/>
          <w:sz w:val="18"/>
          <w:szCs w:val="18"/>
          <w:lang w:val="es-ES_tradnl"/>
        </w:rPr>
      </w:pPr>
      <w:r w:rsidRPr="00CC1EAA">
        <w:rPr>
          <w:rFonts w:ascii="Arial" w:eastAsia="Arial" w:hAnsi="Arial" w:cs="Arial"/>
          <w:color w:val="000000" w:themeColor="text1"/>
          <w:sz w:val="18"/>
          <w:szCs w:val="18"/>
          <w:lang w:val="es-ES_tradnl"/>
        </w:rPr>
        <w:t>a. Mando</w:t>
      </w:r>
    </w:p>
    <w:p w14:paraId="72337BAF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(1) Puesto de mando principal: área general Harris, en ubicación cubierta y desplazable.</w:t>
      </w:r>
    </w:p>
    <w:p w14:paraId="3C1CDFF0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(2) Puesto de mando alterno: área general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>.</w:t>
      </w:r>
    </w:p>
    <w:p w14:paraId="3AC7BB4D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 xml:space="preserve">(3) Sucesión de mando: comandante Destacamento Dawson; comandante GT Harris; comandante GT </w:t>
      </w:r>
      <w:proofErr w:type="spellStart"/>
      <w:r w:rsidRPr="00CC1EAA">
        <w:rPr>
          <w:rFonts w:cs="Arial"/>
          <w:color w:val="000000" w:themeColor="text1"/>
          <w:sz w:val="18"/>
          <w:szCs w:val="18"/>
          <w:lang w:val="es-ES_tradnl"/>
        </w:rPr>
        <w:t>Schroeders</w:t>
      </w:r>
      <w:proofErr w:type="spellEnd"/>
      <w:r w:rsidRPr="00CC1EAA">
        <w:rPr>
          <w:rFonts w:cs="Arial"/>
          <w:color w:val="000000" w:themeColor="text1"/>
          <w:sz w:val="18"/>
          <w:szCs w:val="18"/>
          <w:lang w:val="es-ES_tradnl"/>
        </w:rPr>
        <w:t>; comandante reserva móvil.</w:t>
      </w:r>
    </w:p>
    <w:p w14:paraId="1B694CE5" w14:textId="77777777" w:rsidR="00EA0949" w:rsidRPr="00CC1EAA" w:rsidRDefault="00000000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  <w:r w:rsidRPr="00CC1EAA">
        <w:rPr>
          <w:rFonts w:cs="Arial"/>
          <w:color w:val="000000" w:themeColor="text1"/>
          <w:sz w:val="18"/>
          <w:szCs w:val="18"/>
          <w:lang w:val="es-ES_tradnl"/>
        </w:rPr>
        <w:t>(4) El comandante se desplazará al objetivo que constituya el esfuerzo principal una vez confirmado el esquema de maniobra azul.</w:t>
      </w:r>
    </w:p>
    <w:p w14:paraId="4C396D96" w14:textId="743DEDDE" w:rsidR="00EA0949" w:rsidRPr="00CC1EAA" w:rsidRDefault="00EA0949">
      <w:pPr>
        <w:spacing w:after="40" w:line="240" w:lineRule="auto"/>
        <w:rPr>
          <w:rFonts w:cs="Arial"/>
          <w:color w:val="000000" w:themeColor="text1"/>
          <w:sz w:val="18"/>
          <w:szCs w:val="18"/>
          <w:lang w:val="es-ES_tradnl"/>
        </w:rPr>
      </w:pPr>
    </w:p>
    <w:sectPr w:rsidR="00EA0949" w:rsidRPr="00CC1EAA" w:rsidSect="00034616">
      <w:headerReference w:type="default" r:id="rId8"/>
      <w:footerReference w:type="default" r:id="rId9"/>
      <w:pgSz w:w="12240" w:h="15840"/>
      <w:pgMar w:top="907" w:right="1134" w:bottom="85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B85A3" w14:textId="77777777" w:rsidR="00A32581" w:rsidRDefault="00A32581">
      <w:pPr>
        <w:spacing w:after="0" w:line="240" w:lineRule="auto"/>
      </w:pPr>
      <w:r>
        <w:separator/>
      </w:r>
    </w:p>
  </w:endnote>
  <w:endnote w:type="continuationSeparator" w:id="0">
    <w:p w14:paraId="114AD4FF" w14:textId="77777777" w:rsidR="00A32581" w:rsidRDefault="00A32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544F3" w14:textId="77777777" w:rsidR="00EA0949" w:rsidRDefault="00000000">
    <w:pPr>
      <w:pStyle w:val="Piedepgina"/>
      <w:jc w:val="right"/>
    </w:pPr>
    <w:r>
      <w:rPr>
        <w:sz w:val="16"/>
      </w:rPr>
      <w:t xml:space="preserve">EJERCICIO DOMINACIÓN | </w:t>
    </w:r>
    <w:r>
      <w:rPr>
        <w:sz w:val="16"/>
      </w:rPr>
      <w:fldChar w:fldCharType="begin"/>
    </w:r>
    <w:r>
      <w:rPr>
        <w:sz w:val="16"/>
      </w:rPr>
      <w:instrText>PAGE</w:instrText>
    </w:r>
    <w:r w:rsidR="00CC1EAA">
      <w:rPr>
        <w:sz w:val="16"/>
      </w:rPr>
      <w:fldChar w:fldCharType="separate"/>
    </w:r>
    <w:r w:rsidR="00CC1EAA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9BCE9" w14:textId="77777777" w:rsidR="00A32581" w:rsidRDefault="00A32581">
      <w:pPr>
        <w:spacing w:after="0" w:line="240" w:lineRule="auto"/>
      </w:pPr>
      <w:r>
        <w:separator/>
      </w:r>
    </w:p>
  </w:footnote>
  <w:footnote w:type="continuationSeparator" w:id="0">
    <w:p w14:paraId="250F14A3" w14:textId="77777777" w:rsidR="00A32581" w:rsidRDefault="00A325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EDEA5" w14:textId="77777777" w:rsidR="00EA0949" w:rsidRDefault="00000000">
    <w:pPr>
      <w:pStyle w:val="Encabezado"/>
      <w:jc w:val="center"/>
    </w:pPr>
    <w:r>
      <w:rPr>
        <w:b/>
        <w:sz w:val="18"/>
      </w:rPr>
      <w:t>SITUACIÓN FICTICIA PARA FINES EDUCACIONALES</w:t>
    </w:r>
  </w:p>
  <w:p w14:paraId="6AA03701" w14:textId="77777777" w:rsidR="00EA0949" w:rsidRDefault="00000000">
    <w:pPr>
      <w:jc w:val="center"/>
    </w:pPr>
    <w:r>
      <w:rPr>
        <w:b/>
        <w:sz w:val="16"/>
      </w:rPr>
      <w:t>PARA USO DE EJERCICIO CON FINES DE INSTRUCCIÓN – ESCUELA 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64730541">
    <w:abstractNumId w:val="8"/>
  </w:num>
  <w:num w:numId="2" w16cid:durableId="180702579">
    <w:abstractNumId w:val="6"/>
  </w:num>
  <w:num w:numId="3" w16cid:durableId="1816098221">
    <w:abstractNumId w:val="5"/>
  </w:num>
  <w:num w:numId="4" w16cid:durableId="131868717">
    <w:abstractNumId w:val="4"/>
  </w:num>
  <w:num w:numId="5" w16cid:durableId="1857422401">
    <w:abstractNumId w:val="7"/>
  </w:num>
  <w:num w:numId="6" w16cid:durableId="990139490">
    <w:abstractNumId w:val="3"/>
  </w:num>
  <w:num w:numId="7" w16cid:durableId="2017808943">
    <w:abstractNumId w:val="2"/>
  </w:num>
  <w:num w:numId="8" w16cid:durableId="1665207243">
    <w:abstractNumId w:val="1"/>
  </w:num>
  <w:num w:numId="9" w16cid:durableId="334311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52615"/>
    <w:rsid w:val="0029639D"/>
    <w:rsid w:val="00326F90"/>
    <w:rsid w:val="00A32581"/>
    <w:rsid w:val="00AA1D8D"/>
    <w:rsid w:val="00B47730"/>
    <w:rsid w:val="00CB0664"/>
    <w:rsid w:val="00CC1EAA"/>
    <w:rsid w:val="00EA094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99D0F4"/>
  <w14:defaultImageDpi w14:val="300"/>
  <w15:docId w15:val="{1DB3373E-0C6B-0142-98AC-53F7449C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1725</Words>
  <Characters>9010</Characters>
  <Application>Microsoft Office Word</Application>
  <DocSecurity>0</DocSecurity>
  <Lines>176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10623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Friedrich von der Weth</cp:lastModifiedBy>
  <cp:revision>2</cp:revision>
  <dcterms:created xsi:type="dcterms:W3CDTF">2026-07-24T20:28:00Z</dcterms:created>
  <dcterms:modified xsi:type="dcterms:W3CDTF">2026-07-24T20:28:00Z</dcterms:modified>
  <cp:category/>
</cp:coreProperties>
</file>