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98404" w14:textId="77777777" w:rsidR="004370A3" w:rsidRPr="00BF077B" w:rsidRDefault="004370A3" w:rsidP="00BF077B">
      <w:pPr>
        <w:pStyle w:val="ATSNormal"/>
        <w:rPr>
          <w:rStyle w:val="Ttulodellibro"/>
        </w:rPr>
      </w:pPr>
    </w:p>
    <w:p w14:paraId="4B1A5C21" w14:textId="77777777" w:rsidR="004370A3" w:rsidRDefault="004370A3" w:rsidP="004B4A60">
      <w:pPr>
        <w:rPr>
          <w:b/>
          <w:u w:val="single"/>
          <w:lang w:val="es-ES_tradnl"/>
        </w:rPr>
      </w:pPr>
    </w:p>
    <w:p w14:paraId="4D4D2D30" w14:textId="77777777" w:rsidR="004370A3" w:rsidRDefault="004370A3" w:rsidP="004B4A60">
      <w:pPr>
        <w:rPr>
          <w:b/>
          <w:u w:val="single"/>
          <w:lang w:val="es-ES_tradnl"/>
        </w:rPr>
      </w:pPr>
    </w:p>
    <w:p w14:paraId="24CB640E" w14:textId="77777777" w:rsidR="004370A3" w:rsidRDefault="004370A3" w:rsidP="004B4A60">
      <w:pPr>
        <w:rPr>
          <w:b/>
          <w:u w:val="single"/>
          <w:lang w:val="es-ES_tradnl"/>
        </w:rPr>
      </w:pPr>
    </w:p>
    <w:p w14:paraId="29CA29DB" w14:textId="77777777" w:rsidR="004370A3" w:rsidRDefault="004370A3" w:rsidP="004B4A60">
      <w:pPr>
        <w:rPr>
          <w:b/>
          <w:u w:val="single"/>
          <w:lang w:val="es-ES_tradnl"/>
        </w:rPr>
      </w:pPr>
    </w:p>
    <w:p w14:paraId="4BB475F3" w14:textId="77777777" w:rsidR="004370A3" w:rsidRDefault="004370A3" w:rsidP="004B4A60">
      <w:pPr>
        <w:rPr>
          <w:b/>
          <w:u w:val="single"/>
          <w:lang w:val="es-ES_tradnl"/>
        </w:rPr>
      </w:pPr>
    </w:p>
    <w:p w14:paraId="0C6739F0" w14:textId="77777777" w:rsidR="00B019B6" w:rsidRDefault="004370A3" w:rsidP="001B789F">
      <w:pPr>
        <w:pStyle w:val="ATSTitle"/>
      </w:pPr>
      <w:bookmarkStart w:id="0" w:name="name"/>
      <w:r>
        <w:t>Towards an international framework for environmental monitoring</w:t>
      </w:r>
    </w:p>
    <w:p w14:paraId="3086B388" w14:textId="77777777" w:rsidR="00B019B6" w:rsidRDefault="00B019B6" w:rsidP="001B789F">
      <w:pPr>
        <w:pStyle w:val="ATSTitle"/>
      </w:pPr>
    </w:p>
    <w:p w14:paraId="651DB860" w14:textId="6F266F3F" w:rsidR="004370A3" w:rsidRPr="0057246E" w:rsidRDefault="004370A3" w:rsidP="001B789F">
      <w:pPr>
        <w:pStyle w:val="ATSTitle"/>
      </w:pPr>
      <w:r>
        <w:t xml:space="preserve"> Report of the ICG and way forward</w:t>
      </w:r>
    </w:p>
    <w:bookmarkEnd w:id="0"/>
    <w:p w14:paraId="4037378E" w14:textId="77777777" w:rsidR="007805C2" w:rsidRDefault="007805C2" w:rsidP="001B789F">
      <w:pPr>
        <w:pStyle w:val="ATSTitle"/>
      </w:pPr>
    </w:p>
    <w:p w14:paraId="215B2605" w14:textId="77777777" w:rsidR="004370A3" w:rsidRPr="0057246E" w:rsidRDefault="004370A3" w:rsidP="00F75424">
      <w:pPr>
        <w:jc w:val="center"/>
      </w:pPr>
    </w:p>
    <w:p w14:paraId="40CE42B7" w14:textId="77777777" w:rsidR="004370A3" w:rsidRPr="002F0A13" w:rsidRDefault="004370A3" w:rsidP="002F0A13"/>
    <w:p w14:paraId="43E24976" w14:textId="77777777" w:rsidR="004370A3" w:rsidRDefault="004370A3" w:rsidP="00F75424">
      <w:pPr>
        <w:jc w:val="center"/>
      </w:pPr>
      <w:bookmarkStart w:id="1" w:name="memo"/>
      <w:bookmarkEnd w:id="1"/>
    </w:p>
    <w:p w14:paraId="5B290BAF" w14:textId="77777777" w:rsidR="004370A3" w:rsidRDefault="004370A3" w:rsidP="00F75424">
      <w:pPr>
        <w:jc w:val="center"/>
      </w:pPr>
    </w:p>
    <w:p w14:paraId="50B20DEB" w14:textId="77777777" w:rsidR="004370A3" w:rsidRDefault="004370A3" w:rsidP="00F75424">
      <w:pPr>
        <w:jc w:val="center"/>
      </w:pPr>
    </w:p>
    <w:p w14:paraId="59CCC5F0" w14:textId="77777777" w:rsidR="004370A3" w:rsidRDefault="004370A3" w:rsidP="00F75424">
      <w:pPr>
        <w:jc w:val="center"/>
      </w:pPr>
    </w:p>
    <w:p w14:paraId="1FD272AA" w14:textId="77777777" w:rsidR="004370A3" w:rsidRPr="00C26F2D" w:rsidRDefault="004370A3" w:rsidP="00F75424">
      <w:pPr>
        <w:jc w:val="center"/>
      </w:pPr>
    </w:p>
    <w:p w14:paraId="67859B81" w14:textId="77777777" w:rsidR="004370A3" w:rsidRPr="0057246E" w:rsidRDefault="004370A3" w:rsidP="004B4A60"/>
    <w:p w14:paraId="0BAB831A" w14:textId="77777777" w:rsidR="004370A3" w:rsidRDefault="004370A3" w:rsidP="00952E9F">
      <w:pPr>
        <w:sectPr w:rsidR="004370A3" w:rsidSect="00D5023C">
          <w:headerReference w:type="default" r:id="rId8"/>
          <w:footerReference w:type="even" r:id="rId9"/>
          <w:footerReference w:type="default" r:id="rId10"/>
          <w:pgSz w:w="11907" w:h="16840" w:code="9"/>
          <w:pgMar w:top="1134" w:right="1701" w:bottom="1134" w:left="1701" w:header="709" w:footer="709" w:gutter="0"/>
          <w:cols w:space="708"/>
          <w:docGrid w:linePitch="360"/>
        </w:sectPr>
      </w:pPr>
    </w:p>
    <w:p w14:paraId="62C2026A" w14:textId="7DA19618" w:rsidR="00B019B6" w:rsidRDefault="00B019B6" w:rsidP="00B019B6">
      <w:pPr>
        <w:pStyle w:val="ATSHeading1"/>
      </w:pPr>
      <w:r>
        <w:lastRenderedPageBreak/>
        <w:t>Towards an international framework for environmental monitoring</w:t>
      </w:r>
    </w:p>
    <w:p w14:paraId="03D70310" w14:textId="349C1442" w:rsidR="00B019B6" w:rsidRPr="0057246E" w:rsidRDefault="00B019B6" w:rsidP="00B019B6">
      <w:pPr>
        <w:pStyle w:val="ATSHeading1"/>
      </w:pPr>
      <w:r>
        <w:t>Report of the ICG and way forward</w:t>
      </w:r>
    </w:p>
    <w:p w14:paraId="1A4B2834" w14:textId="77777777" w:rsidR="00B019B6" w:rsidRPr="00DE77E5" w:rsidRDefault="00B019B6" w:rsidP="00B019B6">
      <w:pPr>
        <w:pStyle w:val="ATSHeading2"/>
      </w:pPr>
      <w:r>
        <w:t>Summary</w:t>
      </w:r>
    </w:p>
    <w:p w14:paraId="505222B0" w14:textId="77777777" w:rsidR="00B019B6" w:rsidRDefault="00B019B6" w:rsidP="00B019B6">
      <w:pPr>
        <w:rPr>
          <w:szCs w:val="22"/>
          <w:lang w:val="en-US" w:eastAsia="en-GB"/>
        </w:rPr>
      </w:pPr>
      <w:r w:rsidRPr="00EF4190">
        <w:rPr>
          <w:szCs w:val="22"/>
          <w:lang w:val="en-US" w:eastAsia="en-GB"/>
        </w:rPr>
        <w:t xml:space="preserve">This paper </w:t>
      </w:r>
      <w:r>
        <w:rPr>
          <w:szCs w:val="22"/>
          <w:lang w:val="en-US" w:eastAsia="en-GB"/>
        </w:rPr>
        <w:t xml:space="preserve">summarizes the state of play of discussions towards an international framework for environmental monitoring and presents recommendations to follow-up discussions, following brief exchange in the ICG, which mandate was extended following its establishment at CEP25. </w:t>
      </w:r>
    </w:p>
    <w:p w14:paraId="7A09A4EF" w14:textId="77777777" w:rsidR="00B019B6" w:rsidRPr="00372AAE" w:rsidRDefault="00B019B6" w:rsidP="00B019B6">
      <w:pPr>
        <w:pStyle w:val="ATSHeading2"/>
      </w:pPr>
      <w:r>
        <w:t>Introduction and background</w:t>
      </w:r>
    </w:p>
    <w:p w14:paraId="5F094D59" w14:textId="77777777" w:rsidR="00B019B6" w:rsidRDefault="00B019B6" w:rsidP="00B019B6">
      <w:pPr>
        <w:rPr>
          <w:i/>
          <w:iCs/>
          <w:u w:val="single"/>
        </w:rPr>
      </w:pPr>
      <w:r>
        <w:rPr>
          <w:i/>
          <w:iCs/>
          <w:u w:val="single"/>
        </w:rPr>
        <w:t>Establishment of the ICG Towards an international framework for environmental monitoring</w:t>
      </w:r>
    </w:p>
    <w:p w14:paraId="02E93829" w14:textId="77777777" w:rsidR="00B019B6" w:rsidRPr="00A57037" w:rsidRDefault="00B019B6" w:rsidP="00B019B6">
      <w:pPr>
        <w:rPr>
          <w:i/>
          <w:iCs/>
          <w:u w:val="single"/>
        </w:rPr>
      </w:pPr>
    </w:p>
    <w:p w14:paraId="481C34CA" w14:textId="77777777" w:rsidR="00B019B6" w:rsidRDefault="00B019B6" w:rsidP="00B019B6">
      <w:r>
        <w:t>At CEP25, the Committee agreed to establish an ICG to discuss development of an international framework for environmental monitoring,</w:t>
      </w:r>
      <w:r w:rsidRPr="00807A97">
        <w:t xml:space="preserve"> </w:t>
      </w:r>
      <w:r>
        <w:t xml:space="preserve">to </w:t>
      </w:r>
      <w:r w:rsidRPr="00807A97">
        <w:t>provide an adequate overview of developments in the Antarctic environment</w:t>
      </w:r>
      <w:r>
        <w:t xml:space="preserve"> and fulfil the requirements of the Environment Protocol. </w:t>
      </w:r>
    </w:p>
    <w:p w14:paraId="7D22168D" w14:textId="77777777" w:rsidR="00B019B6" w:rsidRDefault="00B019B6" w:rsidP="00B019B6"/>
    <w:p w14:paraId="1FC82905" w14:textId="77777777" w:rsidR="00B019B6" w:rsidRDefault="00B019B6" w:rsidP="00B019B6">
      <w:r>
        <w:t xml:space="preserve">ICG discussions in 2023-2024 focused on the key components that could constitute the environmental monitoring framework, identifying the key provisions in the Environment Protocol related to environmental monitoring, as well as considerations relevant to the operationalization of the framework. </w:t>
      </w:r>
    </w:p>
    <w:p w14:paraId="5CDA59CA" w14:textId="77777777" w:rsidR="00B019B6" w:rsidRDefault="00B019B6" w:rsidP="00B019B6"/>
    <w:p w14:paraId="3FB38455" w14:textId="77777777" w:rsidR="00B019B6" w:rsidRDefault="00B019B6" w:rsidP="00B019B6">
      <w:pPr>
        <w:rPr>
          <w:i/>
          <w:iCs/>
          <w:u w:val="single"/>
        </w:rPr>
      </w:pPr>
      <w:r w:rsidRPr="00A57037">
        <w:rPr>
          <w:i/>
          <w:iCs/>
          <w:u w:val="single"/>
        </w:rPr>
        <w:t>Extension of the ICG mandate</w:t>
      </w:r>
      <w:r>
        <w:rPr>
          <w:i/>
          <w:iCs/>
          <w:u w:val="single"/>
        </w:rPr>
        <w:t xml:space="preserve"> to CEP27</w:t>
      </w:r>
    </w:p>
    <w:p w14:paraId="64E88492" w14:textId="77777777" w:rsidR="00B019B6" w:rsidRPr="00A57037" w:rsidRDefault="00B019B6" w:rsidP="00B019B6">
      <w:pPr>
        <w:rPr>
          <w:i/>
          <w:iCs/>
          <w:u w:val="single"/>
        </w:rPr>
      </w:pPr>
    </w:p>
    <w:p w14:paraId="4732D11F" w14:textId="77777777" w:rsidR="00B019B6" w:rsidRDefault="00B019B6" w:rsidP="00B019B6">
      <w:r>
        <w:t xml:space="preserve">Following the report of the ICG, including its recommendations as set out in CEP26 WP45, the Committee agreed to extend the mandate of the ICG for a further year to continue its work. The ICG was requested to report to CEP27, including on agreed definitions of: (1) what an international environmental monitoring framework was in the context of the Environmental Protocol, (2) its purpose (i.e. a brief explanation of its objectives), and (3) its scope (i.e. a brief description of what the framework was intended to monitor), taking into account the relevant provisions of the Environmental Protocol as contained in WP 45 of CEP 26. The ICG was also requested to review existing continent-wide observation and monitoring initiatives with the aim of preparing an initial set of parameters and indicators that might be included in the framework. </w:t>
      </w:r>
    </w:p>
    <w:p w14:paraId="038D6450" w14:textId="77777777" w:rsidR="00B019B6" w:rsidRDefault="00B019B6" w:rsidP="00B019B6"/>
    <w:p w14:paraId="624E0091" w14:textId="77777777" w:rsidR="00B019B6" w:rsidRDefault="00B019B6" w:rsidP="00B019B6">
      <w:r>
        <w:t xml:space="preserve">Following ICG discussions in 2024-2025, in CEP27 WP6 general agreement was reported on a description of an international environmental monitoring framework, its objectives, as well as on the potential structure of the framework and definitions of parameters and indicators to be included in the framework, as follows: </w:t>
      </w:r>
    </w:p>
    <w:p w14:paraId="65789AA8" w14:textId="77777777" w:rsidR="00B019B6" w:rsidRDefault="00B019B6" w:rsidP="00B019B6"/>
    <w:p w14:paraId="5ED21305" w14:textId="77777777" w:rsidR="00B019B6" w:rsidRDefault="00B019B6" w:rsidP="00B019B6">
      <w:pPr>
        <w:pStyle w:val="ATSNormal"/>
        <w:spacing w:line="276" w:lineRule="auto"/>
        <w:rPr>
          <w:b/>
          <w:bCs/>
          <w:i/>
          <w:iCs/>
          <w:sz w:val="24"/>
          <w:u w:val="single"/>
        </w:rPr>
      </w:pPr>
      <w:r>
        <w:rPr>
          <w:b/>
          <w:bCs/>
          <w:i/>
          <w:iCs/>
          <w:sz w:val="24"/>
          <w:u w:val="single"/>
        </w:rPr>
        <w:t>Description of the framework</w:t>
      </w:r>
    </w:p>
    <w:p w14:paraId="3C30878D" w14:textId="77777777" w:rsidR="00B019B6" w:rsidRDefault="00B019B6" w:rsidP="00B019B6">
      <w:pPr>
        <w:pStyle w:val="ATSNormal"/>
        <w:spacing w:line="276" w:lineRule="auto"/>
        <w:rPr>
          <w:i/>
          <w:iCs/>
          <w:sz w:val="24"/>
        </w:rPr>
      </w:pPr>
      <w:r>
        <w:rPr>
          <w:i/>
          <w:iCs/>
          <w:sz w:val="24"/>
        </w:rPr>
        <w:t xml:space="preserve">‘The environmental monitoring framework is a dynamic structure of policy relevant parameters, together with their guidelines, procedures, tools and datasets (e.g. a coordinated network) to monitor changes in the Antarctic environment at a continental scale. The framework promotes coordinated international efforts from all relevant actors, at spatially and temporally relevant scales, to identify and measure environmental changes and pressures from within and outside of the Treaty Area. Data and information collected under the framework are intended to inform actions and </w:t>
      </w:r>
      <w:r>
        <w:rPr>
          <w:i/>
          <w:iCs/>
          <w:sz w:val="24"/>
        </w:rPr>
        <w:lastRenderedPageBreak/>
        <w:t>management responses by the Antarctic Treaty Parties to comprehensively protect the Antarctic environment and dependent and associated ecosystems, and Antarctic values. The framework identifies key parameters to be monitored</w:t>
      </w:r>
      <w:r>
        <w:rPr>
          <w:rStyle w:val="Refdenotaalpie"/>
          <w:i/>
          <w:iCs/>
          <w:sz w:val="24"/>
        </w:rPr>
        <w:footnoteReference w:id="1"/>
      </w:r>
      <w:r>
        <w:rPr>
          <w:i/>
          <w:iCs/>
          <w:sz w:val="24"/>
        </w:rPr>
        <w:t>, and provides non-mandatory guidance (e.g. on indicators, technologies) and standardised methodologies for data collection. The framework is based on the precautionary approach and needs to be able to adapt to new technologies, methodologies, knowledge and priorities. The framework facilitates integration, where useful, of local scale monitoring efforts undertaken by national programs and other contributors, in a manner that enables understanding of environmental changes at a continental scale.’</w:t>
      </w:r>
    </w:p>
    <w:p w14:paraId="2CCCF2CE" w14:textId="77777777" w:rsidR="00B019B6" w:rsidRDefault="00B019B6" w:rsidP="00B019B6">
      <w:pPr>
        <w:pStyle w:val="ATSNormal"/>
        <w:spacing w:line="276" w:lineRule="auto"/>
        <w:rPr>
          <w:b/>
          <w:bCs/>
          <w:i/>
          <w:iCs/>
          <w:sz w:val="24"/>
          <w:u w:val="single"/>
        </w:rPr>
      </w:pPr>
      <w:r>
        <w:rPr>
          <w:b/>
          <w:bCs/>
          <w:i/>
          <w:iCs/>
          <w:sz w:val="24"/>
          <w:u w:val="single"/>
        </w:rPr>
        <w:t>Objectives of the framework</w:t>
      </w:r>
    </w:p>
    <w:p w14:paraId="4D8BA6B8" w14:textId="77777777" w:rsidR="00B019B6" w:rsidRDefault="00B019B6" w:rsidP="00B019B6">
      <w:pPr>
        <w:spacing w:line="276" w:lineRule="auto"/>
        <w:rPr>
          <w:rFonts w:eastAsia="Calibri"/>
          <w:bCs/>
          <w:i/>
          <w:color w:val="000000"/>
          <w:sz w:val="24"/>
        </w:rPr>
      </w:pPr>
      <w:r>
        <w:rPr>
          <w:rFonts w:eastAsia="Calibri"/>
          <w:bCs/>
          <w:i/>
          <w:color w:val="000000"/>
          <w:sz w:val="24"/>
        </w:rPr>
        <w:t>‘The objectives of an environmental monitoring framework are to:</w:t>
      </w:r>
    </w:p>
    <w:p w14:paraId="0187D18A" w14:textId="77777777" w:rsidR="00B019B6" w:rsidRDefault="00B019B6" w:rsidP="00B019B6">
      <w:pPr>
        <w:numPr>
          <w:ilvl w:val="0"/>
          <w:numId w:val="23"/>
        </w:numPr>
        <w:spacing w:line="276" w:lineRule="auto"/>
        <w:rPr>
          <w:rFonts w:eastAsia="Calibri"/>
          <w:bCs/>
          <w:i/>
          <w:color w:val="000000"/>
          <w:sz w:val="24"/>
        </w:rPr>
      </w:pPr>
      <w:r>
        <w:rPr>
          <w:rFonts w:eastAsia="Calibri"/>
          <w:bCs/>
          <w:i/>
          <w:color w:val="000000"/>
          <w:sz w:val="24"/>
        </w:rPr>
        <w:t>support the Treaty Parties with data/information to enable them to comprehensively protect the Antarctic environment and associated and dependent ecosystems, including through management action, and contribute to effective decisions based on the best available data and knowledge;</w:t>
      </w:r>
    </w:p>
    <w:p w14:paraId="527E55CD" w14:textId="77777777" w:rsidR="00B019B6" w:rsidRDefault="00B019B6" w:rsidP="00B019B6">
      <w:pPr>
        <w:numPr>
          <w:ilvl w:val="0"/>
          <w:numId w:val="23"/>
        </w:numPr>
        <w:spacing w:line="276" w:lineRule="auto"/>
        <w:rPr>
          <w:rFonts w:eastAsia="Calibri"/>
          <w:bCs/>
          <w:i/>
          <w:color w:val="000000"/>
          <w:sz w:val="24"/>
        </w:rPr>
      </w:pPr>
      <w:r>
        <w:rPr>
          <w:rFonts w:eastAsia="Calibri"/>
          <w:bCs/>
          <w:i/>
          <w:color w:val="000000"/>
          <w:sz w:val="24"/>
        </w:rPr>
        <w:t>provide the basis for the implementation of core tasks and functions of the CEP, specifically those under Article 12(</w:t>
      </w:r>
      <w:proofErr w:type="spellStart"/>
      <w:r>
        <w:rPr>
          <w:rFonts w:eastAsia="Calibri"/>
          <w:bCs/>
          <w:i/>
          <w:color w:val="000000"/>
          <w:sz w:val="24"/>
        </w:rPr>
        <w:t>i</w:t>
      </w:r>
      <w:proofErr w:type="spellEnd"/>
      <w:r>
        <w:rPr>
          <w:rFonts w:eastAsia="Calibri"/>
          <w:bCs/>
          <w:i/>
          <w:color w:val="000000"/>
          <w:sz w:val="24"/>
        </w:rPr>
        <w:t>) and 12 (j);</w:t>
      </w:r>
    </w:p>
    <w:p w14:paraId="53AE7BEE" w14:textId="77777777" w:rsidR="00B019B6" w:rsidRDefault="00B019B6" w:rsidP="00B019B6">
      <w:pPr>
        <w:numPr>
          <w:ilvl w:val="0"/>
          <w:numId w:val="23"/>
        </w:numPr>
        <w:spacing w:line="276" w:lineRule="auto"/>
        <w:rPr>
          <w:rFonts w:eastAsia="Calibri"/>
          <w:bCs/>
          <w:i/>
          <w:color w:val="000000"/>
          <w:sz w:val="24"/>
        </w:rPr>
      </w:pPr>
      <w:r>
        <w:rPr>
          <w:rFonts w:eastAsia="Calibri"/>
          <w:bCs/>
          <w:i/>
          <w:color w:val="000000"/>
          <w:sz w:val="24"/>
        </w:rPr>
        <w:t>encourage that regular and effective monitoring shall take place to facilitate early detection and assessment of the impacts of human activities, both direct (e.g. operation of research stations, tourist landings) and indirect (e.g. climate change) on the Antarctic environment and dependent and associated ecosystems (in line with -inter alia- Article 2(e) of the Protocol and Article 3.2 (d and e));</w:t>
      </w:r>
    </w:p>
    <w:p w14:paraId="67D53253" w14:textId="77777777" w:rsidR="00B019B6" w:rsidRPr="00A02815" w:rsidRDefault="00B019B6" w:rsidP="00B019B6">
      <w:pPr>
        <w:numPr>
          <w:ilvl w:val="0"/>
          <w:numId w:val="23"/>
        </w:numPr>
        <w:spacing w:line="276" w:lineRule="auto"/>
        <w:rPr>
          <w:rFonts w:eastAsia="Calibri"/>
          <w:bCs/>
          <w:i/>
          <w:color w:val="000000"/>
          <w:sz w:val="24"/>
        </w:rPr>
      </w:pPr>
      <w:r w:rsidRPr="00A02815">
        <w:rPr>
          <w:rFonts w:eastAsia="Calibri"/>
          <w:bCs/>
          <w:i/>
          <w:color w:val="000000"/>
          <w:sz w:val="24"/>
        </w:rPr>
        <w:t>strengthen the practicality, cost-efficiency and feasibility of monitoring efforts through coordination, international cooperation and alignment between all relevant actors (</w:t>
      </w:r>
      <w:proofErr w:type="gramStart"/>
      <w:r w:rsidRPr="00A02815">
        <w:rPr>
          <w:rFonts w:eastAsia="Calibri"/>
          <w:bCs/>
          <w:i/>
          <w:color w:val="000000"/>
          <w:sz w:val="24"/>
        </w:rPr>
        <w:t>e.g.</w:t>
      </w:r>
      <w:proofErr w:type="gramEnd"/>
      <w:r w:rsidRPr="00A02815">
        <w:rPr>
          <w:rFonts w:eastAsia="Calibri"/>
          <w:bCs/>
          <w:i/>
          <w:color w:val="000000"/>
          <w:sz w:val="24"/>
        </w:rPr>
        <w:t xml:space="preserve"> through identification of parameters and indicators that would ideally be included in national programmes, irrespective of geographic location, facility and operational differences);</w:t>
      </w:r>
    </w:p>
    <w:p w14:paraId="78F88453" w14:textId="77777777" w:rsidR="00B019B6" w:rsidRDefault="00B019B6" w:rsidP="00B019B6">
      <w:pPr>
        <w:rPr>
          <w:rFonts w:eastAsia="Calibri"/>
          <w:bCs/>
          <w:i/>
          <w:color w:val="000000"/>
          <w:sz w:val="24"/>
        </w:rPr>
      </w:pPr>
    </w:p>
    <w:p w14:paraId="70F94CC0" w14:textId="77777777" w:rsidR="00B019B6" w:rsidRDefault="00B019B6" w:rsidP="00B019B6">
      <w:pPr>
        <w:spacing w:line="276" w:lineRule="auto"/>
        <w:rPr>
          <w:rFonts w:eastAsia="Calibri"/>
          <w:b/>
          <w:i/>
          <w:color w:val="000000"/>
          <w:sz w:val="24"/>
          <w:u w:val="single"/>
        </w:rPr>
      </w:pPr>
      <w:r>
        <w:rPr>
          <w:rFonts w:eastAsia="Calibri"/>
          <w:b/>
          <w:i/>
          <w:color w:val="000000"/>
          <w:sz w:val="24"/>
          <w:u w:val="single"/>
        </w:rPr>
        <w:t>Structure of the framework</w:t>
      </w:r>
    </w:p>
    <w:p w14:paraId="27025178" w14:textId="77777777" w:rsidR="00B019B6" w:rsidRDefault="00B019B6" w:rsidP="00B019B6">
      <w:pPr>
        <w:pStyle w:val="ATSNormal"/>
        <w:spacing w:line="276" w:lineRule="auto"/>
        <w:rPr>
          <w:sz w:val="24"/>
        </w:rPr>
      </w:pPr>
      <w:r>
        <w:rPr>
          <w:sz w:val="24"/>
        </w:rPr>
        <w:t>With the focus on the Antarctic environment and dependent and associated ecosystems, and Antarctica’s values</w:t>
      </w:r>
      <w:r>
        <w:t xml:space="preserve">, </w:t>
      </w:r>
      <w:r>
        <w:rPr>
          <w:sz w:val="24"/>
        </w:rPr>
        <w:t>there was general support to structure the framework around three categories:</w:t>
      </w:r>
    </w:p>
    <w:p w14:paraId="1EFC3BD7" w14:textId="77777777" w:rsidR="00B019B6" w:rsidRDefault="00B019B6" w:rsidP="00B019B6">
      <w:pPr>
        <w:pStyle w:val="ATSNormal"/>
        <w:numPr>
          <w:ilvl w:val="0"/>
          <w:numId w:val="24"/>
        </w:numPr>
        <w:spacing w:line="276" w:lineRule="auto"/>
        <w:rPr>
          <w:i/>
          <w:iCs/>
          <w:sz w:val="24"/>
        </w:rPr>
      </w:pPr>
      <w:r>
        <w:rPr>
          <w:i/>
          <w:iCs/>
          <w:sz w:val="24"/>
        </w:rPr>
        <w:t>Climate and climate change</w:t>
      </w:r>
    </w:p>
    <w:p w14:paraId="4D907960" w14:textId="77777777" w:rsidR="00B019B6" w:rsidRDefault="00B019B6" w:rsidP="00B019B6">
      <w:pPr>
        <w:pStyle w:val="ATSNormal"/>
        <w:numPr>
          <w:ilvl w:val="0"/>
          <w:numId w:val="24"/>
        </w:numPr>
        <w:spacing w:line="276" w:lineRule="auto"/>
        <w:rPr>
          <w:i/>
          <w:iCs/>
          <w:sz w:val="24"/>
        </w:rPr>
      </w:pPr>
      <w:r>
        <w:rPr>
          <w:i/>
          <w:iCs/>
          <w:sz w:val="24"/>
        </w:rPr>
        <w:t>Biodiversity and biodiversity loss</w:t>
      </w:r>
    </w:p>
    <w:p w14:paraId="3A8D42A6" w14:textId="77777777" w:rsidR="00B019B6" w:rsidRDefault="00B019B6" w:rsidP="00B019B6">
      <w:pPr>
        <w:pStyle w:val="ATSNormal"/>
        <w:numPr>
          <w:ilvl w:val="0"/>
          <w:numId w:val="24"/>
        </w:numPr>
        <w:spacing w:line="276" w:lineRule="auto"/>
        <w:rPr>
          <w:i/>
          <w:iCs/>
          <w:sz w:val="24"/>
        </w:rPr>
      </w:pPr>
      <w:r>
        <w:rPr>
          <w:i/>
          <w:iCs/>
          <w:sz w:val="24"/>
        </w:rPr>
        <w:t>Pollution</w:t>
      </w:r>
    </w:p>
    <w:p w14:paraId="5842ADEC" w14:textId="77777777" w:rsidR="00B019B6" w:rsidRDefault="00B019B6" w:rsidP="00B019B6">
      <w:pPr>
        <w:pStyle w:val="ATSNormal"/>
        <w:spacing w:line="276" w:lineRule="auto"/>
        <w:rPr>
          <w:sz w:val="24"/>
        </w:rPr>
      </w:pPr>
      <w:r>
        <w:rPr>
          <w:sz w:val="24"/>
        </w:rPr>
        <w:t xml:space="preserve">Participants also agreed to develop a pragmatic step-by-step approach to develop the framework along these categories with relevant parameters and indicators, with priority given to specific environmental components explicitly mentioned in the Madrid protocol, paying due attention to the relevant geographical scale. It was noted that the </w:t>
      </w:r>
      <w:r>
        <w:rPr>
          <w:sz w:val="24"/>
        </w:rPr>
        <w:lastRenderedPageBreak/>
        <w:t xml:space="preserve">framework is proposed to be adaptable, and that at a later stage additional parameters may be added. </w:t>
      </w:r>
    </w:p>
    <w:p w14:paraId="11172BDA" w14:textId="77777777" w:rsidR="00B019B6" w:rsidRDefault="00B019B6" w:rsidP="00B019B6">
      <w:pPr>
        <w:pStyle w:val="ATSNormal"/>
        <w:spacing w:line="276" w:lineRule="auto"/>
        <w:rPr>
          <w:b/>
          <w:bCs/>
          <w:i/>
          <w:iCs/>
          <w:sz w:val="24"/>
          <w:u w:val="single"/>
        </w:rPr>
      </w:pPr>
      <w:r>
        <w:rPr>
          <w:b/>
          <w:bCs/>
          <w:i/>
          <w:iCs/>
          <w:sz w:val="24"/>
          <w:u w:val="single"/>
        </w:rPr>
        <w:t>Parameters and indicators</w:t>
      </w:r>
    </w:p>
    <w:p w14:paraId="40F9FA00" w14:textId="77777777" w:rsidR="00B019B6" w:rsidRDefault="00B019B6" w:rsidP="00B019B6">
      <w:pPr>
        <w:pStyle w:val="ATSNormal"/>
        <w:spacing w:line="276" w:lineRule="auto"/>
        <w:rPr>
          <w:sz w:val="24"/>
        </w:rPr>
      </w:pPr>
      <w:r>
        <w:rPr>
          <w:sz w:val="24"/>
        </w:rPr>
        <w:t>For the development of a monitoring framework, the following definitions received general support:</w:t>
      </w:r>
    </w:p>
    <w:p w14:paraId="50F8A77E" w14:textId="77777777" w:rsidR="00B019B6" w:rsidRDefault="00B019B6" w:rsidP="00B019B6">
      <w:pPr>
        <w:pStyle w:val="ATSNormal"/>
        <w:spacing w:line="276" w:lineRule="auto"/>
        <w:rPr>
          <w:i/>
          <w:iCs/>
          <w:sz w:val="24"/>
          <w:u w:val="single"/>
        </w:rPr>
      </w:pPr>
      <w:r>
        <w:rPr>
          <w:i/>
          <w:iCs/>
          <w:sz w:val="24"/>
          <w:u w:val="single"/>
        </w:rPr>
        <w:t>Parameter</w:t>
      </w:r>
    </w:p>
    <w:p w14:paraId="6E3E7047" w14:textId="77777777" w:rsidR="00B019B6" w:rsidRDefault="00B019B6" w:rsidP="00B019B6">
      <w:pPr>
        <w:pStyle w:val="ATSNormal"/>
        <w:spacing w:line="276" w:lineRule="auto"/>
        <w:rPr>
          <w:i/>
          <w:iCs/>
          <w:sz w:val="24"/>
        </w:rPr>
      </w:pPr>
      <w:r>
        <w:rPr>
          <w:i/>
          <w:iCs/>
          <w:sz w:val="24"/>
        </w:rPr>
        <w:t>A variable, measurable property whose value is a determinant of the characteristics of a system. Examples include temperature, pressure, and density as parameters of the atmosphere</w:t>
      </w:r>
      <w:r>
        <w:rPr>
          <w:rFonts w:ascii="Book Antiqua" w:hAnsi="Book Antiqua" w:cs="Arial"/>
          <w:bCs/>
          <w:i/>
          <w:color w:val="000000" w:themeColor="text1"/>
          <w:sz w:val="24"/>
        </w:rPr>
        <w:t>, and sea surface temperature and pCO2 as parameters of the ocean</w:t>
      </w:r>
      <w:r>
        <w:rPr>
          <w:i/>
          <w:iCs/>
          <w:sz w:val="24"/>
        </w:rPr>
        <w:t>.</w:t>
      </w:r>
    </w:p>
    <w:p w14:paraId="6C663606" w14:textId="77777777" w:rsidR="00B019B6" w:rsidRDefault="00B019B6" w:rsidP="00B019B6">
      <w:pPr>
        <w:pStyle w:val="ATSNormal"/>
        <w:spacing w:line="276" w:lineRule="auto"/>
        <w:rPr>
          <w:i/>
          <w:iCs/>
          <w:sz w:val="24"/>
          <w:u w:val="single"/>
        </w:rPr>
      </w:pPr>
      <w:r>
        <w:rPr>
          <w:i/>
          <w:iCs/>
          <w:sz w:val="24"/>
          <w:u w:val="single"/>
        </w:rPr>
        <w:t xml:space="preserve">Indicator </w:t>
      </w:r>
    </w:p>
    <w:p w14:paraId="2833631E" w14:textId="77777777" w:rsidR="00B019B6" w:rsidRDefault="00B019B6" w:rsidP="00B019B6">
      <w:pPr>
        <w:pStyle w:val="ATSNormal"/>
        <w:spacing w:line="276" w:lineRule="auto"/>
        <w:rPr>
          <w:i/>
          <w:iCs/>
          <w:sz w:val="24"/>
        </w:rPr>
      </w:pPr>
      <w:r>
        <w:rPr>
          <w:i/>
          <w:iCs/>
          <w:sz w:val="24"/>
        </w:rPr>
        <w:t xml:space="preserve">An observation or calculation that simplifies information and allows scientists, analysts, decision makers, and others to track environmental trends, understand key factors that influence the environment, and/or identify effects on ecosystems. Examples include the concentration of carbon dioxide, changes in snow cover or sea level as indicators of climate change, or the concentration of POPs as an indicator of pollution. </w:t>
      </w:r>
    </w:p>
    <w:p w14:paraId="566E2EC5" w14:textId="77777777" w:rsidR="00B019B6" w:rsidRDefault="00B019B6" w:rsidP="00B019B6"/>
    <w:p w14:paraId="5C05103C" w14:textId="77777777" w:rsidR="00B019B6" w:rsidRDefault="00B019B6" w:rsidP="00B019B6">
      <w:r>
        <w:t xml:space="preserve">A preliminary (long)list of parameters and indicators was shared following exchange with </w:t>
      </w:r>
      <w:r w:rsidRPr="007E0332">
        <w:t xml:space="preserve">SCAR, as set out </w:t>
      </w:r>
      <w:proofErr w:type="gramStart"/>
      <w:r w:rsidRPr="007E0332">
        <w:t>in  Annex</w:t>
      </w:r>
      <w:proofErr w:type="gramEnd"/>
      <w:r w:rsidRPr="007E0332">
        <w:t xml:space="preserve"> A </w:t>
      </w:r>
      <w:r>
        <w:t xml:space="preserve">of CEP27/ATCM47 WP6 </w:t>
      </w:r>
      <w:r w:rsidRPr="007E0332">
        <w:t xml:space="preserve">and in IP XX, which </w:t>
      </w:r>
      <w:r>
        <w:t>may</w:t>
      </w:r>
      <w:r w:rsidRPr="007E0332">
        <w:t xml:space="preserve"> serve as a </w:t>
      </w:r>
      <w:r>
        <w:t xml:space="preserve">basis to identify an initial </w:t>
      </w:r>
      <w:r w:rsidRPr="007E0332">
        <w:t>set of policy relevant parameters</w:t>
      </w:r>
      <w:r>
        <w:t xml:space="preserve"> for the further development of the framework</w:t>
      </w:r>
      <w:r w:rsidRPr="007E0332">
        <w:t>.</w:t>
      </w:r>
    </w:p>
    <w:p w14:paraId="494CB160" w14:textId="77777777" w:rsidR="00B019B6" w:rsidRPr="00A57037" w:rsidRDefault="00B019B6" w:rsidP="00B019B6">
      <w:pPr>
        <w:pStyle w:val="ATSHeading2"/>
        <w:spacing w:after="0"/>
        <w:rPr>
          <w:rFonts w:ascii="Times New Roman" w:hAnsi="Times New Roman"/>
          <w:b w:val="0"/>
          <w:bCs/>
          <w:sz w:val="22"/>
          <w:u w:val="single"/>
        </w:rPr>
      </w:pPr>
      <w:r>
        <w:rPr>
          <w:rFonts w:ascii="Times New Roman" w:hAnsi="Times New Roman"/>
          <w:b w:val="0"/>
          <w:bCs/>
          <w:sz w:val="22"/>
          <w:u w:val="single"/>
        </w:rPr>
        <w:t>Extension of the I</w:t>
      </w:r>
      <w:r w:rsidRPr="00A57037">
        <w:rPr>
          <w:rFonts w:ascii="Times New Roman" w:hAnsi="Times New Roman"/>
          <w:b w:val="0"/>
          <w:bCs/>
          <w:sz w:val="22"/>
          <w:u w:val="single"/>
        </w:rPr>
        <w:t xml:space="preserve">CG </w:t>
      </w:r>
      <w:r>
        <w:rPr>
          <w:rFonts w:ascii="Times New Roman" w:hAnsi="Times New Roman"/>
          <w:b w:val="0"/>
          <w:bCs/>
          <w:sz w:val="22"/>
          <w:u w:val="single"/>
        </w:rPr>
        <w:t>mandate to CEP28</w:t>
      </w:r>
    </w:p>
    <w:p w14:paraId="1E3D9914" w14:textId="77777777" w:rsidR="00B019B6" w:rsidRPr="00A57037" w:rsidRDefault="00B019B6" w:rsidP="00B019B6">
      <w:pPr>
        <w:rPr>
          <w:szCs w:val="22"/>
        </w:rPr>
      </w:pPr>
    </w:p>
    <w:p w14:paraId="3C2648A4" w14:textId="77777777" w:rsidR="00B019B6" w:rsidRDefault="00B019B6" w:rsidP="00B019B6">
      <w:r w:rsidRPr="00A57037">
        <w:rPr>
          <w:szCs w:val="22"/>
        </w:rPr>
        <w:t>The Committee at its 27th session extended the</w:t>
      </w:r>
      <w:r>
        <w:t xml:space="preserve"> ICG for a further year, accepting the offer from Uruguay and the Netherlands to continue to act as ICG convenors, and agreed the following Terms of Reference:</w:t>
      </w:r>
    </w:p>
    <w:p w14:paraId="23BD9425" w14:textId="77777777" w:rsidR="00B019B6" w:rsidRDefault="00B019B6" w:rsidP="00B019B6">
      <w:pPr>
        <w:pStyle w:val="Prrafodelista"/>
        <w:numPr>
          <w:ilvl w:val="0"/>
          <w:numId w:val="21"/>
        </w:numPr>
      </w:pPr>
      <w:r>
        <w:t>identify a limited number of key policy areas/needs to guide systematic monitoring of climate change, biodiversity loss and pollution in Antarctica;</w:t>
      </w:r>
    </w:p>
    <w:p w14:paraId="3AE91DBE" w14:textId="77777777" w:rsidR="00B019B6" w:rsidRDefault="00B019B6" w:rsidP="00B019B6">
      <w:pPr>
        <w:pStyle w:val="Prrafodelista"/>
        <w:numPr>
          <w:ilvl w:val="0"/>
          <w:numId w:val="21"/>
        </w:numPr>
      </w:pPr>
      <w:r>
        <w:t>identify, in collaboration with SCAR, key parameters that are most relevant in addressing those policy questions and needs, drawing from, but not necessarily limited to the long list of possible parameters in WP6 (2025);</w:t>
      </w:r>
    </w:p>
    <w:p w14:paraId="1C26D4BF" w14:textId="77777777" w:rsidR="00B019B6" w:rsidRDefault="00B019B6" w:rsidP="00B019B6">
      <w:pPr>
        <w:pStyle w:val="Prrafodelista"/>
        <w:numPr>
          <w:ilvl w:val="0"/>
          <w:numId w:val="21"/>
        </w:numPr>
      </w:pPr>
      <w:r>
        <w:t>subsequently, to identify potential indicators, guidelines and methodologies for these parameters;</w:t>
      </w:r>
    </w:p>
    <w:p w14:paraId="18BC6B3F" w14:textId="77777777" w:rsidR="00B019B6" w:rsidRDefault="00B019B6" w:rsidP="00B019B6">
      <w:pPr>
        <w:pStyle w:val="Prrafodelista"/>
        <w:numPr>
          <w:ilvl w:val="0"/>
          <w:numId w:val="21"/>
        </w:numPr>
      </w:pPr>
      <w:r>
        <w:t>identify potential additional issues that require further attention of the CEP with regard to the further development and implementation of a framework for environmental monitoring; and</w:t>
      </w:r>
    </w:p>
    <w:p w14:paraId="0F6B0AC9" w14:textId="77777777" w:rsidR="00B019B6" w:rsidRDefault="00B019B6" w:rsidP="00B019B6">
      <w:pPr>
        <w:pStyle w:val="Prrafodelista"/>
        <w:numPr>
          <w:ilvl w:val="0"/>
          <w:numId w:val="21"/>
        </w:numPr>
      </w:pPr>
      <w:r>
        <w:t>report back to CEP 28.</w:t>
      </w:r>
    </w:p>
    <w:p w14:paraId="18896BA8" w14:textId="77777777" w:rsidR="00B019B6" w:rsidRDefault="00B019B6" w:rsidP="00B019B6"/>
    <w:p w14:paraId="6AF3CD11" w14:textId="77777777" w:rsidR="00B019B6" w:rsidRDefault="00B019B6" w:rsidP="00B019B6">
      <w:r>
        <w:t>In the ATCM 47and CEP27 discussions, recognising the importance of advancing work on environmental monitoring in a collaborative manner, it was further noted that the approach should be focused, incremental and build upon existing initiatives.</w:t>
      </w:r>
    </w:p>
    <w:p w14:paraId="260EF87E" w14:textId="77777777" w:rsidR="00B019B6" w:rsidRDefault="00B019B6" w:rsidP="00B019B6"/>
    <w:p w14:paraId="275FC23B" w14:textId="77777777" w:rsidR="00B019B6" w:rsidRDefault="00B019B6" w:rsidP="00B019B6">
      <w:r>
        <w:t>Uruguay and The Netherlands proposed to convene discussions to address the Terms of Reference in a stepwise manner, as set out in a workplan presented in the CEP Forum, with a view to first identify the key policy areas/needs to guide systematic monitoring of climate change, biodiversity loss and pollution in Antarctica and in subsequent rounds identify related key parameters, as well as potential indicators, guidelines and methodologies and potential additional issues.</w:t>
      </w:r>
    </w:p>
    <w:p w14:paraId="1FAB1DB7" w14:textId="77777777" w:rsidR="00B019B6" w:rsidRDefault="00B019B6" w:rsidP="00B019B6"/>
    <w:p w14:paraId="029FA583" w14:textId="77777777" w:rsidR="00B019B6" w:rsidRDefault="00B019B6" w:rsidP="00B019B6">
      <w:r>
        <w:t>In response, 3 ICG members (Australia, New Zealand and Norway) supported the proposed stepwise approach, and in particular as a first step to identify the key policy areas/needs to guide systematic monitoring of climate change, biodiversity loss and pollution in Antarctica. It was noted that the proposed timeframe may be too ambitious given the complexity of the matter, and the importance of engagement with SCAR was also highlighted.</w:t>
      </w:r>
    </w:p>
    <w:p w14:paraId="419D56A0" w14:textId="77777777" w:rsidR="00B019B6" w:rsidRDefault="00B019B6" w:rsidP="00B019B6"/>
    <w:p w14:paraId="4C110F45" w14:textId="77777777" w:rsidR="00B019B6" w:rsidRDefault="00B019B6" w:rsidP="00B019B6">
      <w:r>
        <w:t xml:space="preserve">SCAR in its response drew attention to a </w:t>
      </w:r>
      <w:hyperlink r:id="rId11" w:history="1">
        <w:r w:rsidRPr="0030726A">
          <w:rPr>
            <w:rStyle w:val="Hipervnculo"/>
          </w:rPr>
          <w:t>publication</w:t>
        </w:r>
      </w:hyperlink>
      <w:r>
        <w:t xml:space="preserve"> by the ANTOS SCAR Expert Group which may provide useful input in the discussions of the ICG towards developing an environmental monitoring framework.</w:t>
      </w:r>
    </w:p>
    <w:p w14:paraId="45839E10" w14:textId="77777777" w:rsidR="00B019B6" w:rsidRDefault="00B019B6" w:rsidP="00B019B6"/>
    <w:p w14:paraId="6553970A" w14:textId="77777777" w:rsidR="00B019B6" w:rsidRDefault="00B019B6" w:rsidP="00B019B6">
      <w:pPr>
        <w:pStyle w:val="ATSHeading2"/>
      </w:pPr>
      <w:r w:rsidRPr="006E625F">
        <w:t>Recommendations</w:t>
      </w:r>
    </w:p>
    <w:p w14:paraId="52D6428F" w14:textId="77777777" w:rsidR="00B019B6" w:rsidRDefault="00B019B6" w:rsidP="00B019B6">
      <w:r>
        <w:t>Recognizing that there are clear links to monitoring related discussions in the ATS related bodies, including in workstream 4 in ATCM WG3, the joint CEP/SC-CAMLR climate change and monitoring workshop, as well as work of the relevant ATS scientific bodies, in particular in the  SCAR related groups and initiatives, including those highlighted in CEP27 IP158, that can benefit our discussions on the development of a comprehensive environmental monitoring framework, Parties may wish to consider the following recommendations:</w:t>
      </w:r>
    </w:p>
    <w:p w14:paraId="00C43F52" w14:textId="77777777" w:rsidR="00B019B6" w:rsidRDefault="00B019B6" w:rsidP="00B019B6"/>
    <w:p w14:paraId="03BDD854" w14:textId="77777777" w:rsidR="00B019B6" w:rsidRDefault="00B019B6" w:rsidP="00B019B6">
      <w:pPr>
        <w:pStyle w:val="Prrafodelista"/>
        <w:numPr>
          <w:ilvl w:val="0"/>
          <w:numId w:val="22"/>
        </w:numPr>
      </w:pPr>
      <w:r>
        <w:t xml:space="preserve">To extend the mandate of the ICG to continue its work on the </w:t>
      </w:r>
      <w:proofErr w:type="spellStart"/>
      <w:r>
        <w:t>ToR</w:t>
      </w:r>
      <w:proofErr w:type="spellEnd"/>
      <w:r>
        <w:t xml:space="preserve"> agreed at CEP27 for a two-year period, including to provide an interim report to CEP29 and accept the offer of the Netherlands and Uruguay to continue their role as convenors.</w:t>
      </w:r>
    </w:p>
    <w:p w14:paraId="2520B016" w14:textId="77777777" w:rsidR="00B019B6" w:rsidRDefault="00B019B6" w:rsidP="00B019B6">
      <w:pPr>
        <w:pStyle w:val="Prrafodelista"/>
        <w:numPr>
          <w:ilvl w:val="0"/>
          <w:numId w:val="22"/>
        </w:numPr>
      </w:pPr>
      <w:r>
        <w:t xml:space="preserve">To hold an initial exchange at CEP28 to identify key policy areas/needs to guide systematic monitoring of climate change, biodiversity loss and pollution in Antarctica (taking into account </w:t>
      </w:r>
      <w:proofErr w:type="spellStart"/>
      <w:r>
        <w:t>a.o.</w:t>
      </w:r>
      <w:proofErr w:type="spellEnd"/>
      <w:r>
        <w:t xml:space="preserve"> the WP related to the abovementioned publication by SCAR, the outcomes of the joint CEP-SC-CAMLR workshop, the discussions in WG3, as well as relevant work undertaken in the ATS). Parties may also wish to consider the science needs identified in the CEP, </w:t>
      </w:r>
      <w:proofErr w:type="gramStart"/>
      <w:r>
        <w:t>e.g.</w:t>
      </w:r>
      <w:proofErr w:type="gramEnd"/>
      <w:r>
        <w:t xml:space="preserve"> based on its five year workplan.</w:t>
      </w:r>
    </w:p>
    <w:p w14:paraId="72100959" w14:textId="77777777" w:rsidR="00B019B6" w:rsidRDefault="00B019B6" w:rsidP="00B019B6">
      <w:pPr>
        <w:pStyle w:val="Prrafodelista"/>
        <w:numPr>
          <w:ilvl w:val="0"/>
          <w:numId w:val="22"/>
        </w:numPr>
      </w:pPr>
      <w:r>
        <w:t>To request the convenors based on the discussions under paragraph 2, to develop a discussion note, presenting the initial key policy areas/needs identified to guide systematic monitoring of climate change, biodiversity loss and pollution in Antarctica for subsequent exchange in the ICG following CEP28.</w:t>
      </w:r>
    </w:p>
    <w:p w14:paraId="6C439593" w14:textId="77777777" w:rsidR="00B019B6" w:rsidRDefault="00B019B6" w:rsidP="00B019B6">
      <w:pPr>
        <w:pStyle w:val="Prrafodelista"/>
        <w:numPr>
          <w:ilvl w:val="0"/>
          <w:numId w:val="22"/>
        </w:numPr>
      </w:pPr>
      <w:r>
        <w:t xml:space="preserve">Invite SCAR [and COMNAP, SC-CAMLR] in this two-year period to support the ICG to identify an overview of key parameters, as well as in the subsequent identification </w:t>
      </w:r>
      <w:proofErr w:type="gramStart"/>
      <w:r>
        <w:t>of  potential</w:t>
      </w:r>
      <w:proofErr w:type="gramEnd"/>
      <w:r>
        <w:t xml:space="preserve"> indicators, guidelines and methodologies for such parameters, that are most relevant in addressing the key policy areas/needs identified. To support discussions in WG3, it could be considered to prioritize parameters and related indicators relevant to the discussions on a tourism framework.</w:t>
      </w:r>
    </w:p>
    <w:p w14:paraId="77CE22C2" w14:textId="77777777" w:rsidR="00B019B6" w:rsidRDefault="00B019B6" w:rsidP="00B019B6">
      <w:pPr>
        <w:pStyle w:val="Prrafodelista"/>
        <w:numPr>
          <w:ilvl w:val="0"/>
          <w:numId w:val="22"/>
        </w:numPr>
      </w:pPr>
      <w:r>
        <w:t>Request the ICG to report at CEP29 including on recommended next steps towards CEP30.</w:t>
      </w:r>
    </w:p>
    <w:p w14:paraId="3A185E25" w14:textId="77777777" w:rsidR="00B019B6" w:rsidRDefault="00B019B6" w:rsidP="00B019B6"/>
    <w:p w14:paraId="53E07A0C" w14:textId="77777777" w:rsidR="00B019B6" w:rsidRPr="006E625F" w:rsidRDefault="00B019B6" w:rsidP="00B019B6"/>
    <w:p w14:paraId="4DD12AC0" w14:textId="77777777" w:rsidR="004370A3" w:rsidRDefault="004370A3" w:rsidP="00952E9F"/>
    <w:sectPr w:rsidR="004370A3" w:rsidSect="00283F0F">
      <w:headerReference w:type="default" r:id="rId12"/>
      <w:footerReference w:type="default" r:id="rId13"/>
      <w:type w:val="oddPage"/>
      <w:pgSz w:w="11907" w:h="16840"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E2A1D" w14:textId="77777777" w:rsidR="00B93EB5" w:rsidRDefault="00B93EB5">
      <w:r>
        <w:separator/>
      </w:r>
    </w:p>
  </w:endnote>
  <w:endnote w:type="continuationSeparator" w:id="0">
    <w:p w14:paraId="58096B2B" w14:textId="77777777" w:rsidR="00B93EB5" w:rsidRDefault="00B93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8946F" w14:textId="77777777" w:rsidR="004370A3" w:rsidRDefault="004370A3" w:rsidP="00CF5C82">
    <w:pPr>
      <w:framePr w:wrap="around" w:vAnchor="text" w:hAnchor="margin" w:xAlign="right" w:y="1"/>
    </w:pPr>
    <w:r>
      <w:fldChar w:fldCharType="begin"/>
    </w:r>
    <w:r>
      <w:instrText xml:space="preserve">PAGE  </w:instrText>
    </w:r>
    <w:r w:rsidR="00B93EB5">
      <w:fldChar w:fldCharType="separate"/>
    </w:r>
    <w:r>
      <w:fldChar w:fldCharType="end"/>
    </w:r>
  </w:p>
  <w:p w14:paraId="61430F75" w14:textId="77777777" w:rsidR="004370A3" w:rsidRDefault="004370A3" w:rsidP="00FA0B9F">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E214F" w14:textId="77777777" w:rsidR="004370A3" w:rsidRDefault="004370A3" w:rsidP="00CF5C82">
    <w:pPr>
      <w:framePr w:wrap="around" w:vAnchor="text" w:hAnchor="margin" w:xAlign="right" w:y="1"/>
    </w:pPr>
    <w:r>
      <w:fldChar w:fldCharType="begin"/>
    </w:r>
    <w:r>
      <w:instrText xml:space="preserve">PAGE  </w:instrText>
    </w:r>
    <w:r>
      <w:fldChar w:fldCharType="separate"/>
    </w:r>
    <w:r>
      <w:rPr>
        <w:noProof/>
      </w:rPr>
      <w:t>1</w:t>
    </w:r>
    <w:r>
      <w:fldChar w:fldCharType="end"/>
    </w:r>
  </w:p>
  <w:p w14:paraId="43A08FCB" w14:textId="52EEE4DF" w:rsidR="004370A3" w:rsidRDefault="004370A3" w:rsidP="00B019B6">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28ABC" w14:textId="77777777" w:rsidR="004370A3" w:rsidRDefault="004370A3" w:rsidP="00CF5C82">
    <w:pPr>
      <w:framePr w:wrap="around" w:vAnchor="text" w:hAnchor="margin" w:xAlign="right" w:y="1"/>
    </w:pPr>
    <w:r>
      <w:fldChar w:fldCharType="begin"/>
    </w:r>
    <w:r>
      <w:instrText xml:space="preserve">PAGE  </w:instrText>
    </w:r>
    <w:r>
      <w:fldChar w:fldCharType="separate"/>
    </w:r>
    <w:r>
      <w:rPr>
        <w:noProof/>
      </w:rPr>
      <w:t>3</w:t>
    </w:r>
    <w:r>
      <w:fldChar w:fldCharType="end"/>
    </w:r>
  </w:p>
  <w:p w14:paraId="06F11C4D" w14:textId="77777777" w:rsidR="004370A3" w:rsidRDefault="004370A3" w:rsidP="00E311C9">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24D4A" w14:textId="77777777" w:rsidR="00B93EB5" w:rsidRDefault="00B93EB5">
      <w:r>
        <w:separator/>
      </w:r>
    </w:p>
  </w:footnote>
  <w:footnote w:type="continuationSeparator" w:id="0">
    <w:p w14:paraId="5B68A1E9" w14:textId="77777777" w:rsidR="00B93EB5" w:rsidRDefault="00B93EB5">
      <w:r>
        <w:continuationSeparator/>
      </w:r>
    </w:p>
  </w:footnote>
  <w:footnote w:id="1">
    <w:p w14:paraId="65B6F892" w14:textId="77777777" w:rsidR="00B019B6" w:rsidRDefault="00B019B6" w:rsidP="00B019B6">
      <w:pPr>
        <w:pStyle w:val="Textonotapie"/>
        <w:rPr>
          <w:lang w:val="en-US"/>
        </w:rPr>
      </w:pPr>
      <w:r>
        <w:rPr>
          <w:rStyle w:val="Refdenotaalpie"/>
        </w:rPr>
        <w:footnoteRef/>
      </w:r>
      <w:r>
        <w:t xml:space="preserve"> </w:t>
      </w:r>
      <w:r>
        <w:rPr>
          <w:sz w:val="18"/>
          <w:szCs w:val="18"/>
          <w:lang w:val="en-US"/>
        </w:rPr>
        <w:t>The framework aims to keep the Antarctic environment under review at a continental scale, as reflected in its description; many indicators however will need to be collected at a local and regional scale, while allowing for continental scale comparison.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272" w:type="dxa"/>
      <w:jc w:val="center"/>
      <w:tblLook w:val="01E0" w:firstRow="1" w:lastRow="1" w:firstColumn="1" w:lastColumn="1" w:noHBand="0" w:noVBand="0"/>
    </w:tblPr>
    <w:tblGrid>
      <w:gridCol w:w="5495"/>
      <w:gridCol w:w="3005"/>
      <w:gridCol w:w="1248"/>
      <w:gridCol w:w="1134"/>
      <w:gridCol w:w="390"/>
    </w:tblGrid>
    <w:tr w:rsidR="007805C2" w14:paraId="115F5BB2" w14:textId="77777777" w:rsidTr="002E12EC">
      <w:trPr>
        <w:trHeight w:val="344"/>
        <w:jc w:val="center"/>
      </w:trPr>
      <w:tc>
        <w:tcPr>
          <w:tcW w:w="5495" w:type="dxa"/>
        </w:tcPr>
        <w:p w14:paraId="755C9DB7" w14:textId="77777777" w:rsidR="004370A3" w:rsidRDefault="004370A3" w:rsidP="00F968D4">
          <w:bookmarkStart w:id="2" w:name="_Hlk218605822"/>
        </w:p>
      </w:tc>
      <w:tc>
        <w:tcPr>
          <w:tcW w:w="4253" w:type="dxa"/>
          <w:gridSpan w:val="2"/>
        </w:tcPr>
        <w:p w14:paraId="7D1B6006" w14:textId="77777777" w:rsidR="004370A3" w:rsidRPr="00BD47E4" w:rsidRDefault="004370A3" w:rsidP="002A07BC">
          <w:pPr>
            <w:jc w:val="right"/>
            <w:rPr>
              <w:b/>
              <w:sz w:val="32"/>
              <w:szCs w:val="32"/>
            </w:rPr>
          </w:pPr>
          <w:bookmarkStart w:id="3" w:name="type"/>
          <w:r w:rsidRPr="00BD47E4">
            <w:rPr>
              <w:b/>
              <w:sz w:val="32"/>
              <w:szCs w:val="32"/>
            </w:rPr>
            <w:t>WP</w:t>
          </w:r>
          <w:bookmarkEnd w:id="3"/>
        </w:p>
      </w:tc>
      <w:tc>
        <w:tcPr>
          <w:tcW w:w="1524" w:type="dxa"/>
          <w:gridSpan w:val="2"/>
        </w:tcPr>
        <w:p w14:paraId="1E3FD1C6" w14:textId="77777777" w:rsidR="004370A3" w:rsidRPr="00BD47E4" w:rsidRDefault="004370A3" w:rsidP="00DB7C09">
          <w:pPr>
            <w:rPr>
              <w:b/>
              <w:sz w:val="32"/>
              <w:szCs w:val="32"/>
            </w:rPr>
          </w:pPr>
          <w:bookmarkStart w:id="4" w:name="number"/>
          <w:r w:rsidRPr="00BD47E4">
            <w:rPr>
              <w:b/>
              <w:sz w:val="32"/>
              <w:szCs w:val="32"/>
            </w:rPr>
            <w:t>20</w:t>
          </w:r>
          <w:bookmarkEnd w:id="4"/>
        </w:p>
      </w:tc>
    </w:tr>
    <w:tr w:rsidR="007805C2" w14:paraId="1B42E300" w14:textId="77777777" w:rsidTr="002E12EC">
      <w:trPr>
        <w:trHeight w:val="2165"/>
        <w:jc w:val="center"/>
      </w:trPr>
      <w:tc>
        <w:tcPr>
          <w:tcW w:w="5495" w:type="dxa"/>
        </w:tcPr>
        <w:p w14:paraId="124D6913" w14:textId="77777777" w:rsidR="004370A3" w:rsidRPr="00EE4D48" w:rsidRDefault="004370A3" w:rsidP="002A07BC">
          <w:pPr>
            <w:rPr>
              <w:b/>
              <w:sz w:val="28"/>
              <w:szCs w:val="28"/>
            </w:rPr>
          </w:pPr>
          <w:r>
            <w:rPr>
              <w:b/>
              <w:noProof/>
              <w:sz w:val="28"/>
              <w:szCs w:val="28"/>
            </w:rPr>
            <w:drawing>
              <wp:anchor distT="0" distB="0" distL="114300" distR="114300" simplePos="0" relativeHeight="251658240" behindDoc="1" locked="0" layoutInCell="1" allowOverlap="1" wp14:anchorId="0FFDDC53" wp14:editId="18FA1BD8">
                <wp:simplePos x="0" y="0"/>
                <wp:positionH relativeFrom="column">
                  <wp:posOffset>0</wp:posOffset>
                </wp:positionH>
                <wp:positionV relativeFrom="paragraph">
                  <wp:posOffset>3810</wp:posOffset>
                </wp:positionV>
                <wp:extent cx="3218688" cy="1839250"/>
                <wp:effectExtent l="0" t="0" r="1270" b="8890"/>
                <wp:wrapNone/>
                <wp:docPr id="203257775"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273261" name="Imagen 1" descr="Imagen que contiene 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242528" cy="1852873"/>
                        </a:xfrm>
                        <a:prstGeom prst="rect">
                          <a:avLst/>
                        </a:prstGeom>
                      </pic:spPr>
                    </pic:pic>
                  </a:graphicData>
                </a:graphic>
                <wp14:sizeRelH relativeFrom="margin">
                  <wp14:pctWidth>0</wp14:pctWidth>
                </wp14:sizeRelH>
                <wp14:sizeRelV relativeFrom="margin">
                  <wp14:pctHeight>0</wp14:pctHeight>
                </wp14:sizeRelV>
              </wp:anchor>
            </w:drawing>
          </w:r>
        </w:p>
      </w:tc>
      <w:tc>
        <w:tcPr>
          <w:tcW w:w="5777" w:type="dxa"/>
          <w:gridSpan w:val="4"/>
          <w:vAlign w:val="center"/>
        </w:tcPr>
        <w:p w14:paraId="3EC4B43A" w14:textId="77777777" w:rsidR="004370A3" w:rsidRPr="00FE5146" w:rsidRDefault="004370A3" w:rsidP="00490760">
          <w:pPr>
            <w:jc w:val="right"/>
            <w:rPr>
              <w:sz w:val="144"/>
              <w:szCs w:val="144"/>
            </w:rPr>
          </w:pPr>
          <w:r w:rsidRPr="00FE5146">
            <w:rPr>
              <w:sz w:val="144"/>
              <w:szCs w:val="144"/>
            </w:rPr>
            <w:t>ENG</w:t>
          </w:r>
        </w:p>
      </w:tc>
    </w:tr>
    <w:tr w:rsidR="007805C2" w14:paraId="5BD91611" w14:textId="77777777" w:rsidTr="002E12EC">
      <w:trPr>
        <w:trHeight w:val="409"/>
        <w:jc w:val="center"/>
      </w:trPr>
      <w:tc>
        <w:tcPr>
          <w:tcW w:w="8500" w:type="dxa"/>
          <w:gridSpan w:val="2"/>
        </w:tcPr>
        <w:p w14:paraId="700B26E0" w14:textId="77777777" w:rsidR="004370A3" w:rsidRDefault="004370A3" w:rsidP="002C30DA">
          <w:pPr>
            <w:jc w:val="right"/>
          </w:pPr>
          <w:r>
            <w:t>Agenda Item:</w:t>
          </w:r>
        </w:p>
      </w:tc>
      <w:tc>
        <w:tcPr>
          <w:tcW w:w="2382" w:type="dxa"/>
          <w:gridSpan w:val="2"/>
        </w:tcPr>
        <w:p w14:paraId="76DF6232" w14:textId="77777777" w:rsidR="004370A3" w:rsidRDefault="004370A3" w:rsidP="002C30DA">
          <w:pPr>
            <w:jc w:val="right"/>
          </w:pPr>
          <w:bookmarkStart w:id="5" w:name="agenda"/>
          <w:r>
            <w:t>CEP 10</w:t>
          </w:r>
          <w:bookmarkEnd w:id="5"/>
        </w:p>
      </w:tc>
      <w:tc>
        <w:tcPr>
          <w:tcW w:w="390" w:type="dxa"/>
        </w:tcPr>
        <w:p w14:paraId="72C71E0F" w14:textId="77777777" w:rsidR="004370A3" w:rsidRDefault="004370A3" w:rsidP="00387A65">
          <w:pPr>
            <w:jc w:val="right"/>
          </w:pPr>
        </w:p>
      </w:tc>
    </w:tr>
    <w:tr w:rsidR="007805C2" w14:paraId="4BBF907D" w14:textId="77777777" w:rsidTr="002E12EC">
      <w:trPr>
        <w:trHeight w:val="397"/>
        <w:jc w:val="center"/>
      </w:trPr>
      <w:tc>
        <w:tcPr>
          <w:tcW w:w="8500" w:type="dxa"/>
          <w:gridSpan w:val="2"/>
        </w:tcPr>
        <w:p w14:paraId="32306451" w14:textId="77777777" w:rsidR="004370A3" w:rsidRDefault="004370A3" w:rsidP="002C30DA">
          <w:pPr>
            <w:jc w:val="right"/>
          </w:pPr>
          <w:r>
            <w:t>Presented by:</w:t>
          </w:r>
        </w:p>
      </w:tc>
      <w:tc>
        <w:tcPr>
          <w:tcW w:w="2382" w:type="dxa"/>
          <w:gridSpan w:val="2"/>
        </w:tcPr>
        <w:p w14:paraId="05853E9D" w14:textId="77777777" w:rsidR="004370A3" w:rsidRDefault="004370A3" w:rsidP="002C30DA">
          <w:pPr>
            <w:jc w:val="right"/>
          </w:pPr>
          <w:bookmarkStart w:id="6" w:name="party"/>
          <w:r>
            <w:t>Netherlands, Uruguay</w:t>
          </w:r>
          <w:bookmarkEnd w:id="6"/>
        </w:p>
      </w:tc>
      <w:tc>
        <w:tcPr>
          <w:tcW w:w="390" w:type="dxa"/>
        </w:tcPr>
        <w:p w14:paraId="63BFAF93" w14:textId="77777777" w:rsidR="004370A3" w:rsidRDefault="004370A3" w:rsidP="00387A65">
          <w:pPr>
            <w:jc w:val="right"/>
          </w:pPr>
        </w:p>
      </w:tc>
    </w:tr>
    <w:tr w:rsidR="007805C2" w14:paraId="39045181" w14:textId="77777777" w:rsidTr="002E12EC">
      <w:trPr>
        <w:trHeight w:val="409"/>
        <w:jc w:val="center"/>
      </w:trPr>
      <w:tc>
        <w:tcPr>
          <w:tcW w:w="8500" w:type="dxa"/>
          <w:gridSpan w:val="2"/>
        </w:tcPr>
        <w:p w14:paraId="0F16EF71" w14:textId="77777777" w:rsidR="004370A3" w:rsidRDefault="004370A3" w:rsidP="002C30DA">
          <w:pPr>
            <w:jc w:val="right"/>
          </w:pPr>
          <w:r>
            <w:t>Original:</w:t>
          </w:r>
        </w:p>
      </w:tc>
      <w:tc>
        <w:tcPr>
          <w:tcW w:w="2382" w:type="dxa"/>
          <w:gridSpan w:val="2"/>
        </w:tcPr>
        <w:p w14:paraId="7DEC8854" w14:textId="77777777" w:rsidR="004370A3" w:rsidRDefault="004370A3" w:rsidP="002C30DA">
          <w:pPr>
            <w:jc w:val="right"/>
          </w:pPr>
          <w:bookmarkStart w:id="7" w:name="language"/>
          <w:r>
            <w:t>English</w:t>
          </w:r>
          <w:bookmarkEnd w:id="7"/>
        </w:p>
      </w:tc>
      <w:tc>
        <w:tcPr>
          <w:tcW w:w="390" w:type="dxa"/>
        </w:tcPr>
        <w:p w14:paraId="76370D40" w14:textId="77777777" w:rsidR="004370A3" w:rsidRDefault="004370A3" w:rsidP="00387A65">
          <w:pPr>
            <w:jc w:val="right"/>
          </w:pPr>
        </w:p>
      </w:tc>
    </w:tr>
    <w:tr w:rsidR="007805C2" w14:paraId="71D0C0C4" w14:textId="77777777" w:rsidTr="002E12EC">
      <w:trPr>
        <w:trHeight w:val="409"/>
        <w:jc w:val="center"/>
      </w:trPr>
      <w:tc>
        <w:tcPr>
          <w:tcW w:w="8500" w:type="dxa"/>
          <w:gridSpan w:val="2"/>
        </w:tcPr>
        <w:p w14:paraId="75B78213" w14:textId="77777777" w:rsidR="004370A3" w:rsidRDefault="004370A3" w:rsidP="0002555C">
          <w:pPr>
            <w:jc w:val="right"/>
          </w:pPr>
          <w:r>
            <w:t>Submitted:</w:t>
          </w:r>
        </w:p>
      </w:tc>
      <w:tc>
        <w:tcPr>
          <w:tcW w:w="2382" w:type="dxa"/>
          <w:gridSpan w:val="2"/>
        </w:tcPr>
        <w:p w14:paraId="1C06064B" w14:textId="77777777" w:rsidR="004370A3" w:rsidRDefault="004370A3" w:rsidP="0002555C">
          <w:pPr>
            <w:jc w:val="right"/>
          </w:pPr>
          <w:bookmarkStart w:id="8" w:name="date_submission"/>
          <w:r>
            <w:t>26 Mar 2026</w:t>
          </w:r>
          <w:bookmarkEnd w:id="8"/>
        </w:p>
      </w:tc>
      <w:tc>
        <w:tcPr>
          <w:tcW w:w="390" w:type="dxa"/>
        </w:tcPr>
        <w:p w14:paraId="2E2C3A99" w14:textId="77777777" w:rsidR="004370A3" w:rsidRDefault="004370A3" w:rsidP="0002555C">
          <w:pPr>
            <w:jc w:val="right"/>
          </w:pPr>
        </w:p>
      </w:tc>
    </w:tr>
    <w:tr w:rsidR="007805C2" w14:paraId="0064C550" w14:textId="77777777" w:rsidTr="0002555C">
      <w:trPr>
        <w:trHeight w:val="409"/>
        <w:jc w:val="center"/>
      </w:trPr>
      <w:tc>
        <w:tcPr>
          <w:tcW w:w="8500" w:type="dxa"/>
          <w:gridSpan w:val="2"/>
        </w:tcPr>
        <w:p w14:paraId="70802074" w14:textId="77777777" w:rsidR="004370A3" w:rsidRDefault="004370A3" w:rsidP="0002555C">
          <w:pPr>
            <w:jc w:val="right"/>
          </w:pPr>
          <w:r>
            <w:t>Revision:</w:t>
          </w:r>
        </w:p>
      </w:tc>
      <w:tc>
        <w:tcPr>
          <w:tcW w:w="2382" w:type="dxa"/>
          <w:gridSpan w:val="2"/>
        </w:tcPr>
        <w:p w14:paraId="7E69E8B7" w14:textId="77777777" w:rsidR="004370A3" w:rsidRDefault="004370A3" w:rsidP="0002555C">
          <w:pPr>
            <w:jc w:val="right"/>
          </w:pPr>
          <w:bookmarkStart w:id="9" w:name="date_revision"/>
          <w:r>
            <w:t>---</w:t>
          </w:r>
          <w:bookmarkEnd w:id="9"/>
        </w:p>
      </w:tc>
      <w:tc>
        <w:tcPr>
          <w:tcW w:w="390" w:type="dxa"/>
        </w:tcPr>
        <w:p w14:paraId="4011A7F2" w14:textId="77777777" w:rsidR="004370A3" w:rsidRDefault="004370A3" w:rsidP="0002555C">
          <w:pPr>
            <w:jc w:val="right"/>
          </w:pPr>
        </w:p>
      </w:tc>
    </w:tr>
    <w:bookmarkEnd w:id="2"/>
  </w:tbl>
  <w:p w14:paraId="34F22BBC" w14:textId="77777777" w:rsidR="004370A3" w:rsidRDefault="004370A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6" w:type="dxa"/>
      <w:jc w:val="center"/>
      <w:tblLook w:val="01E0" w:firstRow="1" w:lastRow="1" w:firstColumn="1" w:lastColumn="1" w:noHBand="0" w:noVBand="0"/>
    </w:tblPr>
    <w:tblGrid>
      <w:gridCol w:w="9694"/>
      <w:gridCol w:w="1332"/>
    </w:tblGrid>
    <w:tr w:rsidR="007805C2" w14:paraId="3E5040C2" w14:textId="77777777">
      <w:trPr>
        <w:trHeight w:val="354"/>
        <w:jc w:val="center"/>
      </w:trPr>
      <w:tc>
        <w:tcPr>
          <w:tcW w:w="9694" w:type="dxa"/>
        </w:tcPr>
        <w:p w14:paraId="537919D6" w14:textId="31A60A14" w:rsidR="004370A3" w:rsidRPr="00BD47E4" w:rsidRDefault="00B019B6" w:rsidP="00C26F2D">
          <w:pPr>
            <w:jc w:val="right"/>
            <w:rPr>
              <w:b/>
              <w:sz w:val="32"/>
              <w:szCs w:val="32"/>
            </w:rPr>
          </w:pPr>
          <w:r>
            <w:rPr>
              <w:b/>
              <w:sz w:val="32"/>
              <w:szCs w:val="32"/>
            </w:rPr>
            <w:t>WP</w:t>
          </w:r>
        </w:p>
      </w:tc>
      <w:tc>
        <w:tcPr>
          <w:tcW w:w="1332" w:type="dxa"/>
        </w:tcPr>
        <w:p w14:paraId="67E10380" w14:textId="19D76EA0" w:rsidR="004370A3" w:rsidRPr="00BD47E4" w:rsidRDefault="00B019B6" w:rsidP="00080F4C">
          <w:pPr>
            <w:rPr>
              <w:b/>
              <w:sz w:val="32"/>
              <w:szCs w:val="32"/>
            </w:rPr>
          </w:pPr>
          <w:r>
            <w:rPr>
              <w:b/>
              <w:sz w:val="32"/>
              <w:szCs w:val="32"/>
            </w:rPr>
            <w:t>20</w:t>
          </w:r>
        </w:p>
      </w:tc>
    </w:tr>
  </w:tbl>
  <w:p w14:paraId="27D1249A" w14:textId="77777777" w:rsidR="004370A3" w:rsidRDefault="004370A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044987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E0EC73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EB63ED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9D2F98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114CC6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E141F9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0DA27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982BAE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A6C13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DCC03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C9229E"/>
    <w:multiLevelType w:val="hybridMultilevel"/>
    <w:tmpl w:val="7700BB0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0DF9465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0F4143F"/>
    <w:multiLevelType w:val="hybridMultilevel"/>
    <w:tmpl w:val="7F60F844"/>
    <w:lvl w:ilvl="0" w:tplc="71228A42">
      <w:numFmt w:val="bullet"/>
      <w:lvlText w:val="•"/>
      <w:lvlJc w:val="left"/>
      <w:pPr>
        <w:ind w:left="1070" w:hanging="71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86577EA"/>
    <w:multiLevelType w:val="hybridMultilevel"/>
    <w:tmpl w:val="21A63D98"/>
    <w:lvl w:ilvl="0" w:tplc="B0A67D96">
      <w:start w:val="1"/>
      <w:numFmt w:val="bullet"/>
      <w:pStyle w:val="ATSBullet1"/>
      <w:lvlText w:val=""/>
      <w:lvlJc w:val="left"/>
      <w:pPr>
        <w:tabs>
          <w:tab w:val="num" w:pos="360"/>
        </w:tabs>
        <w:ind w:left="360" w:hanging="360"/>
      </w:pPr>
      <w:rPr>
        <w:rFonts w:ascii="Symbol" w:hAnsi="Symbol" w:hint="default"/>
        <w:color w:val="auto"/>
      </w:rPr>
    </w:lvl>
    <w:lvl w:ilvl="1" w:tplc="6AFA8CC8" w:tentative="1">
      <w:start w:val="1"/>
      <w:numFmt w:val="bullet"/>
      <w:lvlText w:val="o"/>
      <w:lvlJc w:val="left"/>
      <w:pPr>
        <w:tabs>
          <w:tab w:val="num" w:pos="1440"/>
        </w:tabs>
        <w:ind w:left="1440" w:hanging="360"/>
      </w:pPr>
      <w:rPr>
        <w:rFonts w:ascii="Courier New" w:hAnsi="Courier New" w:cs="Courier New" w:hint="default"/>
      </w:rPr>
    </w:lvl>
    <w:lvl w:ilvl="2" w:tplc="525887E2" w:tentative="1">
      <w:start w:val="1"/>
      <w:numFmt w:val="bullet"/>
      <w:lvlText w:val=""/>
      <w:lvlJc w:val="left"/>
      <w:pPr>
        <w:tabs>
          <w:tab w:val="num" w:pos="2160"/>
        </w:tabs>
        <w:ind w:left="2160" w:hanging="360"/>
      </w:pPr>
      <w:rPr>
        <w:rFonts w:ascii="Wingdings" w:hAnsi="Wingdings" w:hint="default"/>
      </w:rPr>
    </w:lvl>
    <w:lvl w:ilvl="3" w:tplc="7C962238" w:tentative="1">
      <w:start w:val="1"/>
      <w:numFmt w:val="bullet"/>
      <w:lvlText w:val=""/>
      <w:lvlJc w:val="left"/>
      <w:pPr>
        <w:tabs>
          <w:tab w:val="num" w:pos="2880"/>
        </w:tabs>
        <w:ind w:left="2880" w:hanging="360"/>
      </w:pPr>
      <w:rPr>
        <w:rFonts w:ascii="Symbol" w:hAnsi="Symbol" w:hint="default"/>
      </w:rPr>
    </w:lvl>
    <w:lvl w:ilvl="4" w:tplc="4B1CDA60" w:tentative="1">
      <w:start w:val="1"/>
      <w:numFmt w:val="bullet"/>
      <w:lvlText w:val="o"/>
      <w:lvlJc w:val="left"/>
      <w:pPr>
        <w:tabs>
          <w:tab w:val="num" w:pos="3600"/>
        </w:tabs>
        <w:ind w:left="3600" w:hanging="360"/>
      </w:pPr>
      <w:rPr>
        <w:rFonts w:ascii="Courier New" w:hAnsi="Courier New" w:cs="Courier New" w:hint="default"/>
      </w:rPr>
    </w:lvl>
    <w:lvl w:ilvl="5" w:tplc="343EB210" w:tentative="1">
      <w:start w:val="1"/>
      <w:numFmt w:val="bullet"/>
      <w:lvlText w:val=""/>
      <w:lvlJc w:val="left"/>
      <w:pPr>
        <w:tabs>
          <w:tab w:val="num" w:pos="4320"/>
        </w:tabs>
        <w:ind w:left="4320" w:hanging="360"/>
      </w:pPr>
      <w:rPr>
        <w:rFonts w:ascii="Wingdings" w:hAnsi="Wingdings" w:hint="default"/>
      </w:rPr>
    </w:lvl>
    <w:lvl w:ilvl="6" w:tplc="8DAEC9DE" w:tentative="1">
      <w:start w:val="1"/>
      <w:numFmt w:val="bullet"/>
      <w:lvlText w:val=""/>
      <w:lvlJc w:val="left"/>
      <w:pPr>
        <w:tabs>
          <w:tab w:val="num" w:pos="5040"/>
        </w:tabs>
        <w:ind w:left="5040" w:hanging="360"/>
      </w:pPr>
      <w:rPr>
        <w:rFonts w:ascii="Symbol" w:hAnsi="Symbol" w:hint="default"/>
      </w:rPr>
    </w:lvl>
    <w:lvl w:ilvl="7" w:tplc="FD30A8C0" w:tentative="1">
      <w:start w:val="1"/>
      <w:numFmt w:val="bullet"/>
      <w:lvlText w:val="o"/>
      <w:lvlJc w:val="left"/>
      <w:pPr>
        <w:tabs>
          <w:tab w:val="num" w:pos="5760"/>
        </w:tabs>
        <w:ind w:left="5760" w:hanging="360"/>
      </w:pPr>
      <w:rPr>
        <w:rFonts w:ascii="Courier New" w:hAnsi="Courier New" w:cs="Courier New" w:hint="default"/>
      </w:rPr>
    </w:lvl>
    <w:lvl w:ilvl="8" w:tplc="70FE188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9D35C15"/>
    <w:multiLevelType w:val="hybridMultilevel"/>
    <w:tmpl w:val="A8A2E45C"/>
    <w:lvl w:ilvl="0" w:tplc="7E980D22">
      <w:start w:val="1"/>
      <w:numFmt w:val="decimal"/>
      <w:lvlText w:val="%1)"/>
      <w:lvlJc w:val="left"/>
      <w:pPr>
        <w:tabs>
          <w:tab w:val="num" w:pos="340"/>
        </w:tabs>
        <w:ind w:left="340" w:hanging="340"/>
      </w:pPr>
      <w:rPr>
        <w:rFonts w:hint="default"/>
      </w:rPr>
    </w:lvl>
    <w:lvl w:ilvl="1" w:tplc="141AAC38" w:tentative="1">
      <w:start w:val="1"/>
      <w:numFmt w:val="lowerLetter"/>
      <w:lvlText w:val="%2."/>
      <w:lvlJc w:val="left"/>
      <w:pPr>
        <w:tabs>
          <w:tab w:val="num" w:pos="1440"/>
        </w:tabs>
        <w:ind w:left="1440" w:hanging="360"/>
      </w:pPr>
    </w:lvl>
    <w:lvl w:ilvl="2" w:tplc="89A4C68E" w:tentative="1">
      <w:start w:val="1"/>
      <w:numFmt w:val="lowerRoman"/>
      <w:lvlText w:val="%3."/>
      <w:lvlJc w:val="right"/>
      <w:pPr>
        <w:tabs>
          <w:tab w:val="num" w:pos="2160"/>
        </w:tabs>
        <w:ind w:left="2160" w:hanging="180"/>
      </w:pPr>
    </w:lvl>
    <w:lvl w:ilvl="3" w:tplc="CFCA1B3A" w:tentative="1">
      <w:start w:val="1"/>
      <w:numFmt w:val="decimal"/>
      <w:lvlText w:val="%4."/>
      <w:lvlJc w:val="left"/>
      <w:pPr>
        <w:tabs>
          <w:tab w:val="num" w:pos="2880"/>
        </w:tabs>
        <w:ind w:left="2880" w:hanging="360"/>
      </w:pPr>
    </w:lvl>
    <w:lvl w:ilvl="4" w:tplc="DBA62CE2" w:tentative="1">
      <w:start w:val="1"/>
      <w:numFmt w:val="lowerLetter"/>
      <w:lvlText w:val="%5."/>
      <w:lvlJc w:val="left"/>
      <w:pPr>
        <w:tabs>
          <w:tab w:val="num" w:pos="3600"/>
        </w:tabs>
        <w:ind w:left="3600" w:hanging="360"/>
      </w:pPr>
    </w:lvl>
    <w:lvl w:ilvl="5" w:tplc="20C0CC3E" w:tentative="1">
      <w:start w:val="1"/>
      <w:numFmt w:val="lowerRoman"/>
      <w:lvlText w:val="%6."/>
      <w:lvlJc w:val="right"/>
      <w:pPr>
        <w:tabs>
          <w:tab w:val="num" w:pos="4320"/>
        </w:tabs>
        <w:ind w:left="4320" w:hanging="180"/>
      </w:pPr>
    </w:lvl>
    <w:lvl w:ilvl="6" w:tplc="DF1232D6" w:tentative="1">
      <w:start w:val="1"/>
      <w:numFmt w:val="decimal"/>
      <w:lvlText w:val="%7."/>
      <w:lvlJc w:val="left"/>
      <w:pPr>
        <w:tabs>
          <w:tab w:val="num" w:pos="5040"/>
        </w:tabs>
        <w:ind w:left="5040" w:hanging="360"/>
      </w:pPr>
    </w:lvl>
    <w:lvl w:ilvl="7" w:tplc="CBAE52D8" w:tentative="1">
      <w:start w:val="1"/>
      <w:numFmt w:val="lowerLetter"/>
      <w:lvlText w:val="%8."/>
      <w:lvlJc w:val="left"/>
      <w:pPr>
        <w:tabs>
          <w:tab w:val="num" w:pos="5760"/>
        </w:tabs>
        <w:ind w:left="5760" w:hanging="360"/>
      </w:pPr>
    </w:lvl>
    <w:lvl w:ilvl="8" w:tplc="BBDA4E6C" w:tentative="1">
      <w:start w:val="1"/>
      <w:numFmt w:val="lowerRoman"/>
      <w:lvlText w:val="%9."/>
      <w:lvlJc w:val="right"/>
      <w:pPr>
        <w:tabs>
          <w:tab w:val="num" w:pos="6480"/>
        </w:tabs>
        <w:ind w:left="6480" w:hanging="180"/>
      </w:pPr>
    </w:lvl>
  </w:abstractNum>
  <w:abstractNum w:abstractNumId="15" w15:restartNumberingAfterBreak="0">
    <w:nsid w:val="5E9F327C"/>
    <w:multiLevelType w:val="hybridMultilevel"/>
    <w:tmpl w:val="E3BC4D14"/>
    <w:lvl w:ilvl="0" w:tplc="344237D0">
      <w:numFmt w:val="bullet"/>
      <w:lvlText w:val="-"/>
      <w:lvlJc w:val="left"/>
      <w:pPr>
        <w:ind w:left="720" w:hanging="360"/>
      </w:pPr>
      <w:rPr>
        <w:rFonts w:ascii="Book Antiqua" w:eastAsia="Calibri" w:hAnsi="Book Antiqu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6" w15:restartNumberingAfterBreak="0">
    <w:nsid w:val="642F3AFA"/>
    <w:multiLevelType w:val="hybridMultilevel"/>
    <w:tmpl w:val="9DF09BE6"/>
    <w:lvl w:ilvl="0" w:tplc="C952DAE4">
      <w:start w:val="1"/>
      <w:numFmt w:val="decimal"/>
      <w:lvlText w:val="%1."/>
      <w:lvlJc w:val="left"/>
      <w:pPr>
        <w:tabs>
          <w:tab w:val="num" w:pos="1057"/>
        </w:tabs>
        <w:ind w:left="1057" w:hanging="360"/>
      </w:pPr>
      <w:rPr>
        <w:rFonts w:hint="default"/>
      </w:rPr>
    </w:lvl>
    <w:lvl w:ilvl="1" w:tplc="F0F80292" w:tentative="1">
      <w:start w:val="1"/>
      <w:numFmt w:val="lowerLetter"/>
      <w:lvlText w:val="%2."/>
      <w:lvlJc w:val="left"/>
      <w:pPr>
        <w:tabs>
          <w:tab w:val="num" w:pos="2137"/>
        </w:tabs>
        <w:ind w:left="2137" w:hanging="360"/>
      </w:pPr>
    </w:lvl>
    <w:lvl w:ilvl="2" w:tplc="FFE0DCCE" w:tentative="1">
      <w:start w:val="1"/>
      <w:numFmt w:val="lowerRoman"/>
      <w:lvlText w:val="%3."/>
      <w:lvlJc w:val="right"/>
      <w:pPr>
        <w:tabs>
          <w:tab w:val="num" w:pos="2857"/>
        </w:tabs>
        <w:ind w:left="2857" w:hanging="180"/>
      </w:pPr>
    </w:lvl>
    <w:lvl w:ilvl="3" w:tplc="5828816E" w:tentative="1">
      <w:start w:val="1"/>
      <w:numFmt w:val="decimal"/>
      <w:lvlText w:val="%4."/>
      <w:lvlJc w:val="left"/>
      <w:pPr>
        <w:tabs>
          <w:tab w:val="num" w:pos="3577"/>
        </w:tabs>
        <w:ind w:left="3577" w:hanging="360"/>
      </w:pPr>
    </w:lvl>
    <w:lvl w:ilvl="4" w:tplc="EAA44664" w:tentative="1">
      <w:start w:val="1"/>
      <w:numFmt w:val="lowerLetter"/>
      <w:lvlText w:val="%5."/>
      <w:lvlJc w:val="left"/>
      <w:pPr>
        <w:tabs>
          <w:tab w:val="num" w:pos="4297"/>
        </w:tabs>
        <w:ind w:left="4297" w:hanging="360"/>
      </w:pPr>
    </w:lvl>
    <w:lvl w:ilvl="5" w:tplc="BC105D86" w:tentative="1">
      <w:start w:val="1"/>
      <w:numFmt w:val="lowerRoman"/>
      <w:lvlText w:val="%6."/>
      <w:lvlJc w:val="right"/>
      <w:pPr>
        <w:tabs>
          <w:tab w:val="num" w:pos="5017"/>
        </w:tabs>
        <w:ind w:left="5017" w:hanging="180"/>
      </w:pPr>
    </w:lvl>
    <w:lvl w:ilvl="6" w:tplc="304C4066" w:tentative="1">
      <w:start w:val="1"/>
      <w:numFmt w:val="decimal"/>
      <w:lvlText w:val="%7."/>
      <w:lvlJc w:val="left"/>
      <w:pPr>
        <w:tabs>
          <w:tab w:val="num" w:pos="5737"/>
        </w:tabs>
        <w:ind w:left="5737" w:hanging="360"/>
      </w:pPr>
    </w:lvl>
    <w:lvl w:ilvl="7" w:tplc="E57C6830" w:tentative="1">
      <w:start w:val="1"/>
      <w:numFmt w:val="lowerLetter"/>
      <w:lvlText w:val="%8."/>
      <w:lvlJc w:val="left"/>
      <w:pPr>
        <w:tabs>
          <w:tab w:val="num" w:pos="6457"/>
        </w:tabs>
        <w:ind w:left="6457" w:hanging="360"/>
      </w:pPr>
    </w:lvl>
    <w:lvl w:ilvl="8" w:tplc="8B8C0690" w:tentative="1">
      <w:start w:val="1"/>
      <w:numFmt w:val="lowerRoman"/>
      <w:lvlText w:val="%9."/>
      <w:lvlJc w:val="right"/>
      <w:pPr>
        <w:tabs>
          <w:tab w:val="num" w:pos="7177"/>
        </w:tabs>
        <w:ind w:left="7177" w:hanging="180"/>
      </w:pPr>
    </w:lvl>
  </w:abstractNum>
  <w:abstractNum w:abstractNumId="17" w15:restartNumberingAfterBreak="0">
    <w:nsid w:val="67690009"/>
    <w:multiLevelType w:val="hybridMultilevel"/>
    <w:tmpl w:val="03B0D51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8" w15:restartNumberingAfterBreak="0">
    <w:nsid w:val="7212657C"/>
    <w:multiLevelType w:val="hybridMultilevel"/>
    <w:tmpl w:val="0A8E2A84"/>
    <w:lvl w:ilvl="0" w:tplc="80768E04">
      <w:start w:val="1"/>
      <w:numFmt w:val="decimal"/>
      <w:pStyle w:val="ATSNumber1"/>
      <w:lvlText w:val="%1)"/>
      <w:lvlJc w:val="left"/>
      <w:pPr>
        <w:tabs>
          <w:tab w:val="num" w:pos="720"/>
        </w:tabs>
        <w:ind w:left="720" w:hanging="360"/>
      </w:pPr>
    </w:lvl>
    <w:lvl w:ilvl="1" w:tplc="DCD21AEC" w:tentative="1">
      <w:start w:val="1"/>
      <w:numFmt w:val="lowerLetter"/>
      <w:lvlText w:val="%2."/>
      <w:lvlJc w:val="left"/>
      <w:pPr>
        <w:tabs>
          <w:tab w:val="num" w:pos="1440"/>
        </w:tabs>
        <w:ind w:left="1440" w:hanging="360"/>
      </w:pPr>
    </w:lvl>
    <w:lvl w:ilvl="2" w:tplc="4CF25466" w:tentative="1">
      <w:start w:val="1"/>
      <w:numFmt w:val="lowerRoman"/>
      <w:lvlText w:val="%3."/>
      <w:lvlJc w:val="right"/>
      <w:pPr>
        <w:tabs>
          <w:tab w:val="num" w:pos="2160"/>
        </w:tabs>
        <w:ind w:left="2160" w:hanging="180"/>
      </w:pPr>
    </w:lvl>
    <w:lvl w:ilvl="3" w:tplc="5F387162" w:tentative="1">
      <w:start w:val="1"/>
      <w:numFmt w:val="decimal"/>
      <w:lvlText w:val="%4."/>
      <w:lvlJc w:val="left"/>
      <w:pPr>
        <w:tabs>
          <w:tab w:val="num" w:pos="2880"/>
        </w:tabs>
        <w:ind w:left="2880" w:hanging="360"/>
      </w:pPr>
    </w:lvl>
    <w:lvl w:ilvl="4" w:tplc="59F2FADE" w:tentative="1">
      <w:start w:val="1"/>
      <w:numFmt w:val="lowerLetter"/>
      <w:lvlText w:val="%5."/>
      <w:lvlJc w:val="left"/>
      <w:pPr>
        <w:tabs>
          <w:tab w:val="num" w:pos="3600"/>
        </w:tabs>
        <w:ind w:left="3600" w:hanging="360"/>
      </w:pPr>
    </w:lvl>
    <w:lvl w:ilvl="5" w:tplc="A100F2D6" w:tentative="1">
      <w:start w:val="1"/>
      <w:numFmt w:val="lowerRoman"/>
      <w:lvlText w:val="%6."/>
      <w:lvlJc w:val="right"/>
      <w:pPr>
        <w:tabs>
          <w:tab w:val="num" w:pos="4320"/>
        </w:tabs>
        <w:ind w:left="4320" w:hanging="180"/>
      </w:pPr>
    </w:lvl>
    <w:lvl w:ilvl="6" w:tplc="95405E1C" w:tentative="1">
      <w:start w:val="1"/>
      <w:numFmt w:val="decimal"/>
      <w:lvlText w:val="%7."/>
      <w:lvlJc w:val="left"/>
      <w:pPr>
        <w:tabs>
          <w:tab w:val="num" w:pos="5040"/>
        </w:tabs>
        <w:ind w:left="5040" w:hanging="360"/>
      </w:pPr>
    </w:lvl>
    <w:lvl w:ilvl="7" w:tplc="D408C792" w:tentative="1">
      <w:start w:val="1"/>
      <w:numFmt w:val="lowerLetter"/>
      <w:lvlText w:val="%8."/>
      <w:lvlJc w:val="left"/>
      <w:pPr>
        <w:tabs>
          <w:tab w:val="num" w:pos="5760"/>
        </w:tabs>
        <w:ind w:left="5760" w:hanging="360"/>
      </w:pPr>
    </w:lvl>
    <w:lvl w:ilvl="8" w:tplc="C4FA261A" w:tentative="1">
      <w:start w:val="1"/>
      <w:numFmt w:val="lowerRoman"/>
      <w:lvlText w:val="%9."/>
      <w:lvlJc w:val="right"/>
      <w:pPr>
        <w:tabs>
          <w:tab w:val="num" w:pos="6480"/>
        </w:tabs>
        <w:ind w:left="6480" w:hanging="180"/>
      </w:pPr>
    </w:lvl>
  </w:abstractNum>
  <w:abstractNum w:abstractNumId="19" w15:restartNumberingAfterBreak="0">
    <w:nsid w:val="743D2161"/>
    <w:multiLevelType w:val="hybridMultilevel"/>
    <w:tmpl w:val="B0868D9E"/>
    <w:lvl w:ilvl="0" w:tplc="174AB298">
      <w:start w:val="1"/>
      <w:numFmt w:val="bullet"/>
      <w:pStyle w:val="ATSBullet2"/>
      <w:lvlText w:val="-"/>
      <w:lvlJc w:val="left"/>
      <w:pPr>
        <w:tabs>
          <w:tab w:val="num" w:pos="1080"/>
        </w:tabs>
        <w:ind w:left="1080" w:hanging="360"/>
      </w:pPr>
      <w:rPr>
        <w:rFonts w:ascii="Times New Roman" w:hAnsi="Times New Roman" w:cs="Times New Roman" w:hint="default"/>
        <w:color w:val="auto"/>
      </w:rPr>
    </w:lvl>
    <w:lvl w:ilvl="1" w:tplc="DF1A84AE" w:tentative="1">
      <w:start w:val="1"/>
      <w:numFmt w:val="bullet"/>
      <w:lvlText w:val="o"/>
      <w:lvlJc w:val="left"/>
      <w:pPr>
        <w:tabs>
          <w:tab w:val="num" w:pos="2517"/>
        </w:tabs>
        <w:ind w:left="2517" w:hanging="360"/>
      </w:pPr>
      <w:rPr>
        <w:rFonts w:ascii="Courier New" w:hAnsi="Courier New" w:cs="Courier New" w:hint="default"/>
      </w:rPr>
    </w:lvl>
    <w:lvl w:ilvl="2" w:tplc="73AE630E" w:tentative="1">
      <w:start w:val="1"/>
      <w:numFmt w:val="bullet"/>
      <w:lvlText w:val=""/>
      <w:lvlJc w:val="left"/>
      <w:pPr>
        <w:tabs>
          <w:tab w:val="num" w:pos="3237"/>
        </w:tabs>
        <w:ind w:left="3237" w:hanging="360"/>
      </w:pPr>
      <w:rPr>
        <w:rFonts w:ascii="Wingdings" w:hAnsi="Wingdings" w:hint="default"/>
      </w:rPr>
    </w:lvl>
    <w:lvl w:ilvl="3" w:tplc="96BE72E2" w:tentative="1">
      <w:start w:val="1"/>
      <w:numFmt w:val="bullet"/>
      <w:lvlText w:val=""/>
      <w:lvlJc w:val="left"/>
      <w:pPr>
        <w:tabs>
          <w:tab w:val="num" w:pos="3957"/>
        </w:tabs>
        <w:ind w:left="3957" w:hanging="360"/>
      </w:pPr>
      <w:rPr>
        <w:rFonts w:ascii="Symbol" w:hAnsi="Symbol" w:hint="default"/>
      </w:rPr>
    </w:lvl>
    <w:lvl w:ilvl="4" w:tplc="A8D8F236" w:tentative="1">
      <w:start w:val="1"/>
      <w:numFmt w:val="bullet"/>
      <w:lvlText w:val="o"/>
      <w:lvlJc w:val="left"/>
      <w:pPr>
        <w:tabs>
          <w:tab w:val="num" w:pos="4677"/>
        </w:tabs>
        <w:ind w:left="4677" w:hanging="360"/>
      </w:pPr>
      <w:rPr>
        <w:rFonts w:ascii="Courier New" w:hAnsi="Courier New" w:cs="Courier New" w:hint="default"/>
      </w:rPr>
    </w:lvl>
    <w:lvl w:ilvl="5" w:tplc="9412E9FC" w:tentative="1">
      <w:start w:val="1"/>
      <w:numFmt w:val="bullet"/>
      <w:lvlText w:val=""/>
      <w:lvlJc w:val="left"/>
      <w:pPr>
        <w:tabs>
          <w:tab w:val="num" w:pos="5397"/>
        </w:tabs>
        <w:ind w:left="5397" w:hanging="360"/>
      </w:pPr>
      <w:rPr>
        <w:rFonts w:ascii="Wingdings" w:hAnsi="Wingdings" w:hint="default"/>
      </w:rPr>
    </w:lvl>
    <w:lvl w:ilvl="6" w:tplc="EAC8AE2E" w:tentative="1">
      <w:start w:val="1"/>
      <w:numFmt w:val="bullet"/>
      <w:lvlText w:val=""/>
      <w:lvlJc w:val="left"/>
      <w:pPr>
        <w:tabs>
          <w:tab w:val="num" w:pos="6117"/>
        </w:tabs>
        <w:ind w:left="6117" w:hanging="360"/>
      </w:pPr>
      <w:rPr>
        <w:rFonts w:ascii="Symbol" w:hAnsi="Symbol" w:hint="default"/>
      </w:rPr>
    </w:lvl>
    <w:lvl w:ilvl="7" w:tplc="9168C7FE" w:tentative="1">
      <w:start w:val="1"/>
      <w:numFmt w:val="bullet"/>
      <w:lvlText w:val="o"/>
      <w:lvlJc w:val="left"/>
      <w:pPr>
        <w:tabs>
          <w:tab w:val="num" w:pos="6837"/>
        </w:tabs>
        <w:ind w:left="6837" w:hanging="360"/>
      </w:pPr>
      <w:rPr>
        <w:rFonts w:ascii="Courier New" w:hAnsi="Courier New" w:cs="Courier New" w:hint="default"/>
      </w:rPr>
    </w:lvl>
    <w:lvl w:ilvl="8" w:tplc="CF0C7C2E" w:tentative="1">
      <w:start w:val="1"/>
      <w:numFmt w:val="bullet"/>
      <w:lvlText w:val=""/>
      <w:lvlJc w:val="left"/>
      <w:pPr>
        <w:tabs>
          <w:tab w:val="num" w:pos="7557"/>
        </w:tabs>
        <w:ind w:left="7557" w:hanging="360"/>
      </w:pPr>
      <w:rPr>
        <w:rFonts w:ascii="Wingdings" w:hAnsi="Wingdings" w:hint="default"/>
      </w:rPr>
    </w:lvl>
  </w:abstractNum>
  <w:abstractNum w:abstractNumId="20" w15:restartNumberingAfterBreak="0">
    <w:nsid w:val="7C866FC0"/>
    <w:multiLevelType w:val="hybridMultilevel"/>
    <w:tmpl w:val="57EA2900"/>
    <w:lvl w:ilvl="0" w:tplc="53C4D9D0">
      <w:start w:val="1"/>
      <w:numFmt w:val="decimal"/>
      <w:pStyle w:val="ATSNumber2"/>
      <w:lvlText w:val="%1."/>
      <w:lvlJc w:val="left"/>
      <w:pPr>
        <w:tabs>
          <w:tab w:val="num" w:pos="720"/>
        </w:tabs>
        <w:ind w:left="720" w:hanging="360"/>
      </w:pPr>
      <w:rPr>
        <w:rFonts w:hint="default"/>
      </w:rPr>
    </w:lvl>
    <w:lvl w:ilvl="1" w:tplc="A5484AA4" w:tentative="1">
      <w:start w:val="1"/>
      <w:numFmt w:val="lowerLetter"/>
      <w:lvlText w:val="%2."/>
      <w:lvlJc w:val="left"/>
      <w:pPr>
        <w:tabs>
          <w:tab w:val="num" w:pos="1440"/>
        </w:tabs>
        <w:ind w:left="1440" w:hanging="360"/>
      </w:pPr>
    </w:lvl>
    <w:lvl w:ilvl="2" w:tplc="D0DC2A80" w:tentative="1">
      <w:start w:val="1"/>
      <w:numFmt w:val="lowerRoman"/>
      <w:lvlText w:val="%3."/>
      <w:lvlJc w:val="right"/>
      <w:pPr>
        <w:tabs>
          <w:tab w:val="num" w:pos="2160"/>
        </w:tabs>
        <w:ind w:left="2160" w:hanging="180"/>
      </w:pPr>
    </w:lvl>
    <w:lvl w:ilvl="3" w:tplc="CFB4E838" w:tentative="1">
      <w:start w:val="1"/>
      <w:numFmt w:val="decimal"/>
      <w:lvlText w:val="%4."/>
      <w:lvlJc w:val="left"/>
      <w:pPr>
        <w:tabs>
          <w:tab w:val="num" w:pos="2880"/>
        </w:tabs>
        <w:ind w:left="2880" w:hanging="360"/>
      </w:pPr>
    </w:lvl>
    <w:lvl w:ilvl="4" w:tplc="43BCF7B8" w:tentative="1">
      <w:start w:val="1"/>
      <w:numFmt w:val="lowerLetter"/>
      <w:lvlText w:val="%5."/>
      <w:lvlJc w:val="left"/>
      <w:pPr>
        <w:tabs>
          <w:tab w:val="num" w:pos="3600"/>
        </w:tabs>
        <w:ind w:left="3600" w:hanging="360"/>
      </w:pPr>
    </w:lvl>
    <w:lvl w:ilvl="5" w:tplc="E514BF98" w:tentative="1">
      <w:start w:val="1"/>
      <w:numFmt w:val="lowerRoman"/>
      <w:lvlText w:val="%6."/>
      <w:lvlJc w:val="right"/>
      <w:pPr>
        <w:tabs>
          <w:tab w:val="num" w:pos="4320"/>
        </w:tabs>
        <w:ind w:left="4320" w:hanging="180"/>
      </w:pPr>
    </w:lvl>
    <w:lvl w:ilvl="6" w:tplc="A7C6D316" w:tentative="1">
      <w:start w:val="1"/>
      <w:numFmt w:val="decimal"/>
      <w:lvlText w:val="%7."/>
      <w:lvlJc w:val="left"/>
      <w:pPr>
        <w:tabs>
          <w:tab w:val="num" w:pos="5040"/>
        </w:tabs>
        <w:ind w:left="5040" w:hanging="360"/>
      </w:pPr>
    </w:lvl>
    <w:lvl w:ilvl="7" w:tplc="7C3A5C18" w:tentative="1">
      <w:start w:val="1"/>
      <w:numFmt w:val="lowerLetter"/>
      <w:lvlText w:val="%8."/>
      <w:lvlJc w:val="left"/>
      <w:pPr>
        <w:tabs>
          <w:tab w:val="num" w:pos="5760"/>
        </w:tabs>
        <w:ind w:left="5760" w:hanging="360"/>
      </w:pPr>
    </w:lvl>
    <w:lvl w:ilvl="8" w:tplc="6F7A0610"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9"/>
  </w:num>
  <w:num w:numId="13">
    <w:abstractNumId w:val="18"/>
  </w:num>
  <w:num w:numId="14">
    <w:abstractNumId w:val="14"/>
  </w:num>
  <w:num w:numId="15">
    <w:abstractNumId w:val="16"/>
  </w:num>
  <w:num w:numId="16">
    <w:abstractNumId w:val="11"/>
  </w:num>
  <w:num w:numId="17">
    <w:abstractNumId w:val="13"/>
  </w:num>
  <w:num w:numId="18">
    <w:abstractNumId w:val="19"/>
  </w:num>
  <w:num w:numId="19">
    <w:abstractNumId w:val="18"/>
  </w:num>
  <w:num w:numId="20">
    <w:abstractNumId w:val="20"/>
  </w:num>
  <w:num w:numId="21">
    <w:abstractNumId w:val="12"/>
  </w:num>
  <w:num w:numId="22">
    <w:abstractNumId w:val="10"/>
  </w:num>
  <w:num w:numId="23">
    <w:abstractNumId w:val="17"/>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5C2"/>
    <w:rsid w:val="004370A3"/>
    <w:rsid w:val="007805C2"/>
    <w:rsid w:val="00936839"/>
    <w:rsid w:val="00B019B6"/>
    <w:rsid w:val="00B10C7B"/>
    <w:rsid w:val="00B93EB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91B77"/>
  <w15:chartTrackingRefBased/>
  <w15:docId w15:val="{354E2B07-9602-47CA-A503-4105B07AF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6">
    <w:lsdException w:name="Normal" w:qFormat="1"/>
    <w:lsdException w:name="caption" w:semiHidden="1" w:unhideWhenUsed="1" w:qFormat="1"/>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89F"/>
    <w:rPr>
      <w:sz w:val="22"/>
      <w:szCs w:val="24"/>
      <w:lang w:val="en-GB" w:eastAsia="en-US"/>
    </w:rPr>
  </w:style>
  <w:style w:type="paragraph" w:styleId="Ttulo1">
    <w:name w:val="heading 1"/>
    <w:basedOn w:val="Normal"/>
    <w:next w:val="Normal"/>
    <w:rsid w:val="001B789F"/>
    <w:pPr>
      <w:keepNext/>
      <w:spacing w:before="180" w:after="360"/>
      <w:jc w:val="center"/>
      <w:outlineLvl w:val="0"/>
    </w:pPr>
    <w:rPr>
      <w:rFonts w:ascii="Arial" w:hAnsi="Arial"/>
      <w:b/>
      <w:kern w:val="28"/>
      <w:sz w:val="32"/>
      <w:szCs w:val="20"/>
    </w:rPr>
  </w:style>
  <w:style w:type="paragraph" w:styleId="Ttulo2">
    <w:name w:val="heading 2"/>
    <w:basedOn w:val="Normal"/>
    <w:next w:val="Normal"/>
    <w:rsid w:val="001B789F"/>
    <w:pPr>
      <w:keepNext/>
      <w:spacing w:before="120" w:after="240"/>
      <w:outlineLvl w:val="1"/>
    </w:pPr>
    <w:rPr>
      <w:b/>
      <w:i/>
      <w:sz w:val="28"/>
      <w:szCs w:val="20"/>
    </w:rPr>
  </w:style>
  <w:style w:type="paragraph" w:styleId="Ttulo3">
    <w:name w:val="heading 3"/>
    <w:basedOn w:val="Normal"/>
    <w:next w:val="Normal"/>
    <w:rsid w:val="001B789F"/>
    <w:pPr>
      <w:keepNext/>
      <w:spacing w:before="120" w:after="180"/>
      <w:outlineLvl w:val="2"/>
    </w:pPr>
    <w:rPr>
      <w:rFonts w:eastAsia="SimSun"/>
      <w:b/>
      <w:sz w:val="24"/>
      <w:szCs w:val="20"/>
      <w:lang w:eastAsia="zh-CN"/>
    </w:rPr>
  </w:style>
  <w:style w:type="paragraph" w:styleId="Ttulo4">
    <w:name w:val="heading 4"/>
    <w:basedOn w:val="Normal"/>
    <w:next w:val="Normal"/>
    <w:rsid w:val="001B789F"/>
    <w:pPr>
      <w:keepNext/>
      <w:spacing w:before="60" w:after="120"/>
      <w:outlineLvl w:val="3"/>
    </w:pPr>
    <w:rPr>
      <w:b/>
      <w:bCs/>
      <w:i/>
      <w:szCs w:val="28"/>
    </w:rPr>
  </w:style>
  <w:style w:type="paragraph" w:styleId="Ttulo5">
    <w:name w:val="heading 5"/>
    <w:basedOn w:val="Normal"/>
    <w:next w:val="Normal"/>
    <w:rsid w:val="001B789F"/>
    <w:pPr>
      <w:spacing w:before="240" w:after="60"/>
      <w:outlineLvl w:val="4"/>
    </w:pPr>
    <w:rPr>
      <w:b/>
      <w:bCs/>
      <w:i/>
      <w:iCs/>
      <w:sz w:val="26"/>
      <w:szCs w:val="26"/>
    </w:rPr>
  </w:style>
  <w:style w:type="paragraph" w:styleId="Ttulo6">
    <w:name w:val="heading 6"/>
    <w:basedOn w:val="Normal"/>
    <w:next w:val="Normal"/>
    <w:rsid w:val="001B789F"/>
    <w:pPr>
      <w:spacing w:before="240" w:after="60"/>
      <w:outlineLvl w:val="5"/>
    </w:pPr>
    <w:rPr>
      <w:b/>
      <w:bCs/>
      <w:szCs w:val="22"/>
    </w:rPr>
  </w:style>
  <w:style w:type="paragraph" w:styleId="Ttulo7">
    <w:name w:val="heading 7"/>
    <w:basedOn w:val="Normal"/>
    <w:next w:val="Normal"/>
    <w:rsid w:val="001B789F"/>
    <w:pPr>
      <w:spacing w:before="240" w:after="60"/>
      <w:outlineLvl w:val="6"/>
    </w:pPr>
    <w:rPr>
      <w:sz w:val="24"/>
    </w:rPr>
  </w:style>
  <w:style w:type="paragraph" w:styleId="Ttulo8">
    <w:name w:val="heading 8"/>
    <w:basedOn w:val="Normal"/>
    <w:next w:val="Normal"/>
    <w:rsid w:val="001B789F"/>
    <w:pPr>
      <w:spacing w:before="240" w:after="60"/>
      <w:outlineLvl w:val="7"/>
    </w:pPr>
    <w:rPr>
      <w:i/>
      <w:iCs/>
      <w:sz w:val="24"/>
    </w:rPr>
  </w:style>
  <w:style w:type="paragraph" w:styleId="Ttulo9">
    <w:name w:val="heading 9"/>
    <w:basedOn w:val="Normal"/>
    <w:next w:val="Normal"/>
    <w:rsid w:val="001B789F"/>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TSNormal">
    <w:name w:val="ATS Normal"/>
    <w:basedOn w:val="Normal"/>
    <w:qFormat/>
    <w:rsid w:val="001B789F"/>
    <w:pPr>
      <w:spacing w:before="120" w:after="120"/>
    </w:pPr>
    <w:rPr>
      <w:lang w:eastAsia="en-GB"/>
    </w:rPr>
  </w:style>
  <w:style w:type="paragraph" w:customStyle="1" w:styleId="ATSBullet1">
    <w:name w:val="ATS Bullet 1"/>
    <w:basedOn w:val="ATSNormal"/>
    <w:qFormat/>
    <w:rsid w:val="001B789F"/>
    <w:pPr>
      <w:numPr>
        <w:numId w:val="17"/>
      </w:numPr>
      <w:spacing w:before="60" w:after="0"/>
    </w:pPr>
  </w:style>
  <w:style w:type="paragraph" w:customStyle="1" w:styleId="ATSBullet2">
    <w:name w:val="ATS Bullet 2"/>
    <w:basedOn w:val="ATSNormal"/>
    <w:qFormat/>
    <w:rsid w:val="001B789F"/>
    <w:pPr>
      <w:numPr>
        <w:numId w:val="18"/>
      </w:numPr>
      <w:tabs>
        <w:tab w:val="left" w:pos="720"/>
      </w:tabs>
      <w:spacing w:before="60" w:after="0"/>
    </w:pPr>
  </w:style>
  <w:style w:type="paragraph" w:customStyle="1" w:styleId="ATSCompact">
    <w:name w:val="ATS Compact"/>
    <w:basedOn w:val="ATSNormal"/>
    <w:qFormat/>
    <w:rsid w:val="001B789F"/>
    <w:pPr>
      <w:spacing w:before="0" w:after="0"/>
    </w:pPr>
  </w:style>
  <w:style w:type="paragraph" w:customStyle="1" w:styleId="ATSHeading1">
    <w:name w:val="ATS Heading 1"/>
    <w:basedOn w:val="ATSNormal"/>
    <w:next w:val="ATSNormal"/>
    <w:qFormat/>
    <w:rsid w:val="001B789F"/>
    <w:pPr>
      <w:spacing w:before="360" w:after="360"/>
      <w:jc w:val="center"/>
    </w:pPr>
    <w:rPr>
      <w:rFonts w:ascii="Arial" w:hAnsi="Arial"/>
      <w:b/>
      <w:sz w:val="32"/>
    </w:rPr>
  </w:style>
  <w:style w:type="paragraph" w:customStyle="1" w:styleId="ATSHeading2">
    <w:name w:val="ATS Heading 2"/>
    <w:basedOn w:val="ATSNormal"/>
    <w:next w:val="ATSNormal"/>
    <w:link w:val="ATSHeading2Char"/>
    <w:qFormat/>
    <w:rsid w:val="001B789F"/>
    <w:pPr>
      <w:spacing w:before="480"/>
      <w:jc w:val="both"/>
    </w:pPr>
    <w:rPr>
      <w:rFonts w:ascii="Arial" w:hAnsi="Arial"/>
      <w:b/>
      <w:i/>
      <w:sz w:val="24"/>
      <w:szCs w:val="22"/>
    </w:rPr>
  </w:style>
  <w:style w:type="paragraph" w:customStyle="1" w:styleId="ATSHeading3">
    <w:name w:val="ATS Heading 3"/>
    <w:basedOn w:val="ATSNormal"/>
    <w:next w:val="ATSNormal"/>
    <w:qFormat/>
    <w:rsid w:val="001B789F"/>
    <w:pPr>
      <w:spacing w:before="240" w:after="60"/>
    </w:pPr>
    <w:rPr>
      <w:b/>
    </w:rPr>
  </w:style>
  <w:style w:type="paragraph" w:customStyle="1" w:styleId="ATSHeading4">
    <w:name w:val="ATS Heading 4"/>
    <w:basedOn w:val="ATSNormal"/>
    <w:next w:val="ATSNormal"/>
    <w:qFormat/>
    <w:rsid w:val="001B789F"/>
    <w:pPr>
      <w:spacing w:before="240" w:after="60"/>
    </w:pPr>
    <w:rPr>
      <w:i/>
    </w:rPr>
  </w:style>
  <w:style w:type="paragraph" w:customStyle="1" w:styleId="AtsNumber">
    <w:name w:val="Ats Number"/>
    <w:basedOn w:val="ATSNormal"/>
    <w:qFormat/>
    <w:rsid w:val="001B789F"/>
    <w:pPr>
      <w:spacing w:before="60" w:after="0"/>
    </w:pPr>
  </w:style>
  <w:style w:type="paragraph" w:customStyle="1" w:styleId="ATSNumber1">
    <w:name w:val="ATS Number 1"/>
    <w:basedOn w:val="ATSNormal"/>
    <w:qFormat/>
    <w:rsid w:val="001B789F"/>
    <w:pPr>
      <w:numPr>
        <w:numId w:val="19"/>
      </w:numPr>
      <w:spacing w:before="60" w:after="0"/>
    </w:pPr>
  </w:style>
  <w:style w:type="paragraph" w:customStyle="1" w:styleId="ATSNumber2">
    <w:name w:val="ATS Number 2"/>
    <w:basedOn w:val="ATSNormal"/>
    <w:autoRedefine/>
    <w:qFormat/>
    <w:rsid w:val="001B789F"/>
    <w:pPr>
      <w:numPr>
        <w:numId w:val="20"/>
      </w:numPr>
      <w:spacing w:after="0"/>
      <w:jc w:val="both"/>
    </w:pPr>
  </w:style>
  <w:style w:type="paragraph" w:customStyle="1" w:styleId="ATSQuote">
    <w:name w:val="ATS Quote"/>
    <w:basedOn w:val="Normal"/>
    <w:qFormat/>
    <w:rsid w:val="001B789F"/>
    <w:pPr>
      <w:ind w:left="357"/>
    </w:pPr>
    <w:rPr>
      <w:i/>
      <w:szCs w:val="18"/>
    </w:rPr>
  </w:style>
  <w:style w:type="paragraph" w:customStyle="1" w:styleId="ATSTitle">
    <w:name w:val="ATS Title"/>
    <w:basedOn w:val="Normal"/>
    <w:qFormat/>
    <w:rsid w:val="001B789F"/>
    <w:pPr>
      <w:spacing w:before="360" w:after="360"/>
      <w:contextualSpacing/>
      <w:jc w:val="center"/>
    </w:pPr>
    <w:rPr>
      <w:rFonts w:ascii="Arial" w:hAnsi="Arial"/>
      <w:b/>
      <w:sz w:val="48"/>
    </w:rPr>
  </w:style>
  <w:style w:type="paragraph" w:styleId="Textodeglobo">
    <w:name w:val="Balloon Text"/>
    <w:basedOn w:val="Normal"/>
    <w:semiHidden/>
    <w:rsid w:val="001B789F"/>
    <w:rPr>
      <w:rFonts w:ascii="Tahoma" w:hAnsi="Tahoma" w:cs="Tahoma"/>
      <w:sz w:val="16"/>
      <w:szCs w:val="16"/>
    </w:rPr>
  </w:style>
  <w:style w:type="character" w:customStyle="1" w:styleId="BodyTextChar">
    <w:name w:val="Body Text Char"/>
    <w:semiHidden/>
    <w:rsid w:val="001B789F"/>
    <w:rPr>
      <w:sz w:val="24"/>
      <w:szCs w:val="22"/>
      <w:lang w:val="en-US" w:eastAsia="zh-CN" w:bidi="ar-SA"/>
    </w:rPr>
  </w:style>
  <w:style w:type="character" w:customStyle="1" w:styleId="CharacterStyle1">
    <w:name w:val="Character Style 1"/>
    <w:semiHidden/>
    <w:rsid w:val="001B789F"/>
    <w:rPr>
      <w:sz w:val="22"/>
      <w:szCs w:val="22"/>
    </w:rPr>
  </w:style>
  <w:style w:type="character" w:customStyle="1" w:styleId="descriptions1">
    <w:name w:val="descriptions1"/>
    <w:semiHidden/>
    <w:rsid w:val="001B789F"/>
    <w:rPr>
      <w:rFonts w:ascii="Verdana" w:hAnsi="Verdana" w:hint="default"/>
      <w:b/>
      <w:bCs/>
      <w:i w:val="0"/>
      <w:iCs w:val="0"/>
      <w:caps w:val="0"/>
      <w:smallCaps w:val="0"/>
      <w:color w:val="585858"/>
      <w:sz w:val="12"/>
      <w:szCs w:val="12"/>
    </w:rPr>
  </w:style>
  <w:style w:type="paragraph" w:styleId="Mapadeldocumento">
    <w:name w:val="Document Map"/>
    <w:basedOn w:val="Normal"/>
    <w:semiHidden/>
    <w:rsid w:val="001B789F"/>
    <w:pPr>
      <w:shd w:val="clear" w:color="auto" w:fill="000080"/>
    </w:pPr>
    <w:rPr>
      <w:rFonts w:ascii="Tahoma" w:hAnsi="Tahoma" w:cs="Tahoma"/>
      <w:sz w:val="20"/>
      <w:szCs w:val="20"/>
    </w:rPr>
  </w:style>
  <w:style w:type="character" w:styleId="Refdenotaalfinal">
    <w:name w:val="endnote reference"/>
    <w:semiHidden/>
    <w:rsid w:val="001B789F"/>
    <w:rPr>
      <w:vertAlign w:val="superscript"/>
    </w:rPr>
  </w:style>
  <w:style w:type="paragraph" w:styleId="Textonotaalfinal">
    <w:name w:val="endnote text"/>
    <w:basedOn w:val="Normal"/>
    <w:semiHidden/>
    <w:rsid w:val="001B789F"/>
    <w:rPr>
      <w:sz w:val="20"/>
      <w:szCs w:val="20"/>
    </w:rPr>
  </w:style>
  <w:style w:type="character" w:styleId="Hipervnculovisitado">
    <w:name w:val="FollowedHyperlink"/>
    <w:semiHidden/>
    <w:rsid w:val="001B789F"/>
    <w:rPr>
      <w:color w:val="800080"/>
      <w:u w:val="single"/>
    </w:rPr>
  </w:style>
  <w:style w:type="paragraph" w:styleId="Piedepgina">
    <w:name w:val="footer"/>
    <w:basedOn w:val="Normal"/>
    <w:semiHidden/>
    <w:rsid w:val="001B789F"/>
    <w:pPr>
      <w:tabs>
        <w:tab w:val="center" w:pos="4419"/>
        <w:tab w:val="right" w:pos="8838"/>
      </w:tabs>
    </w:pPr>
  </w:style>
  <w:style w:type="character" w:styleId="Refdenotaalpie">
    <w:name w:val="footnote reference"/>
    <w:rsid w:val="001B789F"/>
    <w:rPr>
      <w:vertAlign w:val="superscript"/>
    </w:rPr>
  </w:style>
  <w:style w:type="paragraph" w:styleId="Textonotapie">
    <w:name w:val="footnote text"/>
    <w:basedOn w:val="Normal"/>
    <w:link w:val="TextonotapieCar"/>
    <w:rsid w:val="001B789F"/>
    <w:rPr>
      <w:szCs w:val="22"/>
    </w:rPr>
  </w:style>
  <w:style w:type="paragraph" w:styleId="Encabezado">
    <w:name w:val="header"/>
    <w:basedOn w:val="Normal"/>
    <w:semiHidden/>
    <w:rsid w:val="001B789F"/>
    <w:pPr>
      <w:tabs>
        <w:tab w:val="center" w:pos="4419"/>
        <w:tab w:val="right" w:pos="8838"/>
      </w:tabs>
    </w:pPr>
  </w:style>
  <w:style w:type="character" w:styleId="Hipervnculo">
    <w:name w:val="Hyperlink"/>
    <w:uiPriority w:val="99"/>
    <w:rsid w:val="001B789F"/>
    <w:rPr>
      <w:color w:val="660000"/>
      <w:u w:val="single"/>
    </w:rPr>
  </w:style>
  <w:style w:type="paragraph" w:styleId="NormalWeb">
    <w:name w:val="Normal (Web)"/>
    <w:basedOn w:val="Normal"/>
    <w:semiHidden/>
    <w:rsid w:val="001B789F"/>
    <w:pPr>
      <w:spacing w:before="100" w:beforeAutospacing="1" w:after="100" w:afterAutospacing="1"/>
      <w:jc w:val="both"/>
    </w:pPr>
    <w:rPr>
      <w:sz w:val="24"/>
      <w:lang w:val="en-AU" w:eastAsia="en-AU"/>
    </w:rPr>
  </w:style>
  <w:style w:type="character" w:styleId="Nmerodepgina">
    <w:name w:val="page number"/>
    <w:basedOn w:val="Fuentedeprrafopredeter"/>
    <w:semiHidden/>
    <w:rsid w:val="001B789F"/>
  </w:style>
  <w:style w:type="character" w:styleId="Textoennegrita">
    <w:name w:val="Strong"/>
    <w:rsid w:val="001B789F"/>
    <w:rPr>
      <w:b/>
      <w:bCs/>
    </w:rPr>
  </w:style>
  <w:style w:type="table" w:styleId="Tablaconcuadrcula">
    <w:name w:val="Table Grid"/>
    <w:basedOn w:val="Tablanormal"/>
    <w:semiHidden/>
    <w:rsid w:val="001B7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1">
    <w:name w:val="tag1"/>
    <w:semiHidden/>
    <w:rsid w:val="001B789F"/>
    <w:rPr>
      <w:rFonts w:ascii="Verdana" w:hAnsi="Verdana" w:hint="default"/>
      <w:b w:val="0"/>
      <w:bCs w:val="0"/>
      <w:i w:val="0"/>
      <w:iCs w:val="0"/>
      <w:caps w:val="0"/>
      <w:smallCaps w:val="0"/>
      <w:strike w:val="0"/>
      <w:dstrike w:val="0"/>
      <w:color w:val="585858"/>
      <w:sz w:val="12"/>
      <w:szCs w:val="12"/>
      <w:u w:val="none"/>
      <w:effect w:val="none"/>
    </w:rPr>
  </w:style>
  <w:style w:type="paragraph" w:customStyle="1" w:styleId="TexteFr">
    <w:name w:val="TexteFr"/>
    <w:basedOn w:val="Normal"/>
    <w:semiHidden/>
    <w:rsid w:val="001B789F"/>
    <w:pPr>
      <w:pBdr>
        <w:top w:val="single" w:sz="4" w:space="1" w:color="auto"/>
        <w:left w:val="single" w:sz="4" w:space="4" w:color="auto"/>
        <w:bottom w:val="single" w:sz="4" w:space="1" w:color="auto"/>
        <w:right w:val="single" w:sz="4" w:space="4" w:color="auto"/>
      </w:pBdr>
      <w:shd w:val="pct10" w:color="000000" w:fill="auto"/>
      <w:tabs>
        <w:tab w:val="left" w:pos="1711"/>
        <w:tab w:val="left" w:pos="2209"/>
        <w:tab w:val="left" w:pos="2760"/>
        <w:tab w:val="left" w:pos="5101"/>
        <w:tab w:val="left" w:pos="5886"/>
        <w:tab w:val="left" w:pos="7128"/>
      </w:tabs>
      <w:ind w:left="272" w:hanging="272"/>
      <w:jc w:val="both"/>
    </w:pPr>
    <w:rPr>
      <w:szCs w:val="22"/>
      <w:lang w:val="fr-FR" w:eastAsia="en-AU"/>
    </w:rPr>
  </w:style>
  <w:style w:type="paragraph" w:customStyle="1" w:styleId="TextEn">
    <w:name w:val="TextEn"/>
    <w:basedOn w:val="Normal"/>
    <w:semiHidden/>
    <w:rsid w:val="001B789F"/>
    <w:pPr>
      <w:spacing w:after="120"/>
    </w:pPr>
    <w:rPr>
      <w:szCs w:val="22"/>
    </w:rPr>
  </w:style>
  <w:style w:type="paragraph" w:customStyle="1" w:styleId="TextEnSingle">
    <w:name w:val="TextEnSingle"/>
    <w:basedOn w:val="TextEn"/>
    <w:semiHidden/>
    <w:rsid w:val="001B789F"/>
    <w:pPr>
      <w:spacing w:after="0"/>
    </w:pPr>
  </w:style>
  <w:style w:type="paragraph" w:customStyle="1" w:styleId="TextSp">
    <w:name w:val="TextSp"/>
    <w:basedOn w:val="Normal"/>
    <w:semiHidden/>
    <w:rsid w:val="001B789F"/>
    <w:pPr>
      <w:spacing w:after="120"/>
    </w:pPr>
    <w:rPr>
      <w:szCs w:val="22"/>
      <w:lang w:val="es-AR" w:eastAsia="es-ES"/>
    </w:rPr>
  </w:style>
  <w:style w:type="paragraph" w:styleId="TDC1">
    <w:name w:val="toc 1"/>
    <w:basedOn w:val="Normal"/>
    <w:next w:val="Normal"/>
    <w:autoRedefine/>
    <w:semiHidden/>
    <w:rsid w:val="001B789F"/>
    <w:rPr>
      <w:b/>
      <w:bCs/>
      <w:i/>
      <w:iCs/>
      <w:sz w:val="24"/>
    </w:rPr>
  </w:style>
  <w:style w:type="paragraph" w:styleId="TDC2">
    <w:name w:val="toc 2"/>
    <w:basedOn w:val="Normal"/>
    <w:next w:val="Normal"/>
    <w:autoRedefine/>
    <w:semiHidden/>
    <w:rsid w:val="001B789F"/>
    <w:pPr>
      <w:ind w:left="220"/>
    </w:pPr>
    <w:rPr>
      <w:b/>
      <w:bCs/>
      <w:szCs w:val="22"/>
    </w:rPr>
  </w:style>
  <w:style w:type="paragraph" w:styleId="TDC3">
    <w:name w:val="toc 3"/>
    <w:basedOn w:val="Normal"/>
    <w:next w:val="Normal"/>
    <w:autoRedefine/>
    <w:semiHidden/>
    <w:rsid w:val="001B789F"/>
    <w:pPr>
      <w:ind w:left="440"/>
    </w:pPr>
    <w:rPr>
      <w:sz w:val="20"/>
      <w:szCs w:val="20"/>
    </w:rPr>
  </w:style>
  <w:style w:type="paragraph" w:styleId="TDC4">
    <w:name w:val="toc 4"/>
    <w:basedOn w:val="Normal"/>
    <w:next w:val="Normal"/>
    <w:autoRedefine/>
    <w:semiHidden/>
    <w:rsid w:val="001B789F"/>
    <w:pPr>
      <w:ind w:left="660"/>
    </w:pPr>
    <w:rPr>
      <w:sz w:val="20"/>
      <w:szCs w:val="20"/>
    </w:rPr>
  </w:style>
  <w:style w:type="paragraph" w:styleId="TDC5">
    <w:name w:val="toc 5"/>
    <w:basedOn w:val="Normal"/>
    <w:next w:val="Normal"/>
    <w:autoRedefine/>
    <w:semiHidden/>
    <w:rsid w:val="001B789F"/>
    <w:pPr>
      <w:ind w:left="880"/>
    </w:pPr>
    <w:rPr>
      <w:sz w:val="20"/>
      <w:szCs w:val="20"/>
    </w:rPr>
  </w:style>
  <w:style w:type="paragraph" w:styleId="TDC6">
    <w:name w:val="toc 6"/>
    <w:basedOn w:val="Normal"/>
    <w:next w:val="Normal"/>
    <w:autoRedefine/>
    <w:semiHidden/>
    <w:rsid w:val="001B789F"/>
    <w:pPr>
      <w:ind w:left="1100"/>
    </w:pPr>
    <w:rPr>
      <w:sz w:val="20"/>
      <w:szCs w:val="20"/>
    </w:rPr>
  </w:style>
  <w:style w:type="paragraph" w:styleId="TDC7">
    <w:name w:val="toc 7"/>
    <w:basedOn w:val="Normal"/>
    <w:next w:val="Normal"/>
    <w:autoRedefine/>
    <w:semiHidden/>
    <w:rsid w:val="001B789F"/>
    <w:pPr>
      <w:ind w:left="1320"/>
    </w:pPr>
    <w:rPr>
      <w:sz w:val="20"/>
      <w:szCs w:val="20"/>
    </w:rPr>
  </w:style>
  <w:style w:type="paragraph" w:styleId="TDC8">
    <w:name w:val="toc 8"/>
    <w:basedOn w:val="Normal"/>
    <w:next w:val="Normal"/>
    <w:autoRedefine/>
    <w:semiHidden/>
    <w:rsid w:val="001B789F"/>
    <w:pPr>
      <w:ind w:left="1540"/>
    </w:pPr>
    <w:rPr>
      <w:sz w:val="20"/>
      <w:szCs w:val="20"/>
    </w:rPr>
  </w:style>
  <w:style w:type="paragraph" w:styleId="TDC9">
    <w:name w:val="toc 9"/>
    <w:basedOn w:val="Normal"/>
    <w:next w:val="Normal"/>
    <w:autoRedefine/>
    <w:semiHidden/>
    <w:rsid w:val="001B789F"/>
    <w:pPr>
      <w:ind w:left="1760"/>
    </w:pPr>
    <w:rPr>
      <w:sz w:val="20"/>
      <w:szCs w:val="20"/>
    </w:rPr>
  </w:style>
  <w:style w:type="paragraph" w:customStyle="1" w:styleId="TytApp">
    <w:name w:val="Tyt. App."/>
    <w:basedOn w:val="Normal"/>
    <w:autoRedefine/>
    <w:semiHidden/>
    <w:rsid w:val="001B789F"/>
    <w:pPr>
      <w:widowControl w:val="0"/>
      <w:numPr>
        <w:ilvl w:val="12"/>
      </w:numPr>
      <w:tabs>
        <w:tab w:val="left" w:pos="90"/>
        <w:tab w:val="left" w:pos="737"/>
        <w:tab w:val="left" w:pos="2835"/>
      </w:tabs>
      <w:spacing w:before="180" w:after="40" w:line="260" w:lineRule="exact"/>
      <w:jc w:val="center"/>
    </w:pPr>
    <w:rPr>
      <w:b/>
      <w:snapToGrid w:val="0"/>
      <w:color w:val="000000"/>
      <w:sz w:val="24"/>
      <w:szCs w:val="20"/>
      <w:lang w:eastAsia="es-ES"/>
    </w:rPr>
  </w:style>
  <w:style w:type="paragraph" w:styleId="Prrafodelista">
    <w:name w:val="List Paragraph"/>
    <w:basedOn w:val="Normal"/>
    <w:uiPriority w:val="34"/>
    <w:rsid w:val="00BF077B"/>
    <w:pPr>
      <w:ind w:left="720"/>
    </w:pPr>
  </w:style>
  <w:style w:type="character" w:styleId="Ttulodellibro">
    <w:name w:val="Book Title"/>
    <w:uiPriority w:val="33"/>
    <w:rsid w:val="00BF077B"/>
    <w:rPr>
      <w:b/>
      <w:bCs/>
      <w:smallCaps/>
      <w:spacing w:val="5"/>
    </w:rPr>
  </w:style>
  <w:style w:type="paragraph" w:customStyle="1" w:styleId="ATSMeasureEmphasis">
    <w:name w:val="ATS Measure Emphasis"/>
    <w:basedOn w:val="Normal"/>
    <w:qFormat/>
    <w:rsid w:val="009E64FE"/>
    <w:pPr>
      <w:spacing w:before="120" w:after="360"/>
    </w:pPr>
    <w:rPr>
      <w:b/>
      <w:sz w:val="24"/>
      <w:lang w:eastAsia="en-GB"/>
    </w:rPr>
  </w:style>
  <w:style w:type="character" w:customStyle="1" w:styleId="ATSHeading2Char">
    <w:name w:val="ATS Heading 2 Char"/>
    <w:link w:val="ATSHeading2"/>
    <w:locked/>
    <w:rsid w:val="00B019B6"/>
    <w:rPr>
      <w:rFonts w:ascii="Arial" w:hAnsi="Arial"/>
      <w:b/>
      <w:i/>
      <w:sz w:val="24"/>
      <w:szCs w:val="22"/>
      <w:lang w:val="en-GB" w:eastAsia="en-GB"/>
    </w:rPr>
  </w:style>
  <w:style w:type="character" w:customStyle="1" w:styleId="TextonotapieCar">
    <w:name w:val="Texto nota pie Car"/>
    <w:basedOn w:val="Fuentedeprrafopredeter"/>
    <w:link w:val="Textonotapie"/>
    <w:rsid w:val="00B019B6"/>
    <w:rPr>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10.1111/gcb.7039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7D6A62-F981-4292-A123-1E093CC7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1741</Words>
  <Characters>9578</Characters>
  <Application>Microsoft Office Word</Application>
  <DocSecurity>0</DocSecurity>
  <Lines>79</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(Paper title:)</vt:lpstr>
      <vt:lpstr>(Paper title:)</vt:lpstr>
    </vt:vector>
  </TitlesOfParts>
  <Company>ATS</Company>
  <LinksUpToDate>false</LinksUpToDate>
  <CharactersWithSpaces>11297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dc:title>
  <dc:creator>Mauro</dc:creator>
  <cp:lastModifiedBy>Lepe Zamora Rodrigo</cp:lastModifiedBy>
  <cp:revision>2</cp:revision>
  <cp:lastPrinted>2008-01-22T18:20:00Z</cp:lastPrinted>
  <dcterms:created xsi:type="dcterms:W3CDTF">2026-04-24T11:55:00Z</dcterms:created>
  <dcterms:modified xsi:type="dcterms:W3CDTF">2026-04-24T11:55:00Z</dcterms:modified>
</cp:coreProperties>
</file>