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3E82" w:rsidRDefault="00503E82" w:rsidP="00E55CE0">
      <w:pPr>
        <w:jc w:val="center"/>
        <w:rPr>
          <w:rFonts w:ascii="Arial" w:hAnsi="Arial" w:cs="Arial"/>
          <w:b/>
          <w:sz w:val="28"/>
          <w:szCs w:val="28"/>
        </w:rPr>
      </w:pPr>
    </w:p>
    <w:p w:rsidR="00503E82" w:rsidRDefault="00503E82" w:rsidP="00E55CE0">
      <w:pPr>
        <w:jc w:val="center"/>
        <w:rPr>
          <w:rFonts w:ascii="Arial" w:hAnsi="Arial" w:cs="Arial"/>
          <w:b/>
          <w:sz w:val="28"/>
          <w:szCs w:val="28"/>
        </w:rPr>
      </w:pPr>
    </w:p>
    <w:p w:rsidR="00503E82" w:rsidRDefault="00503E82" w:rsidP="00E55CE0">
      <w:pPr>
        <w:jc w:val="center"/>
        <w:rPr>
          <w:rFonts w:ascii="Arial" w:hAnsi="Arial" w:cs="Arial"/>
          <w:b/>
          <w:sz w:val="28"/>
          <w:szCs w:val="28"/>
        </w:rPr>
      </w:pPr>
    </w:p>
    <w:p w:rsidR="00503E82" w:rsidRDefault="00503E82" w:rsidP="00E55CE0">
      <w:pPr>
        <w:jc w:val="center"/>
        <w:rPr>
          <w:rFonts w:ascii="Arial" w:hAnsi="Arial" w:cs="Arial"/>
          <w:b/>
          <w:sz w:val="28"/>
          <w:szCs w:val="28"/>
        </w:rPr>
      </w:pPr>
    </w:p>
    <w:p w:rsidR="00503E82" w:rsidRDefault="00503E82" w:rsidP="00E55CE0">
      <w:pPr>
        <w:jc w:val="center"/>
        <w:rPr>
          <w:rFonts w:ascii="Arial" w:hAnsi="Arial" w:cs="Arial"/>
          <w:b/>
          <w:sz w:val="72"/>
          <w:szCs w:val="72"/>
        </w:rPr>
      </w:pPr>
      <w:r w:rsidRPr="00503E82">
        <w:rPr>
          <w:rFonts w:ascii="Arial" w:hAnsi="Arial" w:cs="Arial"/>
          <w:b/>
          <w:sz w:val="72"/>
          <w:szCs w:val="72"/>
        </w:rPr>
        <w:t xml:space="preserve">CURSO </w:t>
      </w:r>
    </w:p>
    <w:p w:rsidR="00E55CE0" w:rsidRPr="00503E82" w:rsidRDefault="00503E82" w:rsidP="00E55CE0">
      <w:pPr>
        <w:jc w:val="center"/>
        <w:rPr>
          <w:rFonts w:ascii="Arial" w:hAnsi="Arial" w:cs="Arial"/>
          <w:b/>
          <w:sz w:val="72"/>
          <w:szCs w:val="72"/>
        </w:rPr>
      </w:pPr>
      <w:r>
        <w:rPr>
          <w:rFonts w:ascii="Arial" w:hAnsi="Arial" w:cs="Arial"/>
          <w:b/>
          <w:sz w:val="72"/>
          <w:szCs w:val="72"/>
        </w:rPr>
        <w:t xml:space="preserve">DE </w:t>
      </w:r>
      <w:r w:rsidR="00E55CE0" w:rsidRPr="00503E82">
        <w:rPr>
          <w:rFonts w:ascii="Arial" w:hAnsi="Arial" w:cs="Arial"/>
          <w:b/>
          <w:sz w:val="72"/>
          <w:szCs w:val="72"/>
        </w:rPr>
        <w:t>EDUCACIÓN CÍVICA</w:t>
      </w:r>
    </w:p>
    <w:p w:rsidR="00503E82" w:rsidRDefault="00503E82" w:rsidP="00E55CE0">
      <w:pPr>
        <w:jc w:val="center"/>
        <w:rPr>
          <w:rFonts w:ascii="Arial" w:hAnsi="Arial" w:cs="Arial"/>
          <w:b/>
          <w:sz w:val="72"/>
          <w:szCs w:val="72"/>
        </w:rPr>
      </w:pPr>
    </w:p>
    <w:p w:rsidR="00E55CE0" w:rsidRPr="00503E82" w:rsidRDefault="00E55CE0" w:rsidP="00E55CE0">
      <w:pPr>
        <w:jc w:val="center"/>
        <w:rPr>
          <w:rFonts w:ascii="Arial" w:hAnsi="Arial" w:cs="Arial"/>
          <w:b/>
          <w:sz w:val="56"/>
          <w:szCs w:val="56"/>
        </w:rPr>
      </w:pPr>
      <w:r w:rsidRPr="00503E82">
        <w:rPr>
          <w:rFonts w:ascii="Arial" w:hAnsi="Arial" w:cs="Arial"/>
          <w:b/>
          <w:sz w:val="56"/>
          <w:szCs w:val="56"/>
        </w:rPr>
        <w:t>UNIDAD TEMÁTICA N° 1: DERECHOS HUMANOS</w:t>
      </w:r>
    </w:p>
    <w:p w:rsidR="00503E82" w:rsidRDefault="00503E82" w:rsidP="00E55CE0">
      <w:pPr>
        <w:rPr>
          <w:rFonts w:ascii="Arial" w:hAnsi="Arial" w:cs="Arial"/>
          <w:b/>
          <w:sz w:val="24"/>
          <w:szCs w:val="24"/>
        </w:rPr>
      </w:pPr>
    </w:p>
    <w:p w:rsidR="00503E82" w:rsidRDefault="00503E82" w:rsidP="00E55CE0">
      <w:pPr>
        <w:rPr>
          <w:rFonts w:ascii="Arial" w:hAnsi="Arial" w:cs="Arial"/>
          <w:b/>
          <w:sz w:val="24"/>
          <w:szCs w:val="24"/>
        </w:rPr>
      </w:pPr>
    </w:p>
    <w:p w:rsidR="00503E82" w:rsidRDefault="00503E82" w:rsidP="00E55CE0">
      <w:pPr>
        <w:rPr>
          <w:rFonts w:ascii="Arial" w:hAnsi="Arial" w:cs="Arial"/>
          <w:b/>
          <w:sz w:val="24"/>
          <w:szCs w:val="24"/>
        </w:rPr>
      </w:pPr>
    </w:p>
    <w:p w:rsidR="00503E82" w:rsidRDefault="00503E82" w:rsidP="00E55CE0">
      <w:pPr>
        <w:rPr>
          <w:rFonts w:ascii="Arial" w:hAnsi="Arial" w:cs="Arial"/>
          <w:b/>
          <w:sz w:val="24"/>
          <w:szCs w:val="24"/>
        </w:rPr>
      </w:pPr>
    </w:p>
    <w:p w:rsidR="00503E82" w:rsidRPr="00503E82" w:rsidRDefault="00503E82" w:rsidP="00503E82">
      <w:pPr>
        <w:jc w:val="center"/>
        <w:rPr>
          <w:rFonts w:ascii="Arial" w:hAnsi="Arial" w:cs="Arial"/>
          <w:b/>
          <w:sz w:val="36"/>
          <w:szCs w:val="36"/>
        </w:rPr>
      </w:pPr>
      <w:r w:rsidRPr="00503E82">
        <w:rPr>
          <w:rFonts w:ascii="Arial" w:hAnsi="Arial" w:cs="Arial"/>
          <w:b/>
          <w:sz w:val="36"/>
          <w:szCs w:val="36"/>
        </w:rPr>
        <w:t>Blanca RAMÍREZ Torrejón</w:t>
      </w:r>
    </w:p>
    <w:p w:rsidR="00503E82" w:rsidRDefault="00503E82" w:rsidP="00503E82">
      <w:pPr>
        <w:jc w:val="center"/>
        <w:rPr>
          <w:rFonts w:ascii="Arial" w:hAnsi="Arial" w:cs="Arial"/>
          <w:b/>
          <w:sz w:val="24"/>
          <w:szCs w:val="24"/>
        </w:rPr>
      </w:pPr>
    </w:p>
    <w:p w:rsidR="00503E82" w:rsidRDefault="00503E82" w:rsidP="00503E82">
      <w:pPr>
        <w:jc w:val="center"/>
        <w:rPr>
          <w:rFonts w:ascii="Arial" w:hAnsi="Arial" w:cs="Arial"/>
          <w:b/>
          <w:sz w:val="24"/>
          <w:szCs w:val="24"/>
        </w:rPr>
      </w:pPr>
    </w:p>
    <w:p w:rsidR="00503E82" w:rsidRDefault="00503E82" w:rsidP="00503E82">
      <w:pPr>
        <w:jc w:val="center"/>
        <w:rPr>
          <w:rFonts w:ascii="Arial" w:hAnsi="Arial" w:cs="Arial"/>
          <w:b/>
          <w:sz w:val="24"/>
          <w:szCs w:val="24"/>
        </w:rPr>
      </w:pPr>
    </w:p>
    <w:p w:rsidR="00503E82" w:rsidRDefault="00503E82" w:rsidP="00503E82">
      <w:pPr>
        <w:jc w:val="center"/>
        <w:rPr>
          <w:rFonts w:ascii="Arial" w:hAnsi="Arial" w:cs="Arial"/>
          <w:b/>
          <w:sz w:val="24"/>
          <w:szCs w:val="24"/>
        </w:rPr>
      </w:pPr>
    </w:p>
    <w:p w:rsidR="00503E82" w:rsidRDefault="00503E82" w:rsidP="00503E82">
      <w:pPr>
        <w:jc w:val="center"/>
        <w:rPr>
          <w:rFonts w:ascii="Arial" w:hAnsi="Arial" w:cs="Arial"/>
          <w:b/>
          <w:sz w:val="24"/>
          <w:szCs w:val="24"/>
        </w:rPr>
      </w:pPr>
      <w:r>
        <w:rPr>
          <w:rFonts w:ascii="Arial" w:hAnsi="Arial" w:cs="Arial"/>
          <w:b/>
          <w:sz w:val="24"/>
          <w:szCs w:val="24"/>
        </w:rPr>
        <w:t>2018</w:t>
      </w:r>
    </w:p>
    <w:p w:rsidR="00503E82" w:rsidRDefault="00503E82" w:rsidP="00E55CE0">
      <w:pPr>
        <w:rPr>
          <w:rFonts w:ascii="Arial" w:hAnsi="Arial" w:cs="Arial"/>
          <w:b/>
          <w:sz w:val="24"/>
          <w:szCs w:val="24"/>
        </w:rPr>
      </w:pPr>
    </w:p>
    <w:p w:rsidR="00E55CE0" w:rsidRDefault="00503E82" w:rsidP="00E55CE0">
      <w:pPr>
        <w:rPr>
          <w:rFonts w:ascii="Arial" w:hAnsi="Arial" w:cs="Arial"/>
          <w:b/>
          <w:sz w:val="24"/>
          <w:szCs w:val="24"/>
        </w:rPr>
      </w:pPr>
      <w:r>
        <w:rPr>
          <w:rFonts w:ascii="Arial" w:hAnsi="Arial" w:cs="Arial"/>
          <w:b/>
          <w:sz w:val="24"/>
          <w:szCs w:val="24"/>
        </w:rPr>
        <w:t>O</w:t>
      </w:r>
      <w:r w:rsidR="00E55CE0">
        <w:rPr>
          <w:rFonts w:ascii="Arial" w:hAnsi="Arial" w:cs="Arial"/>
          <w:b/>
          <w:sz w:val="24"/>
          <w:szCs w:val="24"/>
        </w:rPr>
        <w:t xml:space="preserve">BJETIVOS: </w:t>
      </w:r>
    </w:p>
    <w:p w:rsidR="00503E82" w:rsidRDefault="00503E82" w:rsidP="00E55CE0">
      <w:pPr>
        <w:rPr>
          <w:rFonts w:ascii="Arial" w:hAnsi="Arial" w:cs="Arial"/>
          <w:b/>
          <w:sz w:val="24"/>
          <w:szCs w:val="24"/>
        </w:rPr>
      </w:pPr>
    </w:p>
    <w:p w:rsidR="00E55CE0" w:rsidRDefault="00E55CE0" w:rsidP="00E55CE0">
      <w:pPr>
        <w:pStyle w:val="Encabezado"/>
        <w:numPr>
          <w:ilvl w:val="3"/>
          <w:numId w:val="1"/>
        </w:numPr>
        <w:tabs>
          <w:tab w:val="clear" w:pos="2268"/>
          <w:tab w:val="clear" w:pos="4419"/>
          <w:tab w:val="clear" w:pos="8838"/>
          <w:tab w:val="num" w:pos="851"/>
        </w:tabs>
        <w:ind w:left="851"/>
        <w:jc w:val="both"/>
        <w:rPr>
          <w:rFonts w:ascii="Arial" w:eastAsia="Calibri" w:hAnsi="Arial" w:cs="Times New Roman"/>
          <w:sz w:val="24"/>
          <w:szCs w:val="24"/>
          <w:lang w:val="es-MX"/>
        </w:rPr>
      </w:pPr>
      <w:r>
        <w:rPr>
          <w:rFonts w:ascii="Arial" w:eastAsia="Calibri" w:hAnsi="Arial" w:cs="Times New Roman"/>
          <w:b/>
          <w:sz w:val="24"/>
          <w:szCs w:val="24"/>
          <w:lang w:val="es-MX"/>
        </w:rPr>
        <w:t>Comprender</w:t>
      </w:r>
      <w:r w:rsidRPr="00335F47">
        <w:rPr>
          <w:rFonts w:ascii="Arial" w:eastAsia="Calibri" w:hAnsi="Arial" w:cs="Times New Roman"/>
          <w:b/>
          <w:sz w:val="24"/>
          <w:szCs w:val="24"/>
          <w:lang w:val="es-MX"/>
        </w:rPr>
        <w:t xml:space="preserve"> </w:t>
      </w:r>
      <w:r>
        <w:rPr>
          <w:rFonts w:ascii="Arial" w:eastAsia="Calibri" w:hAnsi="Arial" w:cs="Times New Roman"/>
          <w:sz w:val="24"/>
          <w:szCs w:val="24"/>
          <w:lang w:val="es-MX"/>
        </w:rPr>
        <w:t xml:space="preserve"> las dimensiones conceptuales, morales y el contexto histórico de los Derechos Humanos</w:t>
      </w:r>
      <w:r w:rsidRPr="00335F47">
        <w:rPr>
          <w:rFonts w:ascii="Arial" w:eastAsia="Calibri" w:hAnsi="Arial" w:cs="Times New Roman"/>
          <w:sz w:val="24"/>
          <w:szCs w:val="24"/>
          <w:lang w:val="es-MX"/>
        </w:rPr>
        <w:t>.</w:t>
      </w:r>
    </w:p>
    <w:p w:rsidR="00E55CE0" w:rsidRPr="00335F47" w:rsidRDefault="00E55CE0" w:rsidP="00E55CE0">
      <w:pPr>
        <w:pStyle w:val="Encabezado"/>
        <w:tabs>
          <w:tab w:val="num" w:pos="851"/>
        </w:tabs>
        <w:ind w:left="851" w:hanging="567"/>
        <w:jc w:val="both"/>
        <w:rPr>
          <w:rFonts w:ascii="Arial" w:eastAsia="Calibri" w:hAnsi="Arial" w:cs="Times New Roman"/>
          <w:sz w:val="24"/>
          <w:szCs w:val="24"/>
          <w:lang w:val="es-MX"/>
        </w:rPr>
      </w:pPr>
    </w:p>
    <w:p w:rsidR="00E55CE0" w:rsidRDefault="00E55CE0" w:rsidP="00E55CE0">
      <w:pPr>
        <w:pStyle w:val="Encabezado"/>
        <w:numPr>
          <w:ilvl w:val="3"/>
          <w:numId w:val="1"/>
        </w:numPr>
        <w:tabs>
          <w:tab w:val="clear" w:pos="2268"/>
          <w:tab w:val="clear" w:pos="4419"/>
          <w:tab w:val="clear" w:pos="8838"/>
          <w:tab w:val="num" w:pos="851"/>
        </w:tabs>
        <w:ind w:left="851"/>
        <w:jc w:val="both"/>
        <w:rPr>
          <w:rFonts w:ascii="Arial" w:eastAsia="Calibri" w:hAnsi="Arial" w:cs="Times New Roman"/>
          <w:sz w:val="24"/>
          <w:szCs w:val="24"/>
          <w:lang w:val="es-MX"/>
        </w:rPr>
      </w:pPr>
      <w:r>
        <w:rPr>
          <w:rFonts w:ascii="Arial" w:eastAsia="Calibri" w:hAnsi="Arial" w:cs="Times New Roman"/>
          <w:b/>
          <w:sz w:val="24"/>
          <w:szCs w:val="24"/>
          <w:lang w:val="es-MX"/>
        </w:rPr>
        <w:t>Comprende</w:t>
      </w:r>
      <w:r w:rsidRPr="00335F47">
        <w:rPr>
          <w:rFonts w:ascii="Arial" w:eastAsia="Calibri" w:hAnsi="Arial" w:cs="Times New Roman"/>
          <w:b/>
          <w:sz w:val="24"/>
          <w:szCs w:val="24"/>
          <w:lang w:val="es-MX"/>
        </w:rPr>
        <w:t xml:space="preserve">r </w:t>
      </w:r>
      <w:r>
        <w:rPr>
          <w:rFonts w:ascii="Arial" w:eastAsia="Calibri" w:hAnsi="Arial" w:cs="Times New Roman"/>
          <w:sz w:val="24"/>
          <w:szCs w:val="24"/>
          <w:lang w:val="es-MX"/>
        </w:rPr>
        <w:t>los principios y normas jurídicas que regulan el tratamiento de los Derechos Humanos, en el ámbito del derecho internacional como del derecho nacional.</w:t>
      </w:r>
    </w:p>
    <w:p w:rsidR="00E55CE0" w:rsidRDefault="00E55CE0" w:rsidP="00E55CE0">
      <w:pPr>
        <w:pStyle w:val="Encabezado"/>
        <w:tabs>
          <w:tab w:val="num" w:pos="851"/>
        </w:tabs>
        <w:ind w:left="851" w:hanging="567"/>
        <w:jc w:val="both"/>
        <w:rPr>
          <w:rFonts w:ascii="Arial" w:eastAsia="Calibri" w:hAnsi="Arial" w:cs="Times New Roman"/>
          <w:sz w:val="24"/>
          <w:szCs w:val="24"/>
          <w:lang w:val="es-MX"/>
        </w:rPr>
      </w:pPr>
    </w:p>
    <w:p w:rsidR="00E55CE0" w:rsidRPr="00335F47" w:rsidRDefault="00E55CE0" w:rsidP="00E55CE0">
      <w:pPr>
        <w:pStyle w:val="Encabezado"/>
        <w:numPr>
          <w:ilvl w:val="3"/>
          <w:numId w:val="1"/>
        </w:numPr>
        <w:tabs>
          <w:tab w:val="clear" w:pos="2268"/>
          <w:tab w:val="clear" w:pos="4419"/>
          <w:tab w:val="clear" w:pos="8838"/>
          <w:tab w:val="num" w:pos="851"/>
        </w:tabs>
        <w:ind w:left="851"/>
        <w:jc w:val="both"/>
        <w:rPr>
          <w:rFonts w:ascii="Arial" w:eastAsia="Calibri" w:hAnsi="Arial" w:cs="Times New Roman"/>
          <w:sz w:val="24"/>
          <w:szCs w:val="24"/>
          <w:lang w:val="es-MX"/>
        </w:rPr>
      </w:pPr>
      <w:r>
        <w:rPr>
          <w:rFonts w:ascii="Arial" w:eastAsia="Calibri" w:hAnsi="Arial" w:cs="Times New Roman"/>
          <w:b/>
          <w:sz w:val="24"/>
          <w:szCs w:val="24"/>
          <w:lang w:val="es-MX"/>
        </w:rPr>
        <w:t>Comprende</w:t>
      </w:r>
      <w:r w:rsidRPr="00335F47">
        <w:rPr>
          <w:rFonts w:ascii="Arial" w:eastAsia="Calibri" w:hAnsi="Arial" w:cs="Times New Roman"/>
          <w:b/>
          <w:sz w:val="24"/>
          <w:szCs w:val="24"/>
          <w:lang w:val="es-MX"/>
        </w:rPr>
        <w:t xml:space="preserve">r </w:t>
      </w:r>
      <w:r>
        <w:rPr>
          <w:rFonts w:ascii="Arial" w:eastAsia="Calibri" w:hAnsi="Arial" w:cs="Times New Roman"/>
          <w:sz w:val="24"/>
          <w:szCs w:val="24"/>
          <w:lang w:val="es-MX"/>
        </w:rPr>
        <w:t xml:space="preserve">los principios y normas que regulan las dimensiones específicas de los derechos humanos en el desempeño profesional, desde la </w:t>
      </w:r>
      <w:r w:rsidR="00503E82">
        <w:rPr>
          <w:rFonts w:ascii="Arial" w:eastAsia="Calibri" w:hAnsi="Arial" w:cs="Times New Roman"/>
          <w:sz w:val="24"/>
          <w:szCs w:val="24"/>
          <w:lang w:val="es-MX"/>
        </w:rPr>
        <w:t>perspectiva</w:t>
      </w:r>
      <w:r>
        <w:rPr>
          <w:rFonts w:ascii="Arial" w:eastAsia="Calibri" w:hAnsi="Arial" w:cs="Times New Roman"/>
          <w:sz w:val="24"/>
          <w:szCs w:val="24"/>
          <w:lang w:val="es-MX"/>
        </w:rPr>
        <w:t xml:space="preserve"> material y personal</w:t>
      </w:r>
      <w:r w:rsidRPr="00335F47">
        <w:rPr>
          <w:rFonts w:ascii="Arial" w:eastAsia="Calibri" w:hAnsi="Arial" w:cs="Times New Roman"/>
          <w:sz w:val="24"/>
          <w:szCs w:val="24"/>
          <w:lang w:val="es-MX"/>
        </w:rPr>
        <w:t>.</w:t>
      </w:r>
    </w:p>
    <w:p w:rsidR="00E55CE0" w:rsidRDefault="00E55CE0" w:rsidP="00E55CE0">
      <w:pPr>
        <w:rPr>
          <w:rFonts w:ascii="Arial" w:hAnsi="Arial" w:cs="Arial"/>
          <w:b/>
          <w:sz w:val="24"/>
          <w:szCs w:val="24"/>
          <w:lang w:val="es-MX"/>
        </w:rPr>
      </w:pPr>
    </w:p>
    <w:p w:rsidR="00503E82" w:rsidRDefault="00503E82" w:rsidP="00E55CE0">
      <w:pPr>
        <w:rPr>
          <w:rFonts w:ascii="Arial" w:hAnsi="Arial" w:cs="Arial"/>
          <w:b/>
          <w:sz w:val="24"/>
          <w:szCs w:val="24"/>
          <w:lang w:val="es-MX"/>
        </w:rPr>
      </w:pPr>
    </w:p>
    <w:p w:rsidR="00E55CE0" w:rsidRDefault="00E55CE0" w:rsidP="00E55CE0">
      <w:pPr>
        <w:rPr>
          <w:rFonts w:ascii="Arial" w:hAnsi="Arial" w:cs="Arial"/>
          <w:b/>
          <w:sz w:val="24"/>
          <w:szCs w:val="24"/>
        </w:rPr>
      </w:pPr>
      <w:r w:rsidRPr="00E55CE0">
        <w:rPr>
          <w:rFonts w:ascii="Arial" w:hAnsi="Arial" w:cs="Arial"/>
          <w:b/>
          <w:sz w:val="24"/>
          <w:szCs w:val="24"/>
        </w:rPr>
        <w:t>CO</w:t>
      </w:r>
      <w:r>
        <w:rPr>
          <w:rFonts w:ascii="Arial" w:hAnsi="Arial" w:cs="Arial"/>
          <w:b/>
          <w:sz w:val="24"/>
          <w:szCs w:val="24"/>
        </w:rPr>
        <w:t>N</w:t>
      </w:r>
      <w:r w:rsidRPr="00E55CE0">
        <w:rPr>
          <w:rFonts w:ascii="Arial" w:hAnsi="Arial" w:cs="Arial"/>
          <w:b/>
          <w:sz w:val="24"/>
          <w:szCs w:val="24"/>
        </w:rPr>
        <w:t>TENIDOS:</w:t>
      </w:r>
    </w:p>
    <w:p w:rsidR="00503E82" w:rsidRDefault="00503E82" w:rsidP="00E55CE0">
      <w:pPr>
        <w:rPr>
          <w:rFonts w:ascii="Arial" w:hAnsi="Arial" w:cs="Arial"/>
          <w:b/>
          <w:sz w:val="24"/>
          <w:szCs w:val="24"/>
        </w:rPr>
      </w:pPr>
    </w:p>
    <w:p w:rsidR="00E55CE0" w:rsidRPr="00335F47" w:rsidRDefault="00E55CE0" w:rsidP="00E55CE0">
      <w:pPr>
        <w:pStyle w:val="Encabezado"/>
        <w:numPr>
          <w:ilvl w:val="2"/>
          <w:numId w:val="5"/>
        </w:numPr>
        <w:tabs>
          <w:tab w:val="clear" w:pos="1701"/>
          <w:tab w:val="clear" w:pos="4419"/>
          <w:tab w:val="clear" w:pos="8838"/>
          <w:tab w:val="num" w:pos="851"/>
        </w:tabs>
        <w:ind w:hanging="1417"/>
        <w:jc w:val="both"/>
        <w:rPr>
          <w:rFonts w:ascii="Arial" w:eastAsia="Calibri" w:hAnsi="Arial" w:cs="Times New Roman"/>
          <w:b/>
          <w:spacing w:val="-3"/>
          <w:sz w:val="24"/>
          <w:szCs w:val="24"/>
          <w:lang w:val="es-ES_tradnl"/>
        </w:rPr>
      </w:pPr>
      <w:r>
        <w:rPr>
          <w:rFonts w:ascii="Arial" w:eastAsia="Calibri" w:hAnsi="Arial" w:cs="Times New Roman"/>
          <w:b/>
          <w:spacing w:val="-3"/>
          <w:sz w:val="24"/>
          <w:szCs w:val="24"/>
          <w:lang w:val="es-ES_tradnl"/>
        </w:rPr>
        <w:t>Teoría de los Derechos Humanos.</w:t>
      </w:r>
    </w:p>
    <w:p w:rsidR="00E55CE0" w:rsidRPr="004042DC" w:rsidRDefault="00E55CE0" w:rsidP="00E55CE0">
      <w:pPr>
        <w:pStyle w:val="Encabezado"/>
        <w:ind w:left="1134"/>
        <w:jc w:val="both"/>
        <w:rPr>
          <w:rFonts w:ascii="Arial" w:eastAsia="Calibri" w:hAnsi="Arial" w:cs="Times New Roman"/>
          <w:b/>
          <w:spacing w:val="-3"/>
          <w:sz w:val="12"/>
          <w:szCs w:val="12"/>
          <w:lang w:val="es-ES_tradnl"/>
        </w:rPr>
      </w:pPr>
    </w:p>
    <w:p w:rsidR="00E55CE0" w:rsidRDefault="00E55CE0" w:rsidP="00E55CE0">
      <w:pPr>
        <w:pStyle w:val="Encabezado"/>
        <w:numPr>
          <w:ilvl w:val="3"/>
          <w:numId w:val="2"/>
        </w:numPr>
        <w:tabs>
          <w:tab w:val="clear" w:pos="4419"/>
          <w:tab w:val="clear" w:pos="8838"/>
        </w:tabs>
        <w:ind w:left="1418"/>
        <w:jc w:val="both"/>
        <w:rPr>
          <w:rFonts w:ascii="Arial" w:eastAsia="Calibri" w:hAnsi="Arial" w:cs="Times New Roman"/>
          <w:sz w:val="24"/>
          <w:szCs w:val="24"/>
          <w:lang w:val="es-ES_tradnl"/>
        </w:rPr>
      </w:pPr>
      <w:r>
        <w:rPr>
          <w:rFonts w:ascii="Arial" w:eastAsia="Calibri" w:hAnsi="Arial" w:cs="Times New Roman"/>
          <w:sz w:val="24"/>
          <w:szCs w:val="24"/>
          <w:lang w:val="es-ES_tradnl"/>
        </w:rPr>
        <w:t>Estado de Derecho y Derechos Humanos</w:t>
      </w:r>
      <w:r w:rsidRPr="00335F47">
        <w:rPr>
          <w:rFonts w:ascii="Arial" w:eastAsia="Calibri" w:hAnsi="Arial" w:cs="Times New Roman"/>
          <w:sz w:val="24"/>
          <w:szCs w:val="24"/>
          <w:lang w:val="es-ES_tradnl"/>
        </w:rPr>
        <w:t>.</w:t>
      </w:r>
    </w:p>
    <w:p w:rsidR="00E55CE0" w:rsidRDefault="00E55CE0" w:rsidP="00E55CE0">
      <w:pPr>
        <w:pStyle w:val="Encabezado"/>
        <w:numPr>
          <w:ilvl w:val="3"/>
          <w:numId w:val="2"/>
        </w:numPr>
        <w:tabs>
          <w:tab w:val="clear" w:pos="4419"/>
          <w:tab w:val="clear" w:pos="8838"/>
        </w:tabs>
        <w:ind w:left="1418"/>
        <w:jc w:val="both"/>
        <w:rPr>
          <w:rFonts w:ascii="Arial" w:eastAsia="Calibri" w:hAnsi="Arial" w:cs="Times New Roman"/>
          <w:sz w:val="24"/>
          <w:szCs w:val="24"/>
          <w:lang w:val="es-ES_tradnl"/>
        </w:rPr>
      </w:pPr>
      <w:r>
        <w:rPr>
          <w:rFonts w:ascii="Arial" w:eastAsia="Calibri" w:hAnsi="Arial" w:cs="Times New Roman"/>
          <w:sz w:val="24"/>
          <w:szCs w:val="24"/>
          <w:lang w:val="es-ES_tradnl"/>
        </w:rPr>
        <w:t>Definición de Derechos Humanos.</w:t>
      </w:r>
    </w:p>
    <w:p w:rsidR="00E55CE0" w:rsidRDefault="00E55CE0" w:rsidP="00E55CE0">
      <w:pPr>
        <w:pStyle w:val="Encabezado"/>
        <w:numPr>
          <w:ilvl w:val="3"/>
          <w:numId w:val="2"/>
        </w:numPr>
        <w:tabs>
          <w:tab w:val="clear" w:pos="4419"/>
          <w:tab w:val="clear" w:pos="8838"/>
        </w:tabs>
        <w:ind w:left="1418"/>
        <w:jc w:val="both"/>
        <w:rPr>
          <w:rFonts w:ascii="Arial" w:eastAsia="Calibri" w:hAnsi="Arial" w:cs="Times New Roman"/>
          <w:sz w:val="24"/>
          <w:szCs w:val="24"/>
          <w:lang w:val="es-ES_tradnl"/>
        </w:rPr>
      </w:pPr>
      <w:r>
        <w:rPr>
          <w:rFonts w:ascii="Arial" w:eastAsia="Calibri" w:hAnsi="Arial" w:cs="Times New Roman"/>
          <w:sz w:val="24"/>
          <w:szCs w:val="24"/>
          <w:lang w:val="es-ES_tradnl"/>
        </w:rPr>
        <w:t>Evolución histórica de los Derechos Humanos.</w:t>
      </w:r>
      <w:r w:rsidRPr="00335F47">
        <w:rPr>
          <w:rFonts w:ascii="Arial" w:eastAsia="Calibri" w:hAnsi="Arial" w:cs="Times New Roman"/>
          <w:sz w:val="24"/>
          <w:szCs w:val="24"/>
          <w:lang w:val="es-ES_tradnl"/>
        </w:rPr>
        <w:t xml:space="preserve"> </w:t>
      </w:r>
    </w:p>
    <w:p w:rsidR="00E55CE0" w:rsidRPr="00335F47" w:rsidRDefault="00E55CE0" w:rsidP="00E55CE0">
      <w:pPr>
        <w:pStyle w:val="Encabezado"/>
        <w:ind w:left="1701"/>
        <w:jc w:val="both"/>
        <w:rPr>
          <w:rFonts w:ascii="Arial" w:eastAsia="Calibri" w:hAnsi="Arial" w:cs="Times New Roman"/>
          <w:sz w:val="24"/>
          <w:szCs w:val="24"/>
          <w:lang w:val="es-ES_tradnl"/>
        </w:rPr>
      </w:pPr>
    </w:p>
    <w:p w:rsidR="00E55CE0" w:rsidRPr="00335F47" w:rsidRDefault="00E55CE0" w:rsidP="00E55CE0">
      <w:pPr>
        <w:pStyle w:val="Encabezado"/>
        <w:numPr>
          <w:ilvl w:val="2"/>
          <w:numId w:val="5"/>
        </w:numPr>
        <w:tabs>
          <w:tab w:val="clear" w:pos="1701"/>
          <w:tab w:val="clear" w:pos="4419"/>
          <w:tab w:val="clear" w:pos="8838"/>
          <w:tab w:val="num" w:pos="851"/>
        </w:tabs>
        <w:ind w:hanging="1417"/>
        <w:jc w:val="both"/>
        <w:rPr>
          <w:rFonts w:ascii="Arial" w:eastAsia="Calibri" w:hAnsi="Arial" w:cs="Times New Roman"/>
          <w:b/>
          <w:sz w:val="24"/>
          <w:szCs w:val="24"/>
        </w:rPr>
      </w:pPr>
      <w:r>
        <w:rPr>
          <w:rFonts w:ascii="Arial" w:eastAsia="Calibri" w:hAnsi="Arial" w:cs="Times New Roman"/>
          <w:b/>
          <w:spacing w:val="-3"/>
          <w:sz w:val="24"/>
          <w:szCs w:val="24"/>
          <w:lang w:val="es-ES_tradnl"/>
        </w:rPr>
        <w:t>Bases Jurídicas en los Derechos Humanos</w:t>
      </w:r>
      <w:r>
        <w:rPr>
          <w:rFonts w:ascii="Arial" w:eastAsia="Calibri" w:hAnsi="Arial" w:cs="Times New Roman"/>
          <w:b/>
          <w:sz w:val="24"/>
          <w:szCs w:val="24"/>
        </w:rPr>
        <w:t>.</w:t>
      </w:r>
    </w:p>
    <w:p w:rsidR="00E55CE0" w:rsidRPr="004042DC" w:rsidRDefault="00E55CE0" w:rsidP="00E55CE0">
      <w:pPr>
        <w:pStyle w:val="Encabezado"/>
        <w:ind w:left="1134"/>
        <w:jc w:val="both"/>
        <w:rPr>
          <w:rFonts w:ascii="Arial" w:eastAsia="Calibri" w:hAnsi="Arial" w:cs="Times New Roman"/>
          <w:b/>
          <w:sz w:val="12"/>
          <w:szCs w:val="12"/>
        </w:rPr>
      </w:pPr>
    </w:p>
    <w:p w:rsidR="00E55CE0" w:rsidRDefault="00E55CE0" w:rsidP="00E55CE0">
      <w:pPr>
        <w:pStyle w:val="Encabezado"/>
        <w:numPr>
          <w:ilvl w:val="3"/>
          <w:numId w:val="3"/>
        </w:numPr>
        <w:tabs>
          <w:tab w:val="clear" w:pos="2268"/>
          <w:tab w:val="clear" w:pos="4419"/>
          <w:tab w:val="clear" w:pos="8838"/>
          <w:tab w:val="num" w:pos="1418"/>
        </w:tabs>
        <w:ind w:left="1418"/>
        <w:jc w:val="both"/>
        <w:rPr>
          <w:rFonts w:ascii="Arial" w:eastAsia="Calibri" w:hAnsi="Arial" w:cs="Times New Roman"/>
          <w:sz w:val="24"/>
          <w:szCs w:val="24"/>
        </w:rPr>
      </w:pPr>
      <w:r>
        <w:rPr>
          <w:rFonts w:ascii="Arial" w:eastAsia="Calibri" w:hAnsi="Arial" w:cs="Times New Roman"/>
          <w:sz w:val="24"/>
          <w:szCs w:val="24"/>
        </w:rPr>
        <w:t>Declaraciones, Principios y Tratados Internacionales en materia de DD.HH.</w:t>
      </w:r>
    </w:p>
    <w:p w:rsidR="00E55CE0" w:rsidRPr="00335F47" w:rsidRDefault="00E55CE0" w:rsidP="00E55CE0">
      <w:pPr>
        <w:pStyle w:val="Encabezado"/>
        <w:numPr>
          <w:ilvl w:val="3"/>
          <w:numId w:val="3"/>
        </w:numPr>
        <w:tabs>
          <w:tab w:val="clear" w:pos="2268"/>
          <w:tab w:val="clear" w:pos="4419"/>
          <w:tab w:val="clear" w:pos="8838"/>
          <w:tab w:val="num" w:pos="1418"/>
        </w:tabs>
        <w:ind w:left="1418"/>
        <w:jc w:val="both"/>
        <w:rPr>
          <w:rFonts w:ascii="Arial" w:eastAsia="Calibri" w:hAnsi="Arial" w:cs="Times New Roman"/>
          <w:sz w:val="24"/>
          <w:szCs w:val="24"/>
        </w:rPr>
      </w:pPr>
      <w:r>
        <w:rPr>
          <w:rFonts w:ascii="Arial" w:eastAsia="Calibri" w:hAnsi="Arial" w:cs="Times New Roman"/>
          <w:sz w:val="24"/>
          <w:szCs w:val="24"/>
        </w:rPr>
        <w:t>Principios y normas constitucionales y generales en materia de DD.HH</w:t>
      </w:r>
      <w:r w:rsidRPr="00335F47">
        <w:rPr>
          <w:rFonts w:ascii="Arial" w:eastAsia="Calibri" w:hAnsi="Arial" w:cs="Times New Roman"/>
          <w:sz w:val="24"/>
          <w:szCs w:val="24"/>
        </w:rPr>
        <w:t>.</w:t>
      </w:r>
    </w:p>
    <w:p w:rsidR="00E55CE0" w:rsidRPr="00335F47" w:rsidRDefault="00E55CE0" w:rsidP="00E55CE0">
      <w:pPr>
        <w:pStyle w:val="Encabezado"/>
        <w:ind w:left="1701"/>
        <w:jc w:val="both"/>
        <w:rPr>
          <w:rFonts w:ascii="Arial" w:eastAsia="Calibri" w:hAnsi="Arial" w:cs="Times New Roman"/>
          <w:sz w:val="24"/>
          <w:szCs w:val="24"/>
        </w:rPr>
      </w:pPr>
    </w:p>
    <w:p w:rsidR="00E55CE0" w:rsidRPr="00335F47" w:rsidRDefault="00503E82" w:rsidP="00E55CE0">
      <w:pPr>
        <w:pStyle w:val="Encabezado"/>
        <w:numPr>
          <w:ilvl w:val="2"/>
          <w:numId w:val="5"/>
        </w:numPr>
        <w:tabs>
          <w:tab w:val="clear" w:pos="1701"/>
          <w:tab w:val="clear" w:pos="4419"/>
          <w:tab w:val="clear" w:pos="8838"/>
          <w:tab w:val="num" w:pos="851"/>
        </w:tabs>
        <w:ind w:left="851"/>
        <w:jc w:val="both"/>
        <w:rPr>
          <w:rFonts w:ascii="Arial" w:eastAsia="Calibri" w:hAnsi="Arial" w:cs="Times New Roman"/>
          <w:b/>
          <w:sz w:val="24"/>
          <w:szCs w:val="24"/>
        </w:rPr>
      </w:pPr>
      <w:r w:rsidRPr="00E55CE0">
        <w:rPr>
          <w:rFonts w:ascii="Arial" w:eastAsia="Calibri" w:hAnsi="Arial" w:cs="Times New Roman"/>
          <w:b/>
          <w:spacing w:val="-3"/>
          <w:sz w:val="24"/>
          <w:szCs w:val="24"/>
          <w:lang w:val="es-ES_tradnl"/>
        </w:rPr>
        <w:t>Regímenes</w:t>
      </w:r>
      <w:r w:rsidR="00E55CE0">
        <w:rPr>
          <w:rFonts w:ascii="Arial" w:eastAsia="Calibri" w:hAnsi="Arial" w:cs="Times New Roman"/>
          <w:b/>
          <w:sz w:val="24"/>
          <w:szCs w:val="24"/>
        </w:rPr>
        <w:t xml:space="preserve"> jurídicos en Derechos Humanos: Régimen jurídico de inclusión y no discrim</w:t>
      </w:r>
      <w:r>
        <w:rPr>
          <w:rFonts w:ascii="Arial" w:eastAsia="Calibri" w:hAnsi="Arial" w:cs="Times New Roman"/>
          <w:b/>
          <w:sz w:val="24"/>
          <w:szCs w:val="24"/>
        </w:rPr>
        <w:t>in</w:t>
      </w:r>
      <w:r w:rsidR="00E55CE0">
        <w:rPr>
          <w:rFonts w:ascii="Arial" w:eastAsia="Calibri" w:hAnsi="Arial" w:cs="Times New Roman"/>
          <w:b/>
          <w:sz w:val="24"/>
          <w:szCs w:val="24"/>
        </w:rPr>
        <w:t>ación en:</w:t>
      </w:r>
    </w:p>
    <w:p w:rsidR="00E55CE0" w:rsidRPr="004042DC" w:rsidRDefault="00E55CE0" w:rsidP="00E55CE0">
      <w:pPr>
        <w:pStyle w:val="Encabezado"/>
        <w:ind w:left="1134"/>
        <w:jc w:val="both"/>
        <w:rPr>
          <w:rFonts w:ascii="Arial" w:eastAsia="Calibri" w:hAnsi="Arial" w:cs="Times New Roman"/>
          <w:b/>
          <w:sz w:val="12"/>
          <w:szCs w:val="12"/>
        </w:rPr>
      </w:pPr>
    </w:p>
    <w:p w:rsidR="00E55CE0" w:rsidRDefault="00E55CE0" w:rsidP="00E55CE0">
      <w:pPr>
        <w:pStyle w:val="Encabezado"/>
        <w:numPr>
          <w:ilvl w:val="3"/>
          <w:numId w:val="4"/>
        </w:numPr>
        <w:tabs>
          <w:tab w:val="clear" w:pos="2268"/>
          <w:tab w:val="clear" w:pos="4419"/>
          <w:tab w:val="clear" w:pos="8838"/>
          <w:tab w:val="num" w:pos="1418"/>
        </w:tabs>
        <w:ind w:hanging="1417"/>
        <w:jc w:val="both"/>
        <w:rPr>
          <w:rFonts w:ascii="Arial" w:eastAsia="Calibri" w:hAnsi="Arial" w:cs="Times New Roman"/>
          <w:spacing w:val="-3"/>
          <w:sz w:val="24"/>
          <w:szCs w:val="24"/>
          <w:lang w:val="es-ES_tradnl"/>
        </w:rPr>
      </w:pPr>
      <w:r>
        <w:rPr>
          <w:rFonts w:ascii="Arial" w:eastAsia="Calibri" w:hAnsi="Arial" w:cs="Times New Roman"/>
          <w:spacing w:val="-3"/>
          <w:sz w:val="24"/>
          <w:szCs w:val="24"/>
          <w:lang w:val="es-ES_tradnl"/>
        </w:rPr>
        <w:t>Mujeres</w:t>
      </w:r>
      <w:r w:rsidRPr="00335F47">
        <w:rPr>
          <w:rFonts w:ascii="Arial" w:eastAsia="Calibri" w:hAnsi="Arial" w:cs="Times New Roman"/>
          <w:spacing w:val="-3"/>
          <w:sz w:val="24"/>
          <w:szCs w:val="24"/>
          <w:lang w:val="es-ES_tradnl"/>
        </w:rPr>
        <w:t>.</w:t>
      </w:r>
    </w:p>
    <w:p w:rsidR="00E55CE0" w:rsidRDefault="00E55CE0" w:rsidP="00E55CE0">
      <w:pPr>
        <w:pStyle w:val="Encabezado"/>
        <w:numPr>
          <w:ilvl w:val="3"/>
          <w:numId w:val="4"/>
        </w:numPr>
        <w:tabs>
          <w:tab w:val="clear" w:pos="2268"/>
          <w:tab w:val="clear" w:pos="4419"/>
          <w:tab w:val="clear" w:pos="8838"/>
          <w:tab w:val="num" w:pos="1418"/>
        </w:tabs>
        <w:ind w:hanging="1417"/>
        <w:jc w:val="both"/>
        <w:rPr>
          <w:rFonts w:ascii="Arial" w:eastAsia="Calibri" w:hAnsi="Arial" w:cs="Times New Roman"/>
          <w:spacing w:val="-3"/>
          <w:sz w:val="24"/>
          <w:szCs w:val="24"/>
          <w:lang w:val="es-ES_tradnl"/>
        </w:rPr>
      </w:pPr>
      <w:r>
        <w:rPr>
          <w:rFonts w:ascii="Arial" w:eastAsia="Calibri" w:hAnsi="Arial" w:cs="Times New Roman"/>
          <w:spacing w:val="-3"/>
          <w:sz w:val="24"/>
          <w:szCs w:val="24"/>
          <w:lang w:val="es-ES_tradnl"/>
        </w:rPr>
        <w:t>Niños.</w:t>
      </w:r>
    </w:p>
    <w:p w:rsidR="00E55CE0" w:rsidRDefault="00E55CE0" w:rsidP="00E55CE0">
      <w:pPr>
        <w:pStyle w:val="Encabezado"/>
        <w:numPr>
          <w:ilvl w:val="3"/>
          <w:numId w:val="4"/>
        </w:numPr>
        <w:tabs>
          <w:tab w:val="clear" w:pos="2268"/>
          <w:tab w:val="clear" w:pos="4419"/>
          <w:tab w:val="clear" w:pos="8838"/>
          <w:tab w:val="num" w:pos="1418"/>
        </w:tabs>
        <w:ind w:hanging="1417"/>
        <w:jc w:val="both"/>
        <w:rPr>
          <w:rFonts w:ascii="Arial" w:eastAsia="Calibri" w:hAnsi="Arial" w:cs="Times New Roman"/>
          <w:spacing w:val="-3"/>
          <w:sz w:val="24"/>
          <w:szCs w:val="24"/>
          <w:lang w:val="es-ES_tradnl"/>
        </w:rPr>
      </w:pPr>
      <w:r>
        <w:rPr>
          <w:rFonts w:ascii="Arial" w:eastAsia="Calibri" w:hAnsi="Arial" w:cs="Times New Roman"/>
          <w:spacing w:val="-3"/>
          <w:sz w:val="24"/>
          <w:szCs w:val="24"/>
          <w:lang w:val="es-ES_tradnl"/>
        </w:rPr>
        <w:t>Pueblos Indígenas.</w:t>
      </w:r>
    </w:p>
    <w:p w:rsidR="00E55CE0" w:rsidRDefault="00E55CE0" w:rsidP="00E55CE0">
      <w:pPr>
        <w:pStyle w:val="Encabezado"/>
        <w:numPr>
          <w:ilvl w:val="3"/>
          <w:numId w:val="4"/>
        </w:numPr>
        <w:tabs>
          <w:tab w:val="clear" w:pos="2268"/>
          <w:tab w:val="clear" w:pos="4419"/>
          <w:tab w:val="clear" w:pos="8838"/>
          <w:tab w:val="num" w:pos="1418"/>
        </w:tabs>
        <w:ind w:hanging="1417"/>
        <w:jc w:val="both"/>
        <w:rPr>
          <w:rFonts w:ascii="Arial" w:eastAsia="Calibri" w:hAnsi="Arial" w:cs="Times New Roman"/>
          <w:spacing w:val="-3"/>
          <w:sz w:val="24"/>
          <w:szCs w:val="24"/>
          <w:lang w:val="es-ES_tradnl"/>
        </w:rPr>
      </w:pPr>
      <w:r>
        <w:rPr>
          <w:rFonts w:ascii="Arial" w:eastAsia="Calibri" w:hAnsi="Arial" w:cs="Times New Roman"/>
          <w:spacing w:val="-3"/>
          <w:sz w:val="24"/>
          <w:szCs w:val="24"/>
          <w:lang w:val="es-ES_tradnl"/>
        </w:rPr>
        <w:t>Personas con discapacidad.</w:t>
      </w:r>
    </w:p>
    <w:p w:rsidR="00E55CE0" w:rsidRDefault="00E55CE0" w:rsidP="00E55CE0">
      <w:pPr>
        <w:pStyle w:val="Encabezado"/>
        <w:numPr>
          <w:ilvl w:val="3"/>
          <w:numId w:val="4"/>
        </w:numPr>
        <w:tabs>
          <w:tab w:val="clear" w:pos="2268"/>
          <w:tab w:val="clear" w:pos="4419"/>
          <w:tab w:val="clear" w:pos="8838"/>
          <w:tab w:val="num" w:pos="1418"/>
        </w:tabs>
        <w:ind w:hanging="1417"/>
        <w:jc w:val="both"/>
        <w:rPr>
          <w:rFonts w:ascii="Arial" w:eastAsia="Calibri" w:hAnsi="Arial" w:cs="Times New Roman"/>
          <w:spacing w:val="-3"/>
          <w:sz w:val="24"/>
          <w:szCs w:val="24"/>
          <w:lang w:val="es-ES_tradnl"/>
        </w:rPr>
      </w:pPr>
      <w:r>
        <w:rPr>
          <w:rFonts w:ascii="Arial" w:eastAsia="Calibri" w:hAnsi="Arial" w:cs="Times New Roman"/>
          <w:spacing w:val="-3"/>
          <w:sz w:val="24"/>
          <w:szCs w:val="24"/>
          <w:lang w:val="es-ES_tradnl"/>
        </w:rPr>
        <w:t>Diversidades sexuales.</w:t>
      </w:r>
    </w:p>
    <w:p w:rsidR="00E55CE0" w:rsidRPr="00335F47" w:rsidRDefault="00E55CE0" w:rsidP="00E55CE0">
      <w:pPr>
        <w:pStyle w:val="Encabezado"/>
        <w:numPr>
          <w:ilvl w:val="3"/>
          <w:numId w:val="4"/>
        </w:numPr>
        <w:tabs>
          <w:tab w:val="clear" w:pos="2268"/>
          <w:tab w:val="clear" w:pos="4419"/>
          <w:tab w:val="clear" w:pos="8838"/>
          <w:tab w:val="num" w:pos="1418"/>
        </w:tabs>
        <w:ind w:hanging="1417"/>
        <w:jc w:val="both"/>
        <w:rPr>
          <w:rFonts w:ascii="Arial" w:eastAsia="Calibri" w:hAnsi="Arial" w:cs="Times New Roman"/>
          <w:spacing w:val="-3"/>
          <w:sz w:val="24"/>
          <w:szCs w:val="24"/>
          <w:lang w:val="es-ES_tradnl"/>
        </w:rPr>
      </w:pPr>
      <w:r>
        <w:rPr>
          <w:rFonts w:ascii="Arial" w:eastAsia="Calibri" w:hAnsi="Arial" w:cs="Times New Roman"/>
          <w:spacing w:val="-3"/>
          <w:sz w:val="24"/>
          <w:szCs w:val="24"/>
          <w:lang w:val="es-ES_tradnl"/>
        </w:rPr>
        <w:t>Migrantes y refugiados.</w:t>
      </w:r>
    </w:p>
    <w:p w:rsidR="00E55CE0" w:rsidRDefault="00E55CE0" w:rsidP="00E55CE0">
      <w:pPr>
        <w:rPr>
          <w:rFonts w:ascii="Arial" w:hAnsi="Arial" w:cs="Arial"/>
          <w:b/>
          <w:sz w:val="24"/>
          <w:szCs w:val="24"/>
        </w:rPr>
      </w:pPr>
    </w:p>
    <w:p w:rsidR="00E55CE0" w:rsidRPr="000E33B6" w:rsidRDefault="00E55CE0" w:rsidP="00E55CE0">
      <w:pPr>
        <w:pStyle w:val="Encabezado"/>
        <w:numPr>
          <w:ilvl w:val="2"/>
          <w:numId w:val="6"/>
        </w:numPr>
        <w:tabs>
          <w:tab w:val="clear" w:pos="1701"/>
          <w:tab w:val="clear" w:pos="4419"/>
          <w:tab w:val="clear" w:pos="8838"/>
          <w:tab w:val="num" w:pos="851"/>
        </w:tabs>
        <w:ind w:hanging="1417"/>
        <w:jc w:val="both"/>
        <w:rPr>
          <w:rFonts w:ascii="Arial" w:hAnsi="Arial"/>
          <w:b/>
          <w:caps/>
          <w:spacing w:val="-3"/>
          <w:sz w:val="24"/>
          <w:szCs w:val="24"/>
          <w:lang w:val="es-ES_tradnl"/>
        </w:rPr>
      </w:pPr>
      <w:r w:rsidRPr="00E55CE0">
        <w:rPr>
          <w:rFonts w:ascii="Arial" w:eastAsia="Calibri" w:hAnsi="Arial" w:cs="Times New Roman"/>
          <w:b/>
          <w:caps/>
          <w:spacing w:val="-3"/>
          <w:sz w:val="24"/>
          <w:szCs w:val="24"/>
          <w:lang w:val="es-ES_tradnl"/>
        </w:rPr>
        <w:lastRenderedPageBreak/>
        <w:t>Teoría de los Derechos Humanos.</w:t>
      </w:r>
    </w:p>
    <w:p w:rsidR="000E33B6" w:rsidRPr="00E55CE0" w:rsidRDefault="000E33B6" w:rsidP="000E33B6">
      <w:pPr>
        <w:pStyle w:val="Encabezado"/>
        <w:tabs>
          <w:tab w:val="clear" w:pos="4419"/>
          <w:tab w:val="clear" w:pos="8838"/>
        </w:tabs>
        <w:ind w:left="1701"/>
        <w:jc w:val="both"/>
        <w:rPr>
          <w:rFonts w:ascii="Arial" w:hAnsi="Arial"/>
          <w:b/>
          <w:caps/>
          <w:spacing w:val="-3"/>
          <w:sz w:val="24"/>
          <w:szCs w:val="24"/>
          <w:lang w:val="es-ES_tradnl"/>
        </w:rPr>
      </w:pPr>
    </w:p>
    <w:p w:rsidR="00E55CE0" w:rsidRPr="00335F47" w:rsidRDefault="00E55CE0" w:rsidP="00E55CE0">
      <w:pPr>
        <w:pStyle w:val="Encabezado"/>
        <w:tabs>
          <w:tab w:val="clear" w:pos="4419"/>
          <w:tab w:val="clear" w:pos="8838"/>
        </w:tabs>
        <w:ind w:left="1701"/>
        <w:jc w:val="both"/>
        <w:rPr>
          <w:rFonts w:ascii="Arial" w:eastAsia="Calibri" w:hAnsi="Arial" w:cs="Times New Roman"/>
          <w:b/>
          <w:spacing w:val="-3"/>
          <w:sz w:val="24"/>
          <w:szCs w:val="24"/>
          <w:lang w:val="es-ES_tradnl"/>
        </w:rPr>
      </w:pPr>
    </w:p>
    <w:p w:rsidR="00E55CE0" w:rsidRPr="004042DC" w:rsidRDefault="00E55CE0" w:rsidP="00E55CE0">
      <w:pPr>
        <w:pStyle w:val="Encabezado"/>
        <w:ind w:left="1134"/>
        <w:jc w:val="both"/>
        <w:rPr>
          <w:rFonts w:ascii="Arial" w:eastAsia="Calibri" w:hAnsi="Arial" w:cs="Times New Roman"/>
          <w:b/>
          <w:spacing w:val="-3"/>
          <w:sz w:val="12"/>
          <w:szCs w:val="12"/>
          <w:lang w:val="es-ES_tradnl"/>
        </w:rPr>
      </w:pPr>
    </w:p>
    <w:p w:rsidR="00E55CE0" w:rsidRPr="002F43F9" w:rsidRDefault="00E55CE0" w:rsidP="002F43F9">
      <w:pPr>
        <w:pStyle w:val="Encabezado"/>
        <w:numPr>
          <w:ilvl w:val="3"/>
          <w:numId w:val="7"/>
        </w:numPr>
        <w:tabs>
          <w:tab w:val="clear" w:pos="4419"/>
          <w:tab w:val="clear" w:pos="8838"/>
        </w:tabs>
        <w:ind w:left="1134"/>
        <w:jc w:val="both"/>
        <w:rPr>
          <w:rFonts w:ascii="Arial" w:hAnsi="Arial"/>
          <w:b/>
          <w:caps/>
          <w:sz w:val="24"/>
          <w:szCs w:val="24"/>
          <w:lang w:val="es-ES_tradnl"/>
        </w:rPr>
      </w:pPr>
      <w:r w:rsidRPr="002F43F9">
        <w:rPr>
          <w:rFonts w:ascii="Arial" w:eastAsia="Calibri" w:hAnsi="Arial" w:cs="Times New Roman"/>
          <w:b/>
          <w:caps/>
          <w:sz w:val="24"/>
          <w:szCs w:val="24"/>
          <w:lang w:val="es-ES_tradnl"/>
        </w:rPr>
        <w:t>Estado de Derecho y Derechos Humanos.</w:t>
      </w:r>
    </w:p>
    <w:p w:rsidR="00B45D41" w:rsidRDefault="00B45D41" w:rsidP="00C750E0">
      <w:pPr>
        <w:pStyle w:val="Encabezado"/>
        <w:tabs>
          <w:tab w:val="clear" w:pos="4419"/>
          <w:tab w:val="clear" w:pos="8838"/>
        </w:tabs>
        <w:jc w:val="both"/>
        <w:rPr>
          <w:rFonts w:ascii="Arial" w:hAnsi="Arial"/>
          <w:sz w:val="24"/>
          <w:szCs w:val="24"/>
          <w:lang w:val="es-ES_tradnl"/>
        </w:rPr>
      </w:pPr>
    </w:p>
    <w:p w:rsidR="00C750E0" w:rsidRDefault="00C750E0" w:rsidP="00C750E0">
      <w:pPr>
        <w:pStyle w:val="Encabezado"/>
        <w:tabs>
          <w:tab w:val="clear" w:pos="4419"/>
          <w:tab w:val="clear" w:pos="8838"/>
        </w:tabs>
        <w:jc w:val="both"/>
        <w:rPr>
          <w:rFonts w:ascii="Arial" w:hAnsi="Arial"/>
          <w:sz w:val="24"/>
          <w:szCs w:val="24"/>
          <w:lang w:val="es-ES_tradnl"/>
        </w:rPr>
      </w:pPr>
    </w:p>
    <w:p w:rsidR="00C750E0" w:rsidRPr="00C750E0" w:rsidRDefault="00C750E0" w:rsidP="009319DE">
      <w:pPr>
        <w:pStyle w:val="Encabezado"/>
        <w:numPr>
          <w:ilvl w:val="1"/>
          <w:numId w:val="8"/>
        </w:numPr>
        <w:tabs>
          <w:tab w:val="clear" w:pos="4419"/>
          <w:tab w:val="clear" w:pos="8838"/>
        </w:tabs>
        <w:ind w:left="1134" w:hanging="567"/>
        <w:jc w:val="both"/>
        <w:rPr>
          <w:rFonts w:ascii="Arial" w:hAnsi="Arial"/>
          <w:b/>
          <w:sz w:val="24"/>
          <w:szCs w:val="24"/>
          <w:lang w:val="es-ES_tradnl"/>
        </w:rPr>
      </w:pPr>
      <w:r w:rsidRPr="00C750E0">
        <w:rPr>
          <w:rFonts w:ascii="Arial" w:hAnsi="Arial"/>
          <w:b/>
          <w:sz w:val="24"/>
          <w:szCs w:val="24"/>
          <w:lang w:val="es-ES_tradnl"/>
        </w:rPr>
        <w:t xml:space="preserve">ESTADO DE </w:t>
      </w:r>
      <w:r w:rsidRPr="000E33B6">
        <w:rPr>
          <w:rFonts w:ascii="Arial" w:eastAsia="Calibri" w:hAnsi="Arial" w:cs="Times New Roman"/>
          <w:b/>
          <w:caps/>
          <w:spacing w:val="-3"/>
          <w:sz w:val="24"/>
          <w:szCs w:val="24"/>
          <w:lang w:val="es-ES_tradnl"/>
        </w:rPr>
        <w:t>DERECHO</w:t>
      </w:r>
    </w:p>
    <w:p w:rsidR="00C750E0" w:rsidRDefault="00C750E0" w:rsidP="00C750E0">
      <w:pPr>
        <w:pStyle w:val="Encabezado"/>
        <w:tabs>
          <w:tab w:val="clear" w:pos="4419"/>
          <w:tab w:val="clear" w:pos="8838"/>
        </w:tabs>
        <w:jc w:val="both"/>
        <w:rPr>
          <w:rFonts w:ascii="Arial" w:hAnsi="Arial"/>
          <w:sz w:val="24"/>
          <w:szCs w:val="24"/>
          <w:lang w:val="es-ES_tradnl"/>
        </w:rPr>
      </w:pPr>
    </w:p>
    <w:p w:rsidR="00073087" w:rsidRPr="00073087" w:rsidRDefault="000A68C5" w:rsidP="000A68C5">
      <w:pPr>
        <w:pStyle w:val="Encabezado"/>
        <w:spacing w:line="360" w:lineRule="auto"/>
        <w:ind w:firstLine="567"/>
        <w:jc w:val="both"/>
        <w:rPr>
          <w:rFonts w:ascii="Arial" w:hAnsi="Arial"/>
          <w:sz w:val="24"/>
          <w:szCs w:val="24"/>
        </w:rPr>
      </w:pPr>
      <w:r>
        <w:rPr>
          <w:rFonts w:ascii="Arial" w:hAnsi="Arial"/>
          <w:sz w:val="24"/>
          <w:szCs w:val="24"/>
        </w:rPr>
        <w:tab/>
      </w:r>
      <w:r w:rsidR="00503E82">
        <w:rPr>
          <w:rFonts w:ascii="Arial" w:hAnsi="Arial"/>
          <w:sz w:val="24"/>
          <w:szCs w:val="24"/>
        </w:rPr>
        <w:t>El Estado de D</w:t>
      </w:r>
      <w:r w:rsidR="00073087" w:rsidRPr="00073087">
        <w:rPr>
          <w:rFonts w:ascii="Arial" w:hAnsi="Arial"/>
          <w:sz w:val="24"/>
          <w:szCs w:val="24"/>
        </w:rPr>
        <w:t xml:space="preserve">erecho puede definirse como </w:t>
      </w:r>
      <w:r w:rsidR="00503E82">
        <w:rPr>
          <w:rFonts w:ascii="Arial" w:hAnsi="Arial"/>
          <w:sz w:val="24"/>
          <w:szCs w:val="24"/>
        </w:rPr>
        <w:t>“</w:t>
      </w:r>
      <w:r w:rsidR="00073087" w:rsidRPr="00073087">
        <w:rPr>
          <w:rFonts w:ascii="Arial" w:hAnsi="Arial"/>
          <w:sz w:val="24"/>
          <w:szCs w:val="24"/>
        </w:rPr>
        <w:t>un principio de gobernanza en el que todas las personas, instituciones y entidades, públicas y privadas, incluido el propio Estado, están sometidas a leyes que se promulgan públicamente, se hacen cumplir por igual y se aplican con independencia, además de ser compatibles con las normas y los principios internacionales de derechos humanos. Asimismo, exige que se adopten medidas para garantizar el respeto de los principios de primacía de la ley, igualdad ante la ley, separación de poderes, participación en la adopción de decisiones, legalidad, no arbitrariedad, y transparencia procesal y leg</w:t>
      </w:r>
      <w:r w:rsidR="00503E82">
        <w:rPr>
          <w:rFonts w:ascii="Arial" w:hAnsi="Arial"/>
          <w:sz w:val="24"/>
          <w:szCs w:val="24"/>
        </w:rPr>
        <w:t>al”</w:t>
      </w:r>
      <w:r w:rsidR="00073087" w:rsidRPr="00073087">
        <w:rPr>
          <w:rFonts w:ascii="Arial" w:hAnsi="Arial"/>
          <w:sz w:val="24"/>
          <w:szCs w:val="24"/>
        </w:rPr>
        <w:t xml:space="preserve">. (Informe del Secretario General sobre el </w:t>
      </w:r>
      <w:r w:rsidR="00503E82">
        <w:rPr>
          <w:rFonts w:ascii="Arial" w:hAnsi="Arial"/>
          <w:sz w:val="24"/>
          <w:szCs w:val="24"/>
        </w:rPr>
        <w:t>E</w:t>
      </w:r>
      <w:r w:rsidR="00073087" w:rsidRPr="00073087">
        <w:rPr>
          <w:rFonts w:ascii="Arial" w:hAnsi="Arial"/>
          <w:sz w:val="24"/>
          <w:szCs w:val="24"/>
        </w:rPr>
        <w:t>stado de derecho y la justicia de transición en las sociedades que sufren o han sufrido conflictos</w:t>
      </w:r>
      <w:r w:rsidR="00503E82">
        <w:rPr>
          <w:rFonts w:ascii="Arial" w:hAnsi="Arial"/>
          <w:sz w:val="24"/>
          <w:szCs w:val="24"/>
        </w:rPr>
        <w:t xml:space="preserve">, </w:t>
      </w:r>
      <w:r w:rsidR="00073087" w:rsidRPr="00073087">
        <w:rPr>
          <w:rFonts w:ascii="Arial" w:hAnsi="Arial"/>
          <w:sz w:val="24"/>
          <w:szCs w:val="24"/>
        </w:rPr>
        <w:t>S/2004/616).</w:t>
      </w:r>
    </w:p>
    <w:p w:rsidR="00073087" w:rsidRPr="00073087" w:rsidRDefault="00073087" w:rsidP="000A68C5">
      <w:pPr>
        <w:pStyle w:val="Encabezado"/>
        <w:spacing w:line="360" w:lineRule="auto"/>
        <w:ind w:firstLine="567"/>
        <w:jc w:val="both"/>
        <w:rPr>
          <w:rFonts w:ascii="Arial" w:hAnsi="Arial"/>
          <w:sz w:val="24"/>
          <w:szCs w:val="24"/>
        </w:rPr>
      </w:pPr>
      <w:r w:rsidRPr="00073087">
        <w:rPr>
          <w:rFonts w:ascii="Arial" w:hAnsi="Arial"/>
          <w:sz w:val="24"/>
          <w:szCs w:val="24"/>
        </w:rPr>
        <w:t xml:space="preserve">El concepto de </w:t>
      </w:r>
      <w:r w:rsidR="00503E82">
        <w:rPr>
          <w:rFonts w:ascii="Arial" w:hAnsi="Arial"/>
          <w:sz w:val="24"/>
          <w:szCs w:val="24"/>
        </w:rPr>
        <w:t>E</w:t>
      </w:r>
      <w:r w:rsidRPr="00073087">
        <w:rPr>
          <w:rFonts w:ascii="Arial" w:hAnsi="Arial"/>
          <w:sz w:val="24"/>
          <w:szCs w:val="24"/>
        </w:rPr>
        <w:t xml:space="preserve">stado de </w:t>
      </w:r>
      <w:r w:rsidR="00503E82">
        <w:rPr>
          <w:rFonts w:ascii="Arial" w:hAnsi="Arial"/>
          <w:sz w:val="24"/>
          <w:szCs w:val="24"/>
        </w:rPr>
        <w:t>D</w:t>
      </w:r>
      <w:r w:rsidRPr="00073087">
        <w:rPr>
          <w:rFonts w:ascii="Arial" w:hAnsi="Arial"/>
          <w:sz w:val="24"/>
          <w:szCs w:val="24"/>
        </w:rPr>
        <w:t>erecho está incorporado en la Carta de las Naciones Unidas</w:t>
      </w:r>
      <w:r w:rsidR="00503E82">
        <w:rPr>
          <w:rFonts w:ascii="Arial" w:hAnsi="Arial"/>
          <w:sz w:val="24"/>
          <w:szCs w:val="24"/>
        </w:rPr>
        <w:t xml:space="preserve"> (NA)</w:t>
      </w:r>
      <w:r w:rsidRPr="00073087">
        <w:rPr>
          <w:rFonts w:ascii="Arial" w:hAnsi="Arial"/>
          <w:sz w:val="24"/>
          <w:szCs w:val="24"/>
        </w:rPr>
        <w:t>. El Preámbulo de la Carta afirma que uno de los objetivos de las NU es “crear condiciones bajo las cuales puedan mantenerse la justicia y el respeto a las obligaciones emanadas de los tratados y de otras fuentes del derecho internacional.” Además, un propósito fundamental de las NU es “lograr por medios pacíficos, y de conformidad con los principios de la justicia y del derecho internacional, el ajuste o arreglo de controversias o situaciones internacionales susceptibles de conducir a quebrantamientos de la paz”. La Declaración Universal de Derechos Humanos de 1948 también da al estado de derecho un lugar central al afirmar que es “esencial que los derechos humanos sean protegidos por un régimen de derecho, a fin de que el hombre no se vea compelido al supremo recurso de la rebelión contra la tiranía y la opresión…”</w:t>
      </w:r>
    </w:p>
    <w:p w:rsidR="00073087" w:rsidRDefault="00073087" w:rsidP="000A68C5">
      <w:pPr>
        <w:pStyle w:val="Encabezado"/>
        <w:spacing w:line="360" w:lineRule="auto"/>
        <w:ind w:left="357"/>
        <w:jc w:val="both"/>
        <w:rPr>
          <w:rFonts w:ascii="Arial" w:hAnsi="Arial"/>
          <w:sz w:val="24"/>
          <w:szCs w:val="24"/>
        </w:rPr>
      </w:pPr>
    </w:p>
    <w:p w:rsidR="00073087" w:rsidRPr="00073087" w:rsidRDefault="00073087" w:rsidP="000A68C5">
      <w:pPr>
        <w:pStyle w:val="Encabezado"/>
        <w:spacing w:line="360" w:lineRule="auto"/>
        <w:ind w:firstLine="567"/>
        <w:jc w:val="both"/>
        <w:rPr>
          <w:rFonts w:ascii="Arial" w:hAnsi="Arial"/>
          <w:sz w:val="24"/>
          <w:szCs w:val="24"/>
        </w:rPr>
      </w:pPr>
      <w:r w:rsidRPr="00073087">
        <w:rPr>
          <w:rFonts w:ascii="Arial" w:hAnsi="Arial"/>
          <w:sz w:val="24"/>
          <w:szCs w:val="24"/>
        </w:rPr>
        <w:lastRenderedPageBreak/>
        <w:t>La Asamblea General</w:t>
      </w:r>
      <w:r w:rsidR="00503E82">
        <w:rPr>
          <w:rFonts w:ascii="Arial" w:hAnsi="Arial"/>
          <w:sz w:val="24"/>
          <w:szCs w:val="24"/>
        </w:rPr>
        <w:t xml:space="preserve"> (AG)</w:t>
      </w:r>
      <w:r w:rsidRPr="00073087">
        <w:rPr>
          <w:rFonts w:ascii="Arial" w:hAnsi="Arial"/>
          <w:sz w:val="24"/>
          <w:szCs w:val="24"/>
        </w:rPr>
        <w:t>, reconociendo el lugar central que ocupa el estado de derecho, celebró en su sexagésimo séptimo período de sesiones una Reunión de Alto Nivel sobre el Estado de Derecho en los Planos Nacional e Internacional el 24</w:t>
      </w:r>
      <w:r w:rsidR="00503E82">
        <w:rPr>
          <w:rFonts w:ascii="Arial" w:hAnsi="Arial"/>
          <w:sz w:val="24"/>
          <w:szCs w:val="24"/>
        </w:rPr>
        <w:t>/9/</w:t>
      </w:r>
      <w:r w:rsidRPr="00073087">
        <w:rPr>
          <w:rFonts w:ascii="Arial" w:hAnsi="Arial"/>
          <w:sz w:val="24"/>
          <w:szCs w:val="24"/>
        </w:rPr>
        <w:t>2012. Fue una ocasión única para que todos los Estados Miembros, las organizaciones no gubernamentales y la sociedad civil representados al más alto nivel se comprometieran a fortalecer el estado de derecho. La Reunión de Alto Nivel concluyó con la aprobación por consenso de una Declaración  en la que los Estados Miembros reafirmaron su compromiso con el estado de derecho y detallaron las medidas necesarias para defender diferentes aspectos del estado de derecho. La Declaración</w:t>
      </w:r>
      <w:r w:rsidRPr="00073087">
        <w:rPr>
          <w:b/>
          <w:bCs/>
        </w:rPr>
        <w:t> </w:t>
      </w:r>
      <w:r w:rsidRPr="00073087">
        <w:rPr>
          <w:rFonts w:ascii="Arial" w:hAnsi="Arial"/>
          <w:sz w:val="24"/>
          <w:szCs w:val="24"/>
        </w:rPr>
        <w:t>reconoce que “el estado de derecho se aplica a todos los Estados por igual y a las organizaciones internacionales, incluidas las NU y sus órganos principales, y que el respeto y la promoción del estado de derecho y la justicia deben guiar todas sus actividades y conferir previsibilidad y legitimidad a sus acciones. También reconoce que todas las personas, instituciones y entidades, públicas y privadas, incluido el propio Estado, están obligadas a acatar leyes justas, imparciales y equitativas, y tienen derecho a igual protección de la ley, sin discriminación.”</w:t>
      </w:r>
    </w:p>
    <w:p w:rsidR="00073087" w:rsidRPr="00073087" w:rsidRDefault="00073087" w:rsidP="000A68C5">
      <w:pPr>
        <w:pStyle w:val="Encabezado"/>
        <w:spacing w:line="360" w:lineRule="auto"/>
        <w:ind w:firstLine="567"/>
        <w:jc w:val="both"/>
        <w:rPr>
          <w:rFonts w:ascii="Arial" w:hAnsi="Arial"/>
          <w:sz w:val="24"/>
          <w:szCs w:val="24"/>
        </w:rPr>
      </w:pPr>
      <w:r w:rsidRPr="00073087">
        <w:rPr>
          <w:rFonts w:ascii="Arial" w:hAnsi="Arial"/>
          <w:sz w:val="24"/>
          <w:szCs w:val="24"/>
        </w:rPr>
        <w:t xml:space="preserve">La Declaración puso de relieve el estado de derecho como cuestión intersectorial, que vincula los tres pilares de las NU: la paz y la seguridad, los derechos humanos y el desarrollo. Esos vínculos entre el estado de derecho, los derechos humanos, la paz y la seguridad y el desarrollo se explican con mayor detalle en la adición del informe de 2014 del Secretario General sobre el fortalecimiento y la coordinación de las actividades de las NU orientadas a la promoción del </w:t>
      </w:r>
      <w:r w:rsidR="00503E82">
        <w:rPr>
          <w:rFonts w:ascii="Arial" w:hAnsi="Arial"/>
          <w:sz w:val="24"/>
          <w:szCs w:val="24"/>
        </w:rPr>
        <w:t>E</w:t>
      </w:r>
      <w:r w:rsidRPr="00073087">
        <w:rPr>
          <w:rFonts w:ascii="Arial" w:hAnsi="Arial"/>
          <w:sz w:val="24"/>
          <w:szCs w:val="24"/>
        </w:rPr>
        <w:t xml:space="preserve">stado de </w:t>
      </w:r>
      <w:r w:rsidR="00503E82">
        <w:rPr>
          <w:rFonts w:ascii="Arial" w:hAnsi="Arial"/>
          <w:sz w:val="24"/>
          <w:szCs w:val="24"/>
        </w:rPr>
        <w:t>D</w:t>
      </w:r>
      <w:r w:rsidRPr="00073087">
        <w:rPr>
          <w:rFonts w:ascii="Arial" w:hAnsi="Arial"/>
          <w:sz w:val="24"/>
          <w:szCs w:val="24"/>
        </w:rPr>
        <w:t>erecho  (A/68/213/Add.1)</w:t>
      </w:r>
    </w:p>
    <w:p w:rsidR="000E33B6" w:rsidRDefault="000E33B6" w:rsidP="00C750E0">
      <w:pPr>
        <w:pStyle w:val="Encabezado"/>
        <w:rPr>
          <w:rFonts w:ascii="Arial" w:hAnsi="Arial"/>
          <w:b/>
          <w:sz w:val="24"/>
          <w:szCs w:val="24"/>
        </w:rPr>
      </w:pPr>
    </w:p>
    <w:p w:rsidR="002F43F9" w:rsidRDefault="002F43F9" w:rsidP="009319DE">
      <w:pPr>
        <w:pStyle w:val="Encabezado"/>
        <w:numPr>
          <w:ilvl w:val="1"/>
          <w:numId w:val="8"/>
        </w:numPr>
        <w:tabs>
          <w:tab w:val="clear" w:pos="4419"/>
          <w:tab w:val="clear" w:pos="8838"/>
        </w:tabs>
        <w:ind w:left="1134" w:hanging="567"/>
        <w:jc w:val="both"/>
        <w:rPr>
          <w:rFonts w:ascii="Arial" w:hAnsi="Arial"/>
          <w:b/>
          <w:sz w:val="24"/>
          <w:szCs w:val="24"/>
        </w:rPr>
      </w:pPr>
      <w:r>
        <w:rPr>
          <w:rFonts w:ascii="Arial" w:hAnsi="Arial"/>
          <w:b/>
          <w:sz w:val="24"/>
          <w:szCs w:val="24"/>
        </w:rPr>
        <w:t>DERECHOS HUMANOS</w:t>
      </w:r>
    </w:p>
    <w:p w:rsidR="002F43F9" w:rsidRDefault="002F43F9" w:rsidP="002F43F9">
      <w:pPr>
        <w:pStyle w:val="Encabezado"/>
        <w:tabs>
          <w:tab w:val="clear" w:pos="4419"/>
          <w:tab w:val="clear" w:pos="8838"/>
        </w:tabs>
        <w:ind w:left="1134"/>
        <w:jc w:val="both"/>
        <w:rPr>
          <w:rFonts w:ascii="Arial" w:hAnsi="Arial"/>
          <w:b/>
          <w:sz w:val="24"/>
          <w:szCs w:val="24"/>
        </w:rPr>
      </w:pPr>
    </w:p>
    <w:p w:rsidR="002F43F9" w:rsidRPr="002F43F9" w:rsidRDefault="002F43F9" w:rsidP="002F43F9">
      <w:pPr>
        <w:pStyle w:val="Encabezado"/>
        <w:spacing w:line="360" w:lineRule="auto"/>
        <w:ind w:firstLine="567"/>
        <w:jc w:val="both"/>
        <w:rPr>
          <w:rFonts w:ascii="Arial" w:hAnsi="Arial"/>
          <w:sz w:val="24"/>
          <w:szCs w:val="24"/>
        </w:rPr>
      </w:pPr>
      <w:r w:rsidRPr="002F43F9">
        <w:rPr>
          <w:rFonts w:ascii="Arial" w:hAnsi="Arial"/>
          <w:sz w:val="24"/>
          <w:szCs w:val="24"/>
        </w:rPr>
        <w:t>Los derechos humanos son derechos inherentes a todos los seres humanos, sin distinción alguna de nacionalidad, lugar de residencia, sexo, origen nacional o étnico, color, religión, lengua, o cualquier otra condición. Todos tenemos los mismos derechos humanos, sin discriminación alguna. Estos derechos son interrelacionados, interdependientes e indivisibles.</w:t>
      </w:r>
    </w:p>
    <w:p w:rsidR="002F43F9" w:rsidRPr="002F43F9" w:rsidRDefault="002F43F9" w:rsidP="002F43F9">
      <w:pPr>
        <w:pStyle w:val="Encabezado"/>
        <w:spacing w:line="360" w:lineRule="auto"/>
        <w:ind w:firstLine="567"/>
        <w:jc w:val="both"/>
        <w:rPr>
          <w:rFonts w:ascii="Arial" w:hAnsi="Arial"/>
          <w:sz w:val="24"/>
          <w:szCs w:val="24"/>
        </w:rPr>
      </w:pPr>
      <w:r w:rsidRPr="002F43F9">
        <w:rPr>
          <w:rFonts w:ascii="Arial" w:hAnsi="Arial"/>
          <w:sz w:val="24"/>
          <w:szCs w:val="24"/>
        </w:rPr>
        <w:lastRenderedPageBreak/>
        <w:t>Los derechos humanos universales están a menudo contemplados en la ley y garantizados por ella, a través de los tratados, el derecho internacional consuetudinario, los principios generales y otras fuentes</w:t>
      </w:r>
      <w:r w:rsidR="00503E82">
        <w:rPr>
          <w:rFonts w:ascii="Arial" w:hAnsi="Arial"/>
          <w:sz w:val="24"/>
          <w:szCs w:val="24"/>
        </w:rPr>
        <w:t xml:space="preserve"> del derecho internacional. El D</w:t>
      </w:r>
      <w:r w:rsidRPr="002F43F9">
        <w:rPr>
          <w:rFonts w:ascii="Arial" w:hAnsi="Arial"/>
          <w:sz w:val="24"/>
          <w:szCs w:val="24"/>
        </w:rPr>
        <w:t xml:space="preserve">erecho </w:t>
      </w:r>
      <w:r w:rsidR="00503E82">
        <w:rPr>
          <w:rFonts w:ascii="Arial" w:hAnsi="Arial"/>
          <w:sz w:val="24"/>
          <w:szCs w:val="24"/>
        </w:rPr>
        <w:t>I</w:t>
      </w:r>
      <w:r w:rsidRPr="002F43F9">
        <w:rPr>
          <w:rFonts w:ascii="Arial" w:hAnsi="Arial"/>
          <w:sz w:val="24"/>
          <w:szCs w:val="24"/>
        </w:rPr>
        <w:t>nternacional de los derechos humanos establece las obligaciones que tienen los gobiernos de tomar medidas en determinadas situaciones, o de abstenerse de actuar de determinada forma en otras, a fin de promover y proteger los derechos humanos y las libertades fundamentales de los individuos o grupos.</w:t>
      </w:r>
    </w:p>
    <w:p w:rsidR="002F43F9" w:rsidRDefault="002F43F9" w:rsidP="002F43F9">
      <w:pPr>
        <w:pStyle w:val="Encabezado"/>
        <w:tabs>
          <w:tab w:val="clear" w:pos="4419"/>
          <w:tab w:val="clear" w:pos="8838"/>
        </w:tabs>
        <w:ind w:left="1134"/>
        <w:jc w:val="both"/>
        <w:rPr>
          <w:rFonts w:ascii="Arial" w:hAnsi="Arial"/>
          <w:b/>
          <w:sz w:val="24"/>
          <w:szCs w:val="24"/>
        </w:rPr>
      </w:pPr>
    </w:p>
    <w:p w:rsidR="002F43F9" w:rsidRDefault="002F43F9" w:rsidP="002F43F9">
      <w:pPr>
        <w:pStyle w:val="Encabezado"/>
        <w:tabs>
          <w:tab w:val="clear" w:pos="4419"/>
          <w:tab w:val="clear" w:pos="8838"/>
        </w:tabs>
        <w:ind w:left="1134"/>
        <w:jc w:val="both"/>
        <w:rPr>
          <w:rFonts w:ascii="Arial" w:hAnsi="Arial"/>
          <w:b/>
          <w:sz w:val="24"/>
          <w:szCs w:val="24"/>
        </w:rPr>
      </w:pPr>
    </w:p>
    <w:p w:rsidR="00073087" w:rsidRPr="002F43F9" w:rsidRDefault="000A68C5" w:rsidP="002F43F9">
      <w:pPr>
        <w:pStyle w:val="Encabezado"/>
        <w:numPr>
          <w:ilvl w:val="3"/>
          <w:numId w:val="7"/>
        </w:numPr>
        <w:tabs>
          <w:tab w:val="clear" w:pos="4419"/>
          <w:tab w:val="clear" w:pos="8838"/>
        </w:tabs>
        <w:ind w:left="1134"/>
        <w:jc w:val="both"/>
        <w:rPr>
          <w:rFonts w:ascii="Arial" w:hAnsi="Arial"/>
          <w:b/>
          <w:caps/>
          <w:sz w:val="24"/>
          <w:szCs w:val="24"/>
        </w:rPr>
      </w:pPr>
      <w:r w:rsidRPr="002F43F9">
        <w:rPr>
          <w:rFonts w:ascii="Arial" w:eastAsia="Calibri" w:hAnsi="Arial" w:cs="Times New Roman"/>
          <w:b/>
          <w:caps/>
          <w:sz w:val="24"/>
          <w:szCs w:val="24"/>
          <w:lang w:val="es-ES_tradnl"/>
        </w:rPr>
        <w:t>DEFINICIÓN</w:t>
      </w:r>
      <w:r w:rsidRPr="002F43F9">
        <w:rPr>
          <w:rFonts w:ascii="Arial" w:hAnsi="Arial"/>
          <w:b/>
          <w:caps/>
          <w:sz w:val="24"/>
          <w:szCs w:val="24"/>
        </w:rPr>
        <w:t xml:space="preserve"> DE LOS DERECHOS HUMANOS</w:t>
      </w:r>
      <w:r w:rsidR="000B14FB">
        <w:rPr>
          <w:rFonts w:ascii="Arial" w:hAnsi="Arial"/>
          <w:b/>
          <w:caps/>
          <w:sz w:val="24"/>
          <w:szCs w:val="24"/>
        </w:rPr>
        <w:t xml:space="preserve"> </w:t>
      </w:r>
    </w:p>
    <w:p w:rsidR="00073087" w:rsidRDefault="00073087" w:rsidP="00B45D41">
      <w:pPr>
        <w:pStyle w:val="Encabezado"/>
        <w:tabs>
          <w:tab w:val="clear" w:pos="4419"/>
          <w:tab w:val="clear" w:pos="8838"/>
        </w:tabs>
        <w:ind w:left="1418"/>
        <w:jc w:val="both"/>
        <w:rPr>
          <w:rFonts w:ascii="Arial" w:hAnsi="Arial"/>
          <w:sz w:val="24"/>
          <w:szCs w:val="24"/>
          <w:lang w:val="es-ES_tradnl"/>
        </w:rPr>
      </w:pPr>
    </w:p>
    <w:p w:rsidR="000A68C5" w:rsidRPr="000A68C5" w:rsidRDefault="000A68C5" w:rsidP="000A68C5">
      <w:pPr>
        <w:pStyle w:val="Encabezado"/>
        <w:spacing w:line="360" w:lineRule="auto"/>
        <w:ind w:firstLine="567"/>
        <w:jc w:val="both"/>
        <w:rPr>
          <w:rFonts w:ascii="Arial" w:hAnsi="Arial"/>
          <w:sz w:val="24"/>
          <w:szCs w:val="24"/>
        </w:rPr>
      </w:pPr>
      <w:r w:rsidRPr="000A68C5">
        <w:rPr>
          <w:rFonts w:ascii="Arial" w:hAnsi="Arial"/>
          <w:sz w:val="24"/>
          <w:szCs w:val="24"/>
        </w:rPr>
        <w:t xml:space="preserve">Los derechos humanos </w:t>
      </w:r>
      <w:r w:rsidR="000B14FB">
        <w:rPr>
          <w:rFonts w:ascii="Arial" w:hAnsi="Arial"/>
          <w:sz w:val="24"/>
          <w:szCs w:val="24"/>
        </w:rPr>
        <w:t xml:space="preserve">(DD.HH.) </w:t>
      </w:r>
      <w:r w:rsidRPr="000A68C5">
        <w:rPr>
          <w:rFonts w:ascii="Arial" w:hAnsi="Arial"/>
          <w:sz w:val="24"/>
          <w:szCs w:val="24"/>
        </w:rPr>
        <w:t>son derechos inherentes a todos los seres humanos, sin distinción alguna de nacionalidad, lugar de residencia, sexo, origen nacional o étnico, color, religión, lengua, o cualquier otra condición. Todos tenemos los mismos derechos humanos, sin discriminación alguna. Estos derechos son interrelacionados, interdependientes e indivisibles.</w:t>
      </w:r>
    </w:p>
    <w:p w:rsidR="000A68C5" w:rsidRPr="000A68C5" w:rsidRDefault="000A68C5" w:rsidP="000A68C5">
      <w:pPr>
        <w:pStyle w:val="Encabezado"/>
        <w:spacing w:line="360" w:lineRule="auto"/>
        <w:ind w:firstLine="567"/>
        <w:jc w:val="both"/>
        <w:rPr>
          <w:rFonts w:ascii="Arial" w:hAnsi="Arial"/>
          <w:sz w:val="24"/>
          <w:szCs w:val="24"/>
        </w:rPr>
      </w:pPr>
      <w:r w:rsidRPr="000A68C5">
        <w:rPr>
          <w:rFonts w:ascii="Arial" w:hAnsi="Arial"/>
          <w:sz w:val="24"/>
          <w:szCs w:val="24"/>
        </w:rPr>
        <w:t xml:space="preserve">Los derechos humanos universales están a menudo contemplados en la ley </w:t>
      </w:r>
      <w:proofErr w:type="gramStart"/>
      <w:r w:rsidRPr="000A68C5">
        <w:rPr>
          <w:rFonts w:ascii="Arial" w:hAnsi="Arial"/>
          <w:sz w:val="24"/>
          <w:szCs w:val="24"/>
        </w:rPr>
        <w:t>y</w:t>
      </w:r>
      <w:proofErr w:type="gramEnd"/>
      <w:r w:rsidRPr="000A68C5">
        <w:rPr>
          <w:rFonts w:ascii="Arial" w:hAnsi="Arial"/>
          <w:sz w:val="24"/>
          <w:szCs w:val="24"/>
        </w:rPr>
        <w:t xml:space="preserve"> garantizados por ella, a través de los tratados, el derecho internacional consuetudinario, los principios generales y otras fuentes del derecho internacional. El derecho internacional de los derechos humanos establece las obligaciones que tienen los gobiernos de tomar medidas en determinadas situaciones, o de abstenerse de actuar de determinada forma en otras, a fin de promover y proteger los derechos humanos y las libertades fundamentales de los individuos o grupos.</w:t>
      </w:r>
    </w:p>
    <w:p w:rsidR="00073087" w:rsidRPr="000A68C5" w:rsidRDefault="00073087" w:rsidP="00B45D41">
      <w:pPr>
        <w:pStyle w:val="Encabezado"/>
        <w:tabs>
          <w:tab w:val="clear" w:pos="4419"/>
          <w:tab w:val="clear" w:pos="8838"/>
        </w:tabs>
        <w:ind w:left="1418"/>
        <w:jc w:val="both"/>
        <w:rPr>
          <w:rFonts w:ascii="Arial" w:hAnsi="Arial"/>
          <w:sz w:val="24"/>
          <w:szCs w:val="24"/>
        </w:rPr>
      </w:pPr>
    </w:p>
    <w:p w:rsidR="00C750E0" w:rsidRDefault="00C750E0" w:rsidP="00C750E0">
      <w:pPr>
        <w:pStyle w:val="Encabezado"/>
        <w:rPr>
          <w:rFonts w:ascii="Arial" w:hAnsi="Arial"/>
          <w:b/>
          <w:sz w:val="24"/>
          <w:szCs w:val="24"/>
        </w:rPr>
      </w:pPr>
    </w:p>
    <w:p w:rsidR="00C750E0" w:rsidRDefault="00C750E0" w:rsidP="009319DE">
      <w:pPr>
        <w:pStyle w:val="Encabezado"/>
        <w:numPr>
          <w:ilvl w:val="1"/>
          <w:numId w:val="16"/>
        </w:numPr>
        <w:tabs>
          <w:tab w:val="clear" w:pos="4419"/>
          <w:tab w:val="clear" w:pos="8838"/>
        </w:tabs>
        <w:ind w:left="1134" w:hanging="567"/>
        <w:jc w:val="both"/>
        <w:rPr>
          <w:rFonts w:ascii="Arial" w:hAnsi="Arial"/>
          <w:b/>
          <w:sz w:val="24"/>
          <w:szCs w:val="24"/>
        </w:rPr>
      </w:pPr>
      <w:r w:rsidRPr="00C750E0">
        <w:rPr>
          <w:rFonts w:ascii="Arial" w:hAnsi="Arial"/>
          <w:b/>
          <w:sz w:val="24"/>
          <w:szCs w:val="24"/>
        </w:rPr>
        <w:t>CARACTERÍSTICAS</w:t>
      </w:r>
      <w:r w:rsidR="000E33B6">
        <w:rPr>
          <w:rFonts w:ascii="Arial" w:hAnsi="Arial"/>
          <w:b/>
          <w:sz w:val="24"/>
          <w:szCs w:val="24"/>
        </w:rPr>
        <w:t xml:space="preserve"> DE LOS DERECHOS HUMANOS</w:t>
      </w:r>
    </w:p>
    <w:p w:rsidR="000E33B6" w:rsidRPr="00C750E0" w:rsidRDefault="000E33B6" w:rsidP="00C750E0">
      <w:pPr>
        <w:pStyle w:val="Encabezado"/>
        <w:rPr>
          <w:rFonts w:ascii="Arial" w:hAnsi="Arial"/>
          <w:b/>
          <w:sz w:val="24"/>
          <w:szCs w:val="24"/>
        </w:rPr>
      </w:pPr>
    </w:p>
    <w:p w:rsidR="000E33B6" w:rsidRDefault="000E33B6" w:rsidP="000E33B6">
      <w:pPr>
        <w:pStyle w:val="Encabezado"/>
        <w:tabs>
          <w:tab w:val="left" w:pos="567"/>
        </w:tabs>
        <w:rPr>
          <w:rFonts w:ascii="Arial" w:hAnsi="Arial"/>
          <w:b/>
          <w:sz w:val="24"/>
          <w:szCs w:val="24"/>
        </w:rPr>
      </w:pPr>
    </w:p>
    <w:p w:rsidR="00C750E0" w:rsidRDefault="00C750E0" w:rsidP="009319DE">
      <w:pPr>
        <w:pStyle w:val="Encabezado"/>
        <w:numPr>
          <w:ilvl w:val="0"/>
          <w:numId w:val="9"/>
        </w:numPr>
        <w:tabs>
          <w:tab w:val="left" w:pos="567"/>
        </w:tabs>
        <w:rPr>
          <w:rFonts w:ascii="Arial" w:hAnsi="Arial"/>
          <w:b/>
          <w:sz w:val="24"/>
          <w:szCs w:val="24"/>
        </w:rPr>
      </w:pPr>
      <w:r w:rsidRPr="00C750E0">
        <w:rPr>
          <w:rFonts w:ascii="Arial" w:hAnsi="Arial"/>
          <w:b/>
          <w:sz w:val="24"/>
          <w:szCs w:val="24"/>
        </w:rPr>
        <w:t>Universales e inalienables</w:t>
      </w:r>
    </w:p>
    <w:p w:rsidR="00C750E0" w:rsidRPr="00C750E0" w:rsidRDefault="00C750E0" w:rsidP="00C750E0">
      <w:pPr>
        <w:pStyle w:val="Encabezado"/>
        <w:rPr>
          <w:rFonts w:ascii="Arial" w:hAnsi="Arial"/>
          <w:b/>
          <w:sz w:val="24"/>
          <w:szCs w:val="24"/>
        </w:rPr>
      </w:pPr>
    </w:p>
    <w:p w:rsidR="00C750E0" w:rsidRPr="00C750E0" w:rsidRDefault="00C750E0" w:rsidP="00C750E0">
      <w:pPr>
        <w:pStyle w:val="Encabezado"/>
        <w:spacing w:line="360" w:lineRule="auto"/>
        <w:ind w:firstLine="567"/>
        <w:jc w:val="both"/>
        <w:rPr>
          <w:rFonts w:ascii="Arial" w:hAnsi="Arial"/>
          <w:sz w:val="24"/>
          <w:szCs w:val="24"/>
        </w:rPr>
      </w:pPr>
      <w:r w:rsidRPr="00C750E0">
        <w:rPr>
          <w:rFonts w:ascii="Arial" w:hAnsi="Arial"/>
          <w:sz w:val="24"/>
          <w:szCs w:val="24"/>
        </w:rPr>
        <w:t xml:space="preserve">El principio de la universalidad de los derechos humanos es la piedra angular del derecho internacional de los derechos humanos. Este principio, tal como se destacara inicialmente en la Declaración Universal de Derechos Humanos, se ha reiterado en numerosos convenios, declaraciones y resoluciones internacionales </w:t>
      </w:r>
      <w:r w:rsidRPr="00C750E0">
        <w:rPr>
          <w:rFonts w:ascii="Arial" w:hAnsi="Arial"/>
          <w:sz w:val="24"/>
          <w:szCs w:val="24"/>
        </w:rPr>
        <w:lastRenderedPageBreak/>
        <w:t xml:space="preserve">de derechos humanos. En la Conferencia Mundial de Derechos Humanos celebrada en Viena en 1993, por ejemplo, se dispuso que todos los Estados </w:t>
      </w:r>
      <w:proofErr w:type="gramStart"/>
      <w:r w:rsidRPr="00C750E0">
        <w:rPr>
          <w:rFonts w:ascii="Arial" w:hAnsi="Arial"/>
          <w:sz w:val="24"/>
          <w:szCs w:val="24"/>
        </w:rPr>
        <w:t>tenían</w:t>
      </w:r>
      <w:proofErr w:type="gramEnd"/>
      <w:r w:rsidRPr="00C750E0">
        <w:rPr>
          <w:rFonts w:ascii="Arial" w:hAnsi="Arial"/>
          <w:sz w:val="24"/>
          <w:szCs w:val="24"/>
        </w:rPr>
        <w:t xml:space="preserve"> el deber, independientemente de sus sistemas políticos, económicos y culturales, de promover y proteger todos los derechos humanos y las libertades fundamentales.</w:t>
      </w:r>
    </w:p>
    <w:p w:rsidR="00C750E0" w:rsidRPr="00C750E0" w:rsidRDefault="00C750E0" w:rsidP="00C750E0">
      <w:pPr>
        <w:pStyle w:val="Encabezado"/>
        <w:spacing w:line="360" w:lineRule="auto"/>
        <w:ind w:firstLine="567"/>
        <w:jc w:val="both"/>
        <w:rPr>
          <w:rFonts w:ascii="Arial" w:hAnsi="Arial"/>
          <w:sz w:val="24"/>
          <w:szCs w:val="24"/>
        </w:rPr>
      </w:pPr>
      <w:r w:rsidRPr="00C750E0">
        <w:rPr>
          <w:rFonts w:ascii="Arial" w:hAnsi="Arial"/>
          <w:sz w:val="24"/>
          <w:szCs w:val="24"/>
        </w:rPr>
        <w:t>Todos los Estados han ratificado al menos uno, y el 80 por ciento de ellos cuatro o más, de los</w:t>
      </w:r>
      <w:r>
        <w:rPr>
          <w:rFonts w:ascii="Verdana" w:hAnsi="Verdana"/>
          <w:color w:val="000000"/>
          <w:sz w:val="17"/>
          <w:szCs w:val="17"/>
        </w:rPr>
        <w:t xml:space="preserve"> </w:t>
      </w:r>
      <w:r w:rsidRPr="00C750E0">
        <w:rPr>
          <w:rFonts w:ascii="Arial" w:hAnsi="Arial"/>
          <w:sz w:val="24"/>
          <w:szCs w:val="24"/>
        </w:rPr>
        <w:t>principales tratados de derechos humanos, reflejando así el consentimiento de los Estados para establecer obligaciones jurídicas que se comprometen a cumplir, y confiriéndole al concepto de la universalidad una expresión concreta. Algunas normas fundamentales de derechos humanos gozan de protección universal en virtud del derecho internacional consuetudinario a través de todas las fronteras y civilizaciones.</w:t>
      </w:r>
    </w:p>
    <w:p w:rsidR="00C750E0" w:rsidRPr="00C750E0" w:rsidRDefault="00C750E0" w:rsidP="00C750E0">
      <w:pPr>
        <w:pStyle w:val="Encabezado"/>
        <w:spacing w:line="360" w:lineRule="auto"/>
        <w:ind w:firstLine="567"/>
        <w:jc w:val="both"/>
        <w:rPr>
          <w:rFonts w:ascii="Arial" w:hAnsi="Arial"/>
          <w:sz w:val="24"/>
          <w:szCs w:val="24"/>
        </w:rPr>
      </w:pPr>
      <w:r w:rsidRPr="00C750E0">
        <w:rPr>
          <w:rFonts w:ascii="Arial" w:hAnsi="Arial"/>
          <w:sz w:val="24"/>
          <w:szCs w:val="24"/>
        </w:rPr>
        <w:t>Los derechos humanos son inalienables. No deben suprimirse, salvo en determinadas situaciones y según las debidas garantías procesales. Por ejemplo, se puede restringir el derecho a la libertad si un tribunal de justicia dictamina que una persona es culpable de haber cometido un delito.</w:t>
      </w:r>
    </w:p>
    <w:p w:rsidR="00073087" w:rsidRPr="00C750E0" w:rsidRDefault="00073087" w:rsidP="00B45D41">
      <w:pPr>
        <w:pStyle w:val="Encabezado"/>
        <w:tabs>
          <w:tab w:val="clear" w:pos="4419"/>
          <w:tab w:val="clear" w:pos="8838"/>
        </w:tabs>
        <w:ind w:left="1418"/>
        <w:jc w:val="both"/>
        <w:rPr>
          <w:rFonts w:ascii="Arial" w:hAnsi="Arial"/>
          <w:sz w:val="24"/>
          <w:szCs w:val="24"/>
        </w:rPr>
      </w:pPr>
    </w:p>
    <w:p w:rsidR="00C750E0" w:rsidRDefault="000E33B6" w:rsidP="009319DE">
      <w:pPr>
        <w:pStyle w:val="Encabezado"/>
        <w:numPr>
          <w:ilvl w:val="0"/>
          <w:numId w:val="9"/>
        </w:numPr>
        <w:tabs>
          <w:tab w:val="left" w:pos="567"/>
          <w:tab w:val="left" w:pos="1276"/>
        </w:tabs>
        <w:rPr>
          <w:rFonts w:ascii="Arial" w:hAnsi="Arial"/>
          <w:b/>
          <w:sz w:val="24"/>
          <w:szCs w:val="24"/>
        </w:rPr>
      </w:pPr>
      <w:r>
        <w:rPr>
          <w:rFonts w:ascii="Arial" w:hAnsi="Arial"/>
          <w:b/>
          <w:sz w:val="24"/>
          <w:szCs w:val="24"/>
        </w:rPr>
        <w:tab/>
      </w:r>
      <w:r w:rsidR="00C750E0" w:rsidRPr="00C750E0">
        <w:rPr>
          <w:rFonts w:ascii="Arial" w:hAnsi="Arial"/>
          <w:b/>
          <w:sz w:val="24"/>
          <w:szCs w:val="24"/>
        </w:rPr>
        <w:t>Interdependientes e indivisibles</w:t>
      </w:r>
    </w:p>
    <w:p w:rsidR="00C750E0" w:rsidRPr="00C750E0" w:rsidRDefault="00C750E0" w:rsidP="00C750E0">
      <w:pPr>
        <w:pStyle w:val="Encabezado"/>
        <w:tabs>
          <w:tab w:val="left" w:pos="567"/>
        </w:tabs>
        <w:rPr>
          <w:rFonts w:ascii="Arial" w:hAnsi="Arial"/>
          <w:b/>
          <w:sz w:val="24"/>
          <w:szCs w:val="24"/>
        </w:rPr>
      </w:pPr>
    </w:p>
    <w:p w:rsidR="00C750E0" w:rsidRPr="00C750E0" w:rsidRDefault="00C750E0" w:rsidP="00C750E0">
      <w:pPr>
        <w:pStyle w:val="Encabezado"/>
        <w:spacing w:line="360" w:lineRule="auto"/>
        <w:ind w:firstLine="567"/>
        <w:jc w:val="both"/>
        <w:rPr>
          <w:rFonts w:ascii="Arial" w:hAnsi="Arial"/>
          <w:sz w:val="24"/>
          <w:szCs w:val="24"/>
        </w:rPr>
      </w:pPr>
      <w:r w:rsidRPr="00C750E0">
        <w:rPr>
          <w:rFonts w:ascii="Arial" w:hAnsi="Arial"/>
          <w:sz w:val="24"/>
          <w:szCs w:val="24"/>
        </w:rPr>
        <w:t>Todos los derechos humanos, sean éstos los derechos civiles y políticos, como el derecho a la vida, la igualdad ante la ley y la libertad de expresión; los derechos económicos, sociales y culturales, como el derecho al trabajo, la seguridad social y la educación; o los derechos colectivos, como los derechos al desarrollo y la libre determinación, todos son derechos indivisibles, interrelacionados e interdependientes. El avance de uno facilita el avance de los demás. De la misma manera, la privación de un derecho afecta negativamente a los demás.  </w:t>
      </w:r>
    </w:p>
    <w:p w:rsidR="00073087" w:rsidRPr="000E33B6" w:rsidRDefault="000E33B6" w:rsidP="000E33B6">
      <w:pPr>
        <w:pStyle w:val="Encabezado"/>
        <w:tabs>
          <w:tab w:val="left" w:pos="567"/>
        </w:tabs>
        <w:rPr>
          <w:rFonts w:ascii="Arial" w:hAnsi="Arial"/>
          <w:b/>
          <w:sz w:val="24"/>
          <w:szCs w:val="24"/>
        </w:rPr>
      </w:pPr>
      <w:r>
        <w:rPr>
          <w:rFonts w:ascii="Arial" w:hAnsi="Arial"/>
          <w:b/>
          <w:sz w:val="24"/>
          <w:szCs w:val="24"/>
        </w:rPr>
        <w:tab/>
      </w:r>
    </w:p>
    <w:p w:rsidR="000E33B6" w:rsidRDefault="000E33B6" w:rsidP="009319DE">
      <w:pPr>
        <w:pStyle w:val="Encabezado"/>
        <w:numPr>
          <w:ilvl w:val="0"/>
          <w:numId w:val="9"/>
        </w:numPr>
        <w:tabs>
          <w:tab w:val="left" w:pos="567"/>
          <w:tab w:val="left" w:pos="1276"/>
        </w:tabs>
        <w:rPr>
          <w:rFonts w:ascii="Arial" w:hAnsi="Arial"/>
          <w:b/>
          <w:sz w:val="24"/>
          <w:szCs w:val="24"/>
        </w:rPr>
      </w:pPr>
      <w:r>
        <w:rPr>
          <w:rFonts w:ascii="Arial" w:hAnsi="Arial"/>
          <w:b/>
          <w:sz w:val="24"/>
          <w:szCs w:val="24"/>
        </w:rPr>
        <w:tab/>
      </w:r>
      <w:r w:rsidRPr="000E33B6">
        <w:rPr>
          <w:rFonts w:ascii="Arial" w:hAnsi="Arial"/>
          <w:b/>
          <w:sz w:val="24"/>
          <w:szCs w:val="24"/>
        </w:rPr>
        <w:t>Iguales y no discriminatorios</w:t>
      </w:r>
    </w:p>
    <w:p w:rsidR="000E33B6" w:rsidRPr="000E33B6" w:rsidRDefault="000E33B6" w:rsidP="000E33B6">
      <w:pPr>
        <w:pStyle w:val="Encabezado"/>
        <w:tabs>
          <w:tab w:val="left" w:pos="567"/>
        </w:tabs>
        <w:rPr>
          <w:rFonts w:ascii="Arial" w:hAnsi="Arial"/>
          <w:b/>
          <w:sz w:val="24"/>
          <w:szCs w:val="24"/>
        </w:rPr>
      </w:pPr>
    </w:p>
    <w:p w:rsidR="000E33B6" w:rsidRPr="000E33B6" w:rsidRDefault="000E33B6" w:rsidP="000E33B6">
      <w:pPr>
        <w:pStyle w:val="Encabezado"/>
        <w:spacing w:line="360" w:lineRule="auto"/>
        <w:ind w:firstLine="567"/>
        <w:jc w:val="both"/>
        <w:rPr>
          <w:rFonts w:ascii="Arial" w:hAnsi="Arial"/>
          <w:sz w:val="24"/>
          <w:szCs w:val="24"/>
        </w:rPr>
      </w:pPr>
      <w:r w:rsidRPr="000E33B6">
        <w:rPr>
          <w:rFonts w:ascii="Arial" w:hAnsi="Arial"/>
          <w:sz w:val="24"/>
          <w:szCs w:val="24"/>
        </w:rPr>
        <w:t xml:space="preserve">La no discriminación es un principio transversal en el derecho internacional de derechos humanos. Está presente en todos los principales tratados de derechos humanos y constituye el tema central de algunas convenciones </w:t>
      </w:r>
      <w:r w:rsidRPr="000E33B6">
        <w:rPr>
          <w:rFonts w:ascii="Arial" w:hAnsi="Arial"/>
          <w:sz w:val="24"/>
          <w:szCs w:val="24"/>
        </w:rPr>
        <w:lastRenderedPageBreak/>
        <w:t>internacionales como la Convención Internacional sobre la Eliminación de todas las Formas de Discriminación Racial y la Convención sobre la Eliminación de todas las Formas de Discriminación contra la Mujer.</w:t>
      </w:r>
    </w:p>
    <w:p w:rsidR="000E33B6" w:rsidRDefault="000E33B6" w:rsidP="000E33B6">
      <w:pPr>
        <w:pStyle w:val="Encabezado"/>
        <w:spacing w:line="360" w:lineRule="auto"/>
        <w:ind w:firstLine="567"/>
        <w:jc w:val="both"/>
        <w:rPr>
          <w:rFonts w:ascii="Arial" w:hAnsi="Arial"/>
          <w:sz w:val="24"/>
          <w:szCs w:val="24"/>
        </w:rPr>
      </w:pPr>
      <w:r w:rsidRPr="000E33B6">
        <w:rPr>
          <w:rFonts w:ascii="Arial" w:hAnsi="Arial"/>
          <w:sz w:val="24"/>
          <w:szCs w:val="24"/>
        </w:rPr>
        <w:t>El principio se aplica a toda persona en relación con todos los derechos humanos y las libertades, y prohíbe la discriminación sobre la base de una lista no exhaustiva de categorías tales como sexo, raza, color, y así sucesivamente. El principio de la no discriminación se complementa con el principio de igualdad, como lo estipula el artículo 1 de la Declaración Universal de Derechos Humanos: “Todos los seres humanos nacen libres e iguales en dignidad y derechos”.</w:t>
      </w:r>
    </w:p>
    <w:p w:rsidR="00892DFA" w:rsidRPr="000E33B6" w:rsidRDefault="00892DFA" w:rsidP="000E33B6">
      <w:pPr>
        <w:pStyle w:val="Encabezado"/>
        <w:spacing w:line="360" w:lineRule="auto"/>
        <w:ind w:firstLine="567"/>
        <w:jc w:val="both"/>
        <w:rPr>
          <w:rFonts w:ascii="Arial" w:hAnsi="Arial"/>
          <w:sz w:val="24"/>
          <w:szCs w:val="24"/>
        </w:rPr>
      </w:pPr>
    </w:p>
    <w:p w:rsidR="00B45D41" w:rsidRPr="00892DFA" w:rsidRDefault="00892DFA" w:rsidP="00A8470C">
      <w:pPr>
        <w:pStyle w:val="Encabezado"/>
        <w:numPr>
          <w:ilvl w:val="3"/>
          <w:numId w:val="7"/>
        </w:numPr>
        <w:tabs>
          <w:tab w:val="clear" w:pos="4419"/>
          <w:tab w:val="clear" w:pos="8838"/>
        </w:tabs>
        <w:ind w:left="1134"/>
        <w:jc w:val="both"/>
        <w:rPr>
          <w:rFonts w:ascii="Arial" w:hAnsi="Arial"/>
          <w:b/>
          <w:sz w:val="24"/>
          <w:szCs w:val="24"/>
          <w:lang w:val="es-ES_tradnl"/>
        </w:rPr>
      </w:pPr>
      <w:r w:rsidRPr="00A8470C">
        <w:rPr>
          <w:rFonts w:ascii="Arial" w:eastAsia="Calibri" w:hAnsi="Arial" w:cs="Times New Roman"/>
          <w:b/>
          <w:caps/>
          <w:sz w:val="24"/>
          <w:szCs w:val="24"/>
          <w:lang w:val="es-ES_tradnl"/>
        </w:rPr>
        <w:t>EVOLUCIÓN</w:t>
      </w:r>
      <w:r w:rsidRPr="00892DFA">
        <w:rPr>
          <w:rFonts w:ascii="Arial" w:hAnsi="Arial"/>
          <w:b/>
          <w:sz w:val="24"/>
          <w:szCs w:val="24"/>
          <w:lang w:val="es-ES_tradnl"/>
        </w:rPr>
        <w:t xml:space="preserve"> HISTÓRICA DE LOS DERECHOS HUMANOS</w:t>
      </w:r>
    </w:p>
    <w:p w:rsidR="00892DFA" w:rsidRDefault="00892DFA" w:rsidP="00892DFA">
      <w:pPr>
        <w:pStyle w:val="Encabezado"/>
        <w:tabs>
          <w:tab w:val="clear" w:pos="4419"/>
          <w:tab w:val="clear" w:pos="8838"/>
        </w:tabs>
        <w:ind w:left="1134"/>
        <w:jc w:val="both"/>
        <w:rPr>
          <w:rFonts w:ascii="Arial" w:hAnsi="Arial"/>
          <w:sz w:val="24"/>
          <w:szCs w:val="24"/>
          <w:lang w:val="es-ES_tradnl"/>
        </w:rPr>
      </w:pP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t>El deseo de un mundo más justo, más libre y más solidario seguramente ha sido una aspiración común desde que existe el ser humano. Por lo tanto, en un sentido amplio, podemos decir que los derechos humanos no son un invento moderno, a pesar de que su denominación y contenidos actuales sí sean históricamente recientes.</w:t>
      </w: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t>Las primeras noticias documentadas que podemos considerar como precursoras de esta gran aventura corresponden al tercer milenio antes de Cristo, en Egipto. En el Libro de los Muertos, un difunto, ante el tribunal de Osiris, con el objetivo de asegurarse la vida eterna, alega en su defensa "no haber hecho daño a la hija del pobre".</w:t>
      </w: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t>En el siglo XVII a.C., en Mesopotamia, encontramos otro hito</w:t>
      </w:r>
      <w:r w:rsidR="000B14FB">
        <w:rPr>
          <w:rFonts w:ascii="Arial" w:hAnsi="Arial"/>
          <w:sz w:val="24"/>
          <w:szCs w:val="24"/>
        </w:rPr>
        <w:t xml:space="preserve">, </w:t>
      </w:r>
      <w:r w:rsidRPr="00892DFA">
        <w:rPr>
          <w:rFonts w:ascii="Arial" w:hAnsi="Arial"/>
          <w:sz w:val="24"/>
          <w:szCs w:val="24"/>
        </w:rPr>
        <w:t xml:space="preserve">el Código de </w:t>
      </w:r>
      <w:proofErr w:type="spellStart"/>
      <w:r w:rsidRPr="00892DFA">
        <w:rPr>
          <w:rFonts w:ascii="Arial" w:hAnsi="Arial"/>
          <w:sz w:val="24"/>
          <w:szCs w:val="24"/>
        </w:rPr>
        <w:t>Hammurabi</w:t>
      </w:r>
      <w:proofErr w:type="spellEnd"/>
      <w:r w:rsidR="000B14FB">
        <w:rPr>
          <w:rFonts w:ascii="Arial" w:hAnsi="Arial"/>
          <w:sz w:val="24"/>
          <w:szCs w:val="24"/>
        </w:rPr>
        <w:t>, e</w:t>
      </w:r>
      <w:r w:rsidRPr="00892DFA">
        <w:rPr>
          <w:rFonts w:ascii="Arial" w:hAnsi="Arial"/>
          <w:sz w:val="24"/>
          <w:szCs w:val="24"/>
        </w:rPr>
        <w:t xml:space="preserve">s el primero que regula la conocida Ley del Talión, estableciendo el principio de proporcionalidad de la venganza, es decir, la relación entre la agresión y la respuesta. Un principio que ahora parece bárbaro, pero que entonces era una forma eficaz de contención a la venganza sin límite. El Código de </w:t>
      </w:r>
      <w:proofErr w:type="spellStart"/>
      <w:r w:rsidRPr="00892DFA">
        <w:rPr>
          <w:rFonts w:ascii="Arial" w:hAnsi="Arial"/>
          <w:sz w:val="24"/>
          <w:szCs w:val="24"/>
        </w:rPr>
        <w:t>Hammurabi</w:t>
      </w:r>
      <w:proofErr w:type="spellEnd"/>
      <w:r w:rsidRPr="00892DFA">
        <w:rPr>
          <w:rFonts w:ascii="Arial" w:hAnsi="Arial"/>
          <w:sz w:val="24"/>
          <w:szCs w:val="24"/>
        </w:rPr>
        <w:t xml:space="preserve"> no distingue entre derecho civil y derecho penal, simplemente es una sucesión de leyes que enumeran los posibles casos y lo que se debe obrar en consecuencia.</w:t>
      </w: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t xml:space="preserve">Más tarde, la cultura griega supuso un avance substancial, estableciendo el nacimiento de la democracia y un nuevo concepto de la dignidad humana, basado </w:t>
      </w:r>
      <w:r w:rsidRPr="00892DFA">
        <w:rPr>
          <w:rFonts w:ascii="Arial" w:hAnsi="Arial"/>
          <w:sz w:val="24"/>
          <w:szCs w:val="24"/>
        </w:rPr>
        <w:lastRenderedPageBreak/>
        <w:t>en el hombre libre, el ciudadano. De todas formas, en Grecia no todas las personas tenían derecho a la ciudadanía, a la condición de hombres libres: los esclavos estaban excluidos; en el mejor de los casos eran considerados imprescindibles para el mantenimiento del sistema social vigente. Por ejemplo, en la Odisea, podemos leer como Zeus sacó la mitad de la mente a los esclavos. Y Platón, recogiendo el mito homérico, afirmaba en sus leyes que en el esclavo no había nada de sano ni de entero. Aristóteles sencillamente  justificaba la esclavitud como parte necesaria del sistema socioeconómico entonces imperante.</w:t>
      </w: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t>Roma es otro de los grandes referentes de la antigüedad. Su mayor mérito consistió en reunir los logros de las civilizaciones que la habían precedido (griega, egipcia, fenicio-cartaginesa) refundiéndolos y expandiéndolos por la cuenca mediterránea y Europa. Roma fue una gran organizadora, y uno de los ámbitos en el que se manifestó de forma más poderosa está capacidad organizadora fue en el desarrollo de un amplio cuerpo de leyes.</w:t>
      </w: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t>Al mismo tiempo, el pueblo judío, y en especial sus profetas, hacen relevantes declaraciones que exhortan a los poderosos a actuar con justicia, recogidas en los distintos libros del Antiguo Testamento. El texto más difundido del Antiguo Testamento es Los Diez Mandamientos, considerados por el cristianismo como el germen de las modernas declaraciones de derechos humanos.</w:t>
      </w: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t>Mientras alrededor del Mediterráneo se desarrollan las culturas egipcia, mesopotámica, griega y romana (al mismo tiempo que nacen las grandes religiones monoteístas), en la India y la China surgen también grandes pensadores que contribuyen a la transformación de aquellas sociedades. Los más influyentes fueron Buda y Confucio. El primero cuestionó en sus enseñanzas el sistema de castas asociado al hinduismo, mientras que Confucio tuvo una influencia determinante en China. Entre otras cosas Confucio exhortaba el buen gobierno (el ejercicio de la caridad y la justicia), al mismo tiempo que promulgaba el respeto a la jerarquía, aspecto este que facilitó que el confucianismo acabara convirtiéndose en la religión oficial del estado.</w:t>
      </w: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t xml:space="preserve">En los primeros años d.C., se produce otro salto cualitativo con los estoicos y los cristianos, iniciando una nueva etapa en el desarrollo histórico de los derechos </w:t>
      </w:r>
      <w:r w:rsidRPr="00892DFA">
        <w:rPr>
          <w:rFonts w:ascii="Arial" w:hAnsi="Arial"/>
          <w:sz w:val="24"/>
          <w:szCs w:val="24"/>
        </w:rPr>
        <w:lastRenderedPageBreak/>
        <w:t>humanos. Continuando con la tradición griega, se insiste y se profundiza más en la idea de dignidad e igualdad de los seres humanos, rechazando al mismo tiempo la violencia.</w:t>
      </w: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t>A principios del siglo VII</w:t>
      </w:r>
      <w:r w:rsidR="000B14FB">
        <w:rPr>
          <w:rFonts w:ascii="Arial" w:hAnsi="Arial"/>
          <w:sz w:val="24"/>
          <w:szCs w:val="24"/>
        </w:rPr>
        <w:t>,</w:t>
      </w:r>
      <w:r w:rsidRPr="00892DFA">
        <w:rPr>
          <w:rFonts w:ascii="Arial" w:hAnsi="Arial"/>
          <w:sz w:val="24"/>
          <w:szCs w:val="24"/>
        </w:rPr>
        <w:t> Mahoma empieza a divulgar el Islam, lo cual supone un proceso de humanización de las costumbres de las sociedades del Norte de África. Insistió en la igualdad de los seres humanos proclamada por el cristianismo.</w:t>
      </w: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t>En Europa la invasión de los pueblos germánicos y la descomposición del imperio romano dan lugar al nacimiento de distintos reinos. Surge una  nueva organización social, el feudalismo, que llega a su culminación política durante los siglos XI y XII. No es una organización original de este tiempo ni exclusivamente europea: su configuración se da en periodos de decadencia del poder central, por ejemplo durante el Egipto faraónico o el Japón de los siglos XVII y XIX. El feudalismo se caracteriza por la división de la sociedad en tres estamentos desiguales, basados en el linaje (o nacimiento) y el privilegio (ley privada para cada estamento): La Iglesia, representante del poder divino en la tierra; Los nobles, poseedores del poder político y, juntamente con la Iglesia, de la propiedad de la tierra; Los siervos, sin derechos, y que podían ser vendidos o transferidos.</w:t>
      </w: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t>Con la implantación de las monarquías absolutas durante el siglo XV, el feudalismo desaparecerá como régimen político de la Europa Occidental, a pesar de que su dimensión social (convertida en el llamado Antiguo Régimen) llegará hasta la Revolución francesa.</w:t>
      </w: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t>Al disminuir las invasiones se inicia una lenta recuperación. Renacen las ciudades y, a partir del siglo XII toma fuerza una nueva clase social: la burguesía. Sus miembros, al sentirse desvinculados de las sumisiones feudales, inician una larga lucha en pro de los derechos civiles. De esta época de transición es la Carta Magna (1215), favorable a los nobles y burgueses ingleses.</w:t>
      </w: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t xml:space="preserve">A mediados del siglo XV se inicia el Renacimiento en Italia. Inspirado en la antigüedad clásica, recobra la concepción griega del hombre como medida de todas las cosas, y la libertad de pensamiento y de acción se </w:t>
      </w:r>
      <w:proofErr w:type="gramStart"/>
      <w:r w:rsidRPr="00892DFA">
        <w:rPr>
          <w:rFonts w:ascii="Arial" w:hAnsi="Arial"/>
          <w:sz w:val="24"/>
          <w:szCs w:val="24"/>
        </w:rPr>
        <w:t>vuelven</w:t>
      </w:r>
      <w:proofErr w:type="gramEnd"/>
      <w:r w:rsidRPr="00892DFA">
        <w:rPr>
          <w:rFonts w:ascii="Arial" w:hAnsi="Arial"/>
          <w:sz w:val="24"/>
          <w:szCs w:val="24"/>
        </w:rPr>
        <w:t xml:space="preserve"> irrenunciables. El derecho natural abandona la base teológica sobre la que se </w:t>
      </w:r>
      <w:r w:rsidRPr="00892DFA">
        <w:rPr>
          <w:rFonts w:ascii="Arial" w:hAnsi="Arial"/>
          <w:sz w:val="24"/>
          <w:szCs w:val="24"/>
        </w:rPr>
        <w:lastRenderedPageBreak/>
        <w:t>había asentado durante la edad media y adopta una concepción puramente racionalista. Los derechos giran alrededor de la persona individual independiente de la colectividad. Una concepción unilateral y combativa: los derechos enfrentados al poder, desarrollados a través de una lucha entre el Estado y el individuo, o entre éste y la Iglesia.</w:t>
      </w: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t>En 1492 se produce el llamado descubrimiento de América</w:t>
      </w:r>
      <w:r w:rsidR="000B14FB">
        <w:rPr>
          <w:rFonts w:ascii="Arial" w:hAnsi="Arial"/>
          <w:sz w:val="24"/>
          <w:szCs w:val="24"/>
        </w:rPr>
        <w:t>, lo que s</w:t>
      </w:r>
      <w:r w:rsidR="000B14FB" w:rsidRPr="00892DFA">
        <w:rPr>
          <w:rFonts w:ascii="Arial" w:hAnsi="Arial"/>
          <w:sz w:val="24"/>
          <w:szCs w:val="24"/>
        </w:rPr>
        <w:t>obrellevó</w:t>
      </w:r>
      <w:r w:rsidRPr="00892DFA">
        <w:rPr>
          <w:rFonts w:ascii="Arial" w:hAnsi="Arial"/>
          <w:sz w:val="24"/>
          <w:szCs w:val="24"/>
        </w:rPr>
        <w:t xml:space="preserve"> grandes abusos sobre  los indígenas, los cuales acabaron propiciando una reflexión sobre los aspectos más inadmisibles de la colonización. Las Leyes de Indias y la misma Corona Española establecieron normas para proteger a la población indígena.</w:t>
      </w: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t>Pero si la población nativa durante la colonización tuvo sus defensores, los auténticos olvidados fueron los esclavos de origen africano, importados de forma masiva para hacer funcionar las sociedades esclavistas que se pusieron en marcha en las colonias. Paradójicamente, durante el siglo XVI, mientras la servidumbre estaba en proceso de desaparición en Europa, en las colonias renacía la esclavitud, y bajo sus peores formas.</w:t>
      </w: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t>En América del Norte los efectos de la colonización fueron todavía más devastadores, produciéndose un genocidio que afectó a la mayoría de las poblaciones indígenas, al mismo tiempo que se recluía a los pocos supervivientes en reservas.</w:t>
      </w: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t>Durante el siglo XVII, en Inglaterra, se producen tres hechos importantes: La Petición de Derechos (1628), que protegía los derechos personales y patrimoniales;</w:t>
      </w:r>
      <w:r w:rsidR="00A8470C">
        <w:rPr>
          <w:rFonts w:ascii="Arial" w:hAnsi="Arial"/>
          <w:sz w:val="24"/>
          <w:szCs w:val="24"/>
        </w:rPr>
        <w:t xml:space="preserve"> e</w:t>
      </w:r>
      <w:r w:rsidRPr="00892DFA">
        <w:rPr>
          <w:rFonts w:ascii="Arial" w:hAnsi="Arial"/>
          <w:sz w:val="24"/>
          <w:szCs w:val="24"/>
        </w:rPr>
        <w:t xml:space="preserve">l Acta de Habeas Corpus (1679), que prohibía las detenciones sin orden judicial; </w:t>
      </w:r>
      <w:r w:rsidR="00A8470C">
        <w:rPr>
          <w:rFonts w:ascii="Arial" w:hAnsi="Arial"/>
          <w:sz w:val="24"/>
          <w:szCs w:val="24"/>
        </w:rPr>
        <w:t>l</w:t>
      </w:r>
      <w:r w:rsidRPr="00892DFA">
        <w:rPr>
          <w:rFonts w:ascii="Arial" w:hAnsi="Arial"/>
          <w:sz w:val="24"/>
          <w:szCs w:val="24"/>
        </w:rPr>
        <w:t>a Declaración de Derechos (1689), que consagraba los derechos recogidos en los textos anteriores.</w:t>
      </w: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t xml:space="preserve">El inglés John </w:t>
      </w:r>
      <w:proofErr w:type="spellStart"/>
      <w:r w:rsidRPr="00892DFA">
        <w:rPr>
          <w:rFonts w:ascii="Arial" w:hAnsi="Arial"/>
          <w:sz w:val="24"/>
          <w:szCs w:val="24"/>
        </w:rPr>
        <w:t>Locke</w:t>
      </w:r>
      <w:proofErr w:type="spellEnd"/>
      <w:r w:rsidRPr="00892DFA">
        <w:rPr>
          <w:rFonts w:ascii="Arial" w:hAnsi="Arial"/>
          <w:sz w:val="24"/>
          <w:szCs w:val="24"/>
        </w:rPr>
        <w:t xml:space="preserve"> (1632-1704), es una figura capital del siglo </w:t>
      </w:r>
      <w:proofErr w:type="spellStart"/>
      <w:r w:rsidRPr="00892DFA">
        <w:rPr>
          <w:rFonts w:ascii="Arial" w:hAnsi="Arial"/>
          <w:sz w:val="24"/>
          <w:szCs w:val="24"/>
        </w:rPr>
        <w:t>XVII</w:t>
      </w:r>
      <w:r w:rsidR="00A8470C">
        <w:rPr>
          <w:rFonts w:ascii="Arial" w:hAnsi="Arial"/>
          <w:sz w:val="24"/>
          <w:szCs w:val="24"/>
        </w:rPr>
        <w:t>,c</w:t>
      </w:r>
      <w:r w:rsidRPr="00892DFA">
        <w:rPr>
          <w:rFonts w:ascii="Arial" w:hAnsi="Arial"/>
          <w:sz w:val="24"/>
          <w:szCs w:val="24"/>
        </w:rPr>
        <w:t>onsiderado</w:t>
      </w:r>
      <w:proofErr w:type="spellEnd"/>
      <w:r w:rsidRPr="00892DFA">
        <w:rPr>
          <w:rFonts w:ascii="Arial" w:hAnsi="Arial"/>
          <w:sz w:val="24"/>
          <w:szCs w:val="24"/>
        </w:rPr>
        <w:t xml:space="preserve"> el padre del liberalismo moderno, propuso que la soberanía emanaba del pueblo, que el Estado debía proteger los derechos de los ciudadanos  y, anticipándose a </w:t>
      </w:r>
      <w:proofErr w:type="spellStart"/>
      <w:r w:rsidRPr="00892DFA">
        <w:rPr>
          <w:rFonts w:ascii="Arial" w:hAnsi="Arial"/>
          <w:sz w:val="24"/>
          <w:szCs w:val="24"/>
        </w:rPr>
        <w:t>Montesquieu</w:t>
      </w:r>
      <w:proofErr w:type="spellEnd"/>
      <w:r w:rsidRPr="00892DFA">
        <w:rPr>
          <w:rFonts w:ascii="Arial" w:hAnsi="Arial"/>
          <w:sz w:val="24"/>
          <w:szCs w:val="24"/>
        </w:rPr>
        <w:t xml:space="preserve">, que el poder legislativo y el judicial </w:t>
      </w:r>
      <w:r w:rsidR="00A8470C">
        <w:rPr>
          <w:rFonts w:ascii="Arial" w:hAnsi="Arial"/>
          <w:sz w:val="24"/>
          <w:szCs w:val="24"/>
        </w:rPr>
        <w:t xml:space="preserve">debían </w:t>
      </w:r>
      <w:r w:rsidRPr="00892DFA">
        <w:rPr>
          <w:rFonts w:ascii="Arial" w:hAnsi="Arial"/>
          <w:sz w:val="24"/>
          <w:szCs w:val="24"/>
        </w:rPr>
        <w:t>estar separados. Tuvo una gran influencia en la redacción de las grandes declaraciones de derechos humanos de finales del siglo XVIII.</w:t>
      </w: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lastRenderedPageBreak/>
        <w:t>Las primeras grandes declaraciones se produjeron en las colonias inglesas de Norteamérica, impulsadas por sus conflictos con la corona inglesa: en junio de 1776 se proclamó la Declaración de Derechos de Virginia y en julio la Declaración de Independencia de los Estados Unidos. La Declaración de Independencia, redactada por Thomas Jefferson, afirmaba lo siguiente: "Sostenemos como verdaderas evidencias que todos los hombres nacen iguales, que están dotados por su Creador de ciertos derechos inalienables, entre los cuales se encuentra el derecho a la vida, a la libertad y a la búsqueda de la felicidad...".</w:t>
      </w: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t xml:space="preserve">Una década más tarde, de nuevo en Europa, en los tiempos agitados de la Revolución Francesa, en 1789 se proclama en París la Declaración de los Derechos del Hombre y del Ciudadano. A esta declaración, le siguió en 1793 una segunda más radical (con la llegada de </w:t>
      </w:r>
      <w:proofErr w:type="spellStart"/>
      <w:r w:rsidRPr="00892DFA">
        <w:rPr>
          <w:rFonts w:ascii="Arial" w:hAnsi="Arial"/>
          <w:sz w:val="24"/>
          <w:szCs w:val="24"/>
        </w:rPr>
        <w:t>Robespierre</w:t>
      </w:r>
      <w:proofErr w:type="spellEnd"/>
      <w:r w:rsidRPr="00892DFA">
        <w:rPr>
          <w:rFonts w:ascii="Arial" w:hAnsi="Arial"/>
          <w:sz w:val="24"/>
          <w:szCs w:val="24"/>
        </w:rPr>
        <w:t xml:space="preserve"> y los Jacobinos al poder) y una tercera, en 1795, más conservadora (a raíz de la caída de </w:t>
      </w:r>
      <w:proofErr w:type="spellStart"/>
      <w:r w:rsidRPr="00892DFA">
        <w:rPr>
          <w:rFonts w:ascii="Arial" w:hAnsi="Arial"/>
          <w:sz w:val="24"/>
          <w:szCs w:val="24"/>
        </w:rPr>
        <w:t>Robespierre</w:t>
      </w:r>
      <w:proofErr w:type="spellEnd"/>
      <w:r w:rsidRPr="00892DFA">
        <w:rPr>
          <w:rFonts w:ascii="Arial" w:hAnsi="Arial"/>
          <w:sz w:val="24"/>
          <w:szCs w:val="24"/>
        </w:rPr>
        <w:t>).</w:t>
      </w: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t xml:space="preserve">Durante el siglo XVIII fueron fundamentales las ideas de </w:t>
      </w:r>
      <w:proofErr w:type="spellStart"/>
      <w:r w:rsidRPr="00892DFA">
        <w:rPr>
          <w:rFonts w:ascii="Arial" w:hAnsi="Arial"/>
          <w:sz w:val="24"/>
          <w:szCs w:val="24"/>
        </w:rPr>
        <w:t>Montesquieu</w:t>
      </w:r>
      <w:proofErr w:type="spellEnd"/>
      <w:r w:rsidRPr="00892DFA">
        <w:rPr>
          <w:rFonts w:ascii="Arial" w:hAnsi="Arial"/>
          <w:sz w:val="24"/>
          <w:szCs w:val="24"/>
        </w:rPr>
        <w:t xml:space="preserve"> y Rousseau. </w:t>
      </w:r>
      <w:r w:rsidR="002F43F9">
        <w:rPr>
          <w:rFonts w:ascii="Arial" w:hAnsi="Arial"/>
          <w:sz w:val="24"/>
          <w:szCs w:val="24"/>
        </w:rPr>
        <w:t xml:space="preserve"> </w:t>
      </w:r>
      <w:r w:rsidR="00A8470C">
        <w:rPr>
          <w:rFonts w:ascii="Arial" w:hAnsi="Arial"/>
          <w:sz w:val="24"/>
          <w:szCs w:val="24"/>
        </w:rPr>
        <w:t xml:space="preserve">Por su parte, </w:t>
      </w:r>
      <w:proofErr w:type="spellStart"/>
      <w:r w:rsidRPr="00892DFA">
        <w:rPr>
          <w:rFonts w:ascii="Arial" w:hAnsi="Arial"/>
          <w:sz w:val="24"/>
          <w:szCs w:val="24"/>
        </w:rPr>
        <w:t>Montesquieu</w:t>
      </w:r>
      <w:proofErr w:type="spellEnd"/>
      <w:r w:rsidRPr="00892DFA">
        <w:rPr>
          <w:rFonts w:ascii="Arial" w:hAnsi="Arial"/>
          <w:sz w:val="24"/>
          <w:szCs w:val="24"/>
        </w:rPr>
        <w:t> (1689-1755)</w:t>
      </w:r>
      <w:r w:rsidR="00A8470C">
        <w:rPr>
          <w:rFonts w:ascii="Arial" w:hAnsi="Arial"/>
          <w:sz w:val="24"/>
          <w:szCs w:val="24"/>
        </w:rPr>
        <w:t xml:space="preserve"> </w:t>
      </w:r>
      <w:r w:rsidRPr="00892DFA">
        <w:rPr>
          <w:rFonts w:ascii="Arial" w:hAnsi="Arial"/>
          <w:sz w:val="24"/>
          <w:szCs w:val="24"/>
        </w:rPr>
        <w:t>criticó severamente los abusos de la Iglesia y del Estado. Al estudiar las instituciones y costu</w:t>
      </w:r>
      <w:r w:rsidR="00A8470C">
        <w:rPr>
          <w:rFonts w:ascii="Arial" w:hAnsi="Arial"/>
          <w:sz w:val="24"/>
          <w:szCs w:val="24"/>
        </w:rPr>
        <w:t>mbres francesas de la época, dio</w:t>
      </w:r>
      <w:r w:rsidRPr="00892DFA">
        <w:rPr>
          <w:rFonts w:ascii="Arial" w:hAnsi="Arial"/>
          <w:sz w:val="24"/>
          <w:szCs w:val="24"/>
        </w:rPr>
        <w:t xml:space="preserve"> formas precisas a la teoría del gobierno democrático parlamentario con la separación de los tres poderes, legislativo, ejecutivo y judicial, como mecanismo de control recíproco entre los mismos, acabando teóricamente con la concentración del poder en una misma persona y los consecuentes abusos que históricamente había producido el ilimitado poder del monarca. Rousseau (1712-1778), por su parte, denunció vigorosamente las injusticias y miserias resultantes de la desigualdad social de su época, propugnó la idea de una sociedad basada en igualdad absoluta, en la que cada miembro, a la par que se somete a las decisiones del colectivo, es al mismo tiempo parte del pueblo soberano, cuya voluntad general constituye la Ley. Estas ideas de Rousseau favorecieron a la elaboración del concepto de los derechos humanos al plantear la necesidad de la existencia de una igualdad entre los hombres, quienes deben someter su voluntad individual a la voluntad del colectivo, con el objeto de alcanzar el bienestar para todos.</w:t>
      </w: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lastRenderedPageBreak/>
        <w:t>El siglo XVIII fue un siglo de logros importantes y al mismo tiempo de considerables limitaciones. Dos ejemplos: 1) Las declaraciones hablan de los "Derechos de los Hombres" (las mujeres quedaban excluidas). 2) Frecuentemente eran "compatibles" con la esclavitud. En Estados Unidos no se abolió la esclavitud hasta la Guerra de Secesión, en 1865. En España, se abolió en 1814, aunque se permitió que continuara en las colonias (concretamente en Cuba, hasta 1880).</w:t>
      </w: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t>El siglo XIX es un siglo de avances y retrocesos. En conjunto, es un siglo de lenta consolidación de los ideales proclamados en la revolución francesa. El liberalismo y el romanticismo de este siglo tienen un peso específico en el fortalecimiento de la libertad de los individuos, y en que las constituciones nacionales que se van creando la tengan en cuenta. Es también el siglo de la Revolución Industrial, de las reivindicaciones proletarias y de la conquista del reconocimiento del derecho de asociación. Aparecen además nuevas teorías sociales: el socialismo utópico, el socialismo científico (marxismo) y el anarquismo, las cuales tendrán, a principios del siglo siguiente, un gran protagonismo.</w:t>
      </w: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t xml:space="preserve">También es el siglo del inicio de una nueva lucha, la de los derechos sociales. Los movimientos obreros emprenden la defensa de los derechos humanos desde una perspectiva colectiva, de manera más amplia, es el momento en el que los trabajadores exigen sus reivindicaciones. Ya en el siglo XX, </w:t>
      </w:r>
      <w:r w:rsidR="002F43F9" w:rsidRPr="00892DFA">
        <w:rPr>
          <w:rFonts w:ascii="Arial" w:hAnsi="Arial"/>
          <w:sz w:val="24"/>
          <w:szCs w:val="24"/>
        </w:rPr>
        <w:t>las revoluciones mexicanas</w:t>
      </w:r>
      <w:r w:rsidRPr="00892DFA">
        <w:rPr>
          <w:rFonts w:ascii="Arial" w:hAnsi="Arial"/>
          <w:sz w:val="24"/>
          <w:szCs w:val="24"/>
        </w:rPr>
        <w:t xml:space="preserve"> y rusa de 1917 constituyen hechos históricos determinantes para la consagración jurídica de estos derechos colectivos, los derechos económicos y sociales.</w:t>
      </w: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t xml:space="preserve">Durante el siglo XIX, el filósofo, político y economista inglés John Stuart </w:t>
      </w:r>
      <w:proofErr w:type="spellStart"/>
      <w:r w:rsidRPr="00892DFA">
        <w:rPr>
          <w:rFonts w:ascii="Arial" w:hAnsi="Arial"/>
          <w:sz w:val="24"/>
          <w:szCs w:val="24"/>
        </w:rPr>
        <w:t>Mill</w:t>
      </w:r>
      <w:proofErr w:type="spellEnd"/>
      <w:r w:rsidRPr="00892DFA">
        <w:rPr>
          <w:rFonts w:ascii="Arial" w:hAnsi="Arial"/>
          <w:sz w:val="24"/>
          <w:szCs w:val="24"/>
        </w:rPr>
        <w:t> (1806-1873), tuvo una gran influencia. En su libro "Sobre la libertad", reflexionó acerca de la naturaleza y los límites del poder que puede ser legítimamente ejercido por la sociedad sobre el individuo, argumentando que toda persona debería ser libre para realizar las conductas que desee siempre y cuando no dañe a los demás. Fue un defensor de la libertad de expresión y, como miembro del parlamento británico, propuso varias reformas del sistema electoral, especialmente sobre las cuestiones de la representación proporcional y la extensión del sufragio.</w:t>
      </w: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lastRenderedPageBreak/>
        <w:t>Alguien ha dicho que la historia no es más que una sucesión de crímenes. Evidentemente es una definición incompleta, pero aceptando esta limitación, quizás en el siglo que más encaja, es en el siglo XX: dos guerras mundiales, innumerables guerras regionales, guerras civiles, sangrantes revoluciones... y un balance estremecedor de millones de muertos. Toda esta locura ha sido a la vez el catalizador de una reacción en sentido contrario, encaminada a evitar (con resultados diversos) su repetición.</w:t>
      </w:r>
    </w:p>
    <w:p w:rsidR="00892DFA" w:rsidRPr="00892DFA" w:rsidRDefault="00892DFA" w:rsidP="00892DFA">
      <w:pPr>
        <w:pStyle w:val="Encabezado"/>
        <w:spacing w:line="360" w:lineRule="auto"/>
        <w:ind w:firstLine="567"/>
        <w:jc w:val="both"/>
        <w:rPr>
          <w:rFonts w:ascii="Arial" w:hAnsi="Arial"/>
          <w:sz w:val="24"/>
          <w:szCs w:val="24"/>
        </w:rPr>
      </w:pPr>
      <w:r w:rsidRPr="00892DFA">
        <w:rPr>
          <w:rFonts w:ascii="Arial" w:hAnsi="Arial"/>
          <w:sz w:val="24"/>
          <w:szCs w:val="24"/>
        </w:rPr>
        <w:t>A la Primera Guerra Mundial siguió la creación de la Sociedad de Naciones, que aunque no fue capaz de evitar la Segunda Guerra Mundial, sí tuvo el mérito de ser el precedente de una organización supranacional de carácter vinculante. Otros logros de la Sociedad de Naciones fueron la creación del Tribunal Internacional de la Haya, la firma del "Convenio internacional para la supresión de la esclavitud" (firmado en 1926 y completado y ratificado por las Naciones Unidas en 1956) o la creación de la Organización Internacional del Trabajo.</w:t>
      </w:r>
    </w:p>
    <w:p w:rsidR="00892DFA" w:rsidRPr="00892DFA" w:rsidRDefault="00892DFA" w:rsidP="00540570">
      <w:pPr>
        <w:pStyle w:val="Encabezado"/>
        <w:spacing w:line="360" w:lineRule="auto"/>
        <w:ind w:firstLine="567"/>
        <w:jc w:val="both"/>
        <w:rPr>
          <w:rFonts w:ascii="Arial" w:hAnsi="Arial"/>
          <w:sz w:val="24"/>
          <w:szCs w:val="24"/>
        </w:rPr>
      </w:pPr>
      <w:r w:rsidRPr="00892DFA">
        <w:rPr>
          <w:rFonts w:ascii="Arial" w:hAnsi="Arial"/>
          <w:sz w:val="24"/>
          <w:szCs w:val="24"/>
        </w:rPr>
        <w:t xml:space="preserve">A la Segunda Guerra Mundial siguió la creación de las Naciones Unidas. Los horrores de la guerra y los juicios de </w:t>
      </w:r>
      <w:r w:rsidR="002F43F9" w:rsidRPr="00892DFA">
        <w:rPr>
          <w:rFonts w:ascii="Arial" w:hAnsi="Arial"/>
          <w:sz w:val="24"/>
          <w:szCs w:val="24"/>
        </w:rPr>
        <w:t>Núremberg</w:t>
      </w:r>
      <w:r w:rsidRPr="00892DFA">
        <w:rPr>
          <w:rFonts w:ascii="Arial" w:hAnsi="Arial"/>
          <w:sz w:val="24"/>
          <w:szCs w:val="24"/>
        </w:rPr>
        <w:t xml:space="preserve"> y Tokio contra los altos responsables nazis y japoneses, acusados de crímenes de guerra y genocidios, mostraban la necesidad de regular de forma precisa el concepto de derechos humanos y, sobre todo, de establecer claramente cuáles eran. El resultado fue la aprobación, en 1948, de la Declaración Universal de los Derechos Humanos. Con el paso de los años, la Declaración Universal, que como tal no es de carácter vinculante, se ha ido completando con una serie de convenios, convenciones y pactos, estos sí vinculantes, que van desarrollando, y en algunos casos ampliando, los contenidos de la Declaración Universal. El objetivo además es que estos derechos lleguen a formar parte del derecho positivo de todas las naciones, lo que en muchos casos ya ha sucedido (otra cosa es que luego sean respetados).</w:t>
      </w:r>
    </w:p>
    <w:p w:rsidR="00892DFA" w:rsidRPr="00892DFA" w:rsidRDefault="00892DFA" w:rsidP="00540570">
      <w:pPr>
        <w:pStyle w:val="Encabezado"/>
        <w:spacing w:line="360" w:lineRule="auto"/>
        <w:ind w:firstLine="567"/>
        <w:jc w:val="both"/>
        <w:rPr>
          <w:rFonts w:ascii="Arial" w:hAnsi="Arial"/>
          <w:sz w:val="24"/>
          <w:szCs w:val="24"/>
        </w:rPr>
      </w:pPr>
      <w:r w:rsidRPr="00892DFA">
        <w:rPr>
          <w:rFonts w:ascii="Arial" w:hAnsi="Arial"/>
          <w:sz w:val="24"/>
          <w:szCs w:val="24"/>
        </w:rPr>
        <w:t xml:space="preserve">Las normas y principios empezados a promulgar hace siglos de forma fragmentada y difusa en distintos entornos culturales (con una incidencia en general limitada sobre la vida cotidiana de los ciudadanos de las correspondientes épocas históricas), con el paso del tiempo se han ido consolidando y difundiendo: </w:t>
      </w:r>
      <w:r w:rsidRPr="00892DFA">
        <w:rPr>
          <w:rFonts w:ascii="Arial" w:hAnsi="Arial"/>
          <w:sz w:val="24"/>
          <w:szCs w:val="24"/>
        </w:rPr>
        <w:lastRenderedPageBreak/>
        <w:t>por un lado, detallando cada vez con más precisión los distintos derechos y, por otro lado, construyendo sociedades dotadas de los mecanismos necesarios para velar por el respeto efectivo de estos derechos.</w:t>
      </w:r>
    </w:p>
    <w:p w:rsidR="00892DFA" w:rsidRPr="00892DFA" w:rsidRDefault="00892DFA" w:rsidP="00540570">
      <w:pPr>
        <w:pStyle w:val="Encabezado"/>
        <w:spacing w:line="360" w:lineRule="auto"/>
        <w:ind w:firstLine="567"/>
        <w:jc w:val="both"/>
        <w:rPr>
          <w:rFonts w:ascii="Arial" w:hAnsi="Arial"/>
          <w:sz w:val="24"/>
          <w:szCs w:val="24"/>
        </w:rPr>
      </w:pPr>
      <w:r w:rsidRPr="00892DFA">
        <w:rPr>
          <w:rFonts w:ascii="Arial" w:hAnsi="Arial"/>
          <w:sz w:val="24"/>
          <w:szCs w:val="24"/>
        </w:rPr>
        <w:t>La Declaración Universal es la culminación, hasta el momento, de este afán de universalización y concreción de los derechos de las personas.</w:t>
      </w:r>
    </w:p>
    <w:p w:rsidR="00892DFA" w:rsidRPr="00892DFA" w:rsidRDefault="00892DFA" w:rsidP="002F43F9">
      <w:pPr>
        <w:pStyle w:val="Encabezado"/>
        <w:tabs>
          <w:tab w:val="clear" w:pos="4419"/>
          <w:tab w:val="clear" w:pos="8838"/>
        </w:tabs>
        <w:ind w:left="1134"/>
        <w:jc w:val="both"/>
        <w:rPr>
          <w:rFonts w:ascii="Arial" w:hAnsi="Arial"/>
          <w:sz w:val="24"/>
          <w:szCs w:val="24"/>
        </w:rPr>
      </w:pPr>
    </w:p>
    <w:p w:rsidR="003D3D23" w:rsidRPr="00B24A97" w:rsidRDefault="007666AD" w:rsidP="009319DE">
      <w:pPr>
        <w:pStyle w:val="Encabezado"/>
        <w:numPr>
          <w:ilvl w:val="0"/>
          <w:numId w:val="10"/>
        </w:numPr>
        <w:jc w:val="both"/>
        <w:rPr>
          <w:rFonts w:ascii="Arial" w:hAnsi="Arial"/>
          <w:sz w:val="24"/>
          <w:szCs w:val="24"/>
        </w:rPr>
      </w:pPr>
      <w:r w:rsidRPr="00B24A97">
        <w:rPr>
          <w:rFonts w:ascii="Arial" w:hAnsi="Arial"/>
          <w:sz w:val="24"/>
          <w:szCs w:val="24"/>
        </w:rPr>
        <w:t xml:space="preserve">Originalmente, los individuos tenían derechos sólo por pertenecer a un grupo (familia o clase social). </w:t>
      </w:r>
    </w:p>
    <w:p w:rsidR="00B24A97" w:rsidRPr="00B24A97" w:rsidRDefault="00B24A97" w:rsidP="002F43F9">
      <w:pPr>
        <w:pStyle w:val="Encabezado"/>
        <w:ind w:left="1134"/>
        <w:jc w:val="both"/>
        <w:rPr>
          <w:rFonts w:ascii="Arial" w:hAnsi="Arial"/>
          <w:sz w:val="24"/>
          <w:szCs w:val="24"/>
        </w:rPr>
      </w:pPr>
      <w:r w:rsidRPr="00B24A97">
        <w:rPr>
          <w:rFonts w:ascii="Arial" w:hAnsi="Arial"/>
          <w:sz w:val="24"/>
          <w:szCs w:val="24"/>
        </w:rPr>
        <w:tab/>
      </w:r>
    </w:p>
    <w:p w:rsidR="003D3D23" w:rsidRDefault="007666AD" w:rsidP="009319DE">
      <w:pPr>
        <w:pStyle w:val="Encabezado"/>
        <w:numPr>
          <w:ilvl w:val="0"/>
          <w:numId w:val="11"/>
        </w:numPr>
        <w:jc w:val="both"/>
        <w:rPr>
          <w:rFonts w:ascii="Arial" w:hAnsi="Arial"/>
          <w:sz w:val="24"/>
          <w:szCs w:val="24"/>
        </w:rPr>
      </w:pPr>
      <w:r w:rsidRPr="00B24A97">
        <w:rPr>
          <w:rFonts w:ascii="Arial" w:hAnsi="Arial"/>
          <w:sz w:val="24"/>
          <w:szCs w:val="24"/>
        </w:rPr>
        <w:t xml:space="preserve">En 539 a.C., Ciro el Grande, tras conquistar la ciudad de Babilonia, liberó a todos los esclavos y les permitió volver a casa. Aún más, declaró que la gente tenía derecho a escoger su propia religión. </w:t>
      </w:r>
    </w:p>
    <w:p w:rsidR="00A8470C" w:rsidRPr="00B24A97" w:rsidRDefault="00A8470C" w:rsidP="00A8470C">
      <w:pPr>
        <w:pStyle w:val="Encabezado"/>
        <w:ind w:left="720"/>
        <w:jc w:val="both"/>
        <w:rPr>
          <w:rFonts w:ascii="Arial" w:hAnsi="Arial"/>
          <w:sz w:val="24"/>
          <w:szCs w:val="24"/>
        </w:rPr>
      </w:pPr>
    </w:p>
    <w:p w:rsidR="003D3D23" w:rsidRPr="00B24A97" w:rsidRDefault="007666AD" w:rsidP="009319DE">
      <w:pPr>
        <w:pStyle w:val="Encabezado"/>
        <w:numPr>
          <w:ilvl w:val="0"/>
          <w:numId w:val="11"/>
        </w:numPr>
        <w:jc w:val="both"/>
        <w:rPr>
          <w:rFonts w:ascii="Arial" w:hAnsi="Arial"/>
          <w:sz w:val="24"/>
          <w:szCs w:val="24"/>
        </w:rPr>
      </w:pPr>
      <w:r w:rsidRPr="00B24A97">
        <w:rPr>
          <w:rFonts w:ascii="Arial" w:hAnsi="Arial"/>
          <w:sz w:val="24"/>
          <w:szCs w:val="24"/>
        </w:rPr>
        <w:t xml:space="preserve">El cilindro de Ciro, es una tablilla de arcilla con estas proclamaciones inscritas, se considera la primera declaración de derechos humanos en toda la historia. </w:t>
      </w:r>
    </w:p>
    <w:p w:rsidR="00B24A97" w:rsidRPr="00B24A97" w:rsidRDefault="00B24A97" w:rsidP="002F43F9">
      <w:pPr>
        <w:pStyle w:val="Encabezado"/>
        <w:ind w:left="1134"/>
        <w:jc w:val="both"/>
        <w:rPr>
          <w:rFonts w:ascii="Arial" w:hAnsi="Arial"/>
          <w:sz w:val="24"/>
          <w:szCs w:val="24"/>
        </w:rPr>
      </w:pPr>
      <w:r w:rsidRPr="00B24A97">
        <w:rPr>
          <w:rFonts w:ascii="Arial" w:hAnsi="Arial"/>
          <w:sz w:val="24"/>
          <w:szCs w:val="24"/>
        </w:rPr>
        <w:tab/>
      </w:r>
    </w:p>
    <w:p w:rsidR="003D3D23" w:rsidRPr="00B24A97" w:rsidRDefault="007666AD" w:rsidP="009319DE">
      <w:pPr>
        <w:pStyle w:val="Encabezado"/>
        <w:numPr>
          <w:ilvl w:val="0"/>
          <w:numId w:val="12"/>
        </w:numPr>
        <w:jc w:val="both"/>
        <w:rPr>
          <w:rFonts w:ascii="Arial" w:hAnsi="Arial"/>
          <w:sz w:val="24"/>
          <w:szCs w:val="24"/>
        </w:rPr>
      </w:pPr>
      <w:r w:rsidRPr="00B24A97">
        <w:rPr>
          <w:rFonts w:ascii="Arial" w:hAnsi="Arial"/>
          <w:sz w:val="24"/>
          <w:szCs w:val="24"/>
        </w:rPr>
        <w:t>La idea de los derechos humanos se difundió rápidamente hasta India, Grecia y finalmente Roma. Los hitos más importantes incluyeron:</w:t>
      </w:r>
    </w:p>
    <w:p w:rsidR="00B24A97" w:rsidRPr="00B24A97" w:rsidRDefault="00B24A97" w:rsidP="002F43F9">
      <w:pPr>
        <w:pStyle w:val="Encabezado"/>
        <w:ind w:left="1134"/>
        <w:jc w:val="both"/>
        <w:rPr>
          <w:rFonts w:ascii="Arial" w:hAnsi="Arial"/>
          <w:sz w:val="24"/>
          <w:szCs w:val="24"/>
        </w:rPr>
      </w:pPr>
    </w:p>
    <w:p w:rsidR="003D3D23" w:rsidRPr="00B24A97" w:rsidRDefault="007666AD" w:rsidP="009319DE">
      <w:pPr>
        <w:pStyle w:val="Encabezado"/>
        <w:numPr>
          <w:ilvl w:val="1"/>
          <w:numId w:val="13"/>
        </w:numPr>
        <w:jc w:val="both"/>
        <w:rPr>
          <w:rFonts w:ascii="Arial" w:hAnsi="Arial"/>
          <w:sz w:val="24"/>
          <w:szCs w:val="24"/>
        </w:rPr>
      </w:pPr>
      <w:r w:rsidRPr="00B24A97">
        <w:rPr>
          <w:rFonts w:ascii="Arial" w:hAnsi="Arial"/>
          <w:b/>
          <w:bCs/>
          <w:sz w:val="24"/>
          <w:szCs w:val="24"/>
        </w:rPr>
        <w:t>1215:</w:t>
      </w:r>
      <w:r w:rsidR="00A8470C">
        <w:rPr>
          <w:rFonts w:ascii="Arial" w:hAnsi="Arial"/>
          <w:b/>
          <w:bCs/>
          <w:sz w:val="24"/>
          <w:szCs w:val="24"/>
        </w:rPr>
        <w:t xml:space="preserve"> </w:t>
      </w:r>
      <w:r w:rsidRPr="00B24A97">
        <w:rPr>
          <w:rFonts w:ascii="Arial" w:hAnsi="Arial"/>
          <w:b/>
          <w:bCs/>
          <w:sz w:val="24"/>
          <w:szCs w:val="24"/>
        </w:rPr>
        <w:t>Carta Magna</w:t>
      </w:r>
      <w:r w:rsidRPr="00B24A97">
        <w:rPr>
          <w:rFonts w:ascii="Arial" w:hAnsi="Arial"/>
          <w:sz w:val="24"/>
          <w:szCs w:val="24"/>
        </w:rPr>
        <w:t>, dio a la gente nuevos derechos e hizo que el rey estuviera sujeto a la ley.</w:t>
      </w:r>
    </w:p>
    <w:p w:rsidR="003D3D23" w:rsidRPr="00B24A97" w:rsidRDefault="007666AD" w:rsidP="009319DE">
      <w:pPr>
        <w:pStyle w:val="Encabezado"/>
        <w:numPr>
          <w:ilvl w:val="1"/>
          <w:numId w:val="13"/>
        </w:numPr>
        <w:jc w:val="both"/>
        <w:rPr>
          <w:rFonts w:ascii="Arial" w:hAnsi="Arial"/>
          <w:sz w:val="24"/>
          <w:szCs w:val="24"/>
        </w:rPr>
      </w:pPr>
      <w:r w:rsidRPr="00B24A97">
        <w:rPr>
          <w:rFonts w:ascii="Arial" w:hAnsi="Arial"/>
          <w:b/>
          <w:bCs/>
          <w:sz w:val="24"/>
          <w:szCs w:val="24"/>
        </w:rPr>
        <w:t>1628: Petición de Derechos</w:t>
      </w:r>
      <w:r w:rsidRPr="00B24A97">
        <w:rPr>
          <w:rFonts w:ascii="Arial" w:hAnsi="Arial"/>
          <w:sz w:val="24"/>
          <w:szCs w:val="24"/>
        </w:rPr>
        <w:t>,  estableció los derechos de la gente.</w:t>
      </w:r>
    </w:p>
    <w:p w:rsidR="00B24A97" w:rsidRPr="00B24A97" w:rsidRDefault="00B24A97" w:rsidP="002F43F9">
      <w:pPr>
        <w:pStyle w:val="Encabezado"/>
        <w:ind w:left="1134"/>
        <w:jc w:val="both"/>
        <w:rPr>
          <w:rFonts w:ascii="Arial" w:hAnsi="Arial"/>
          <w:sz w:val="24"/>
          <w:szCs w:val="24"/>
        </w:rPr>
      </w:pPr>
      <w:r w:rsidRPr="00B24A97">
        <w:rPr>
          <w:rFonts w:ascii="Arial" w:hAnsi="Arial"/>
          <w:sz w:val="24"/>
          <w:szCs w:val="24"/>
        </w:rPr>
        <w:t xml:space="preserve"> </w:t>
      </w:r>
    </w:p>
    <w:p w:rsidR="003D3D23" w:rsidRPr="00B24A97" w:rsidRDefault="007666AD" w:rsidP="009319DE">
      <w:pPr>
        <w:pStyle w:val="Encabezado"/>
        <w:numPr>
          <w:ilvl w:val="1"/>
          <w:numId w:val="14"/>
        </w:numPr>
        <w:jc w:val="both"/>
        <w:rPr>
          <w:rFonts w:ascii="Arial" w:hAnsi="Arial"/>
          <w:sz w:val="24"/>
          <w:szCs w:val="24"/>
        </w:rPr>
      </w:pPr>
      <w:r w:rsidRPr="00B24A97">
        <w:rPr>
          <w:rFonts w:ascii="Arial" w:hAnsi="Arial"/>
          <w:b/>
          <w:bCs/>
          <w:sz w:val="24"/>
          <w:szCs w:val="24"/>
        </w:rPr>
        <w:t>1776:</w:t>
      </w:r>
      <w:r w:rsidR="00A8470C">
        <w:rPr>
          <w:rFonts w:ascii="Arial" w:hAnsi="Arial"/>
          <w:b/>
          <w:bCs/>
          <w:sz w:val="24"/>
          <w:szCs w:val="24"/>
        </w:rPr>
        <w:t xml:space="preserve"> </w:t>
      </w:r>
      <w:r w:rsidRPr="00B24A97">
        <w:rPr>
          <w:rFonts w:ascii="Arial" w:hAnsi="Arial"/>
          <w:b/>
          <w:bCs/>
          <w:sz w:val="24"/>
          <w:szCs w:val="24"/>
        </w:rPr>
        <w:t xml:space="preserve">Declaración de Independencia de los EE.UU., </w:t>
      </w:r>
      <w:r w:rsidRPr="00B24A97">
        <w:rPr>
          <w:rFonts w:ascii="Arial" w:hAnsi="Arial"/>
          <w:sz w:val="24"/>
          <w:szCs w:val="24"/>
        </w:rPr>
        <w:t>proclamaba el derecho a la vida, libertad y búsqueda de la felicidad.</w:t>
      </w:r>
    </w:p>
    <w:p w:rsidR="003D3D23" w:rsidRPr="00B24A97" w:rsidRDefault="007666AD" w:rsidP="009319DE">
      <w:pPr>
        <w:pStyle w:val="Encabezado"/>
        <w:numPr>
          <w:ilvl w:val="1"/>
          <w:numId w:val="14"/>
        </w:numPr>
        <w:jc w:val="both"/>
        <w:rPr>
          <w:rFonts w:ascii="Arial" w:hAnsi="Arial"/>
          <w:sz w:val="24"/>
          <w:szCs w:val="24"/>
        </w:rPr>
      </w:pPr>
      <w:r w:rsidRPr="00B24A97">
        <w:rPr>
          <w:rFonts w:ascii="Arial" w:hAnsi="Arial"/>
          <w:b/>
          <w:bCs/>
          <w:sz w:val="24"/>
          <w:szCs w:val="24"/>
        </w:rPr>
        <w:t>1789:</w:t>
      </w:r>
      <w:r w:rsidR="00A8470C">
        <w:rPr>
          <w:rFonts w:ascii="Arial" w:hAnsi="Arial"/>
          <w:b/>
          <w:bCs/>
          <w:sz w:val="24"/>
          <w:szCs w:val="24"/>
        </w:rPr>
        <w:t xml:space="preserve"> </w:t>
      </w:r>
      <w:r w:rsidRPr="00B24A97">
        <w:rPr>
          <w:rFonts w:ascii="Arial" w:hAnsi="Arial"/>
          <w:b/>
          <w:bCs/>
          <w:sz w:val="24"/>
          <w:szCs w:val="24"/>
        </w:rPr>
        <w:t xml:space="preserve">Declaración de los Derechos del Hombre y del </w:t>
      </w:r>
      <w:r w:rsidRPr="00B24A97">
        <w:rPr>
          <w:rFonts w:ascii="Arial" w:hAnsi="Arial"/>
          <w:sz w:val="24"/>
          <w:szCs w:val="24"/>
        </w:rPr>
        <w:t>Ciudadano (Francia)</w:t>
      </w:r>
      <w:r w:rsidRPr="00B24A97">
        <w:rPr>
          <w:rFonts w:ascii="Arial" w:hAnsi="Arial"/>
          <w:b/>
          <w:bCs/>
          <w:sz w:val="24"/>
          <w:szCs w:val="24"/>
        </w:rPr>
        <w:t>,</w:t>
      </w:r>
      <w:r w:rsidRPr="00B24A97">
        <w:rPr>
          <w:rFonts w:ascii="Arial" w:hAnsi="Arial"/>
          <w:sz w:val="24"/>
          <w:szCs w:val="24"/>
        </w:rPr>
        <w:t xml:space="preserve">  establecía que todos los ciudadanos son iguales ante la ley.</w:t>
      </w:r>
    </w:p>
    <w:p w:rsidR="003D3D23" w:rsidRPr="00B24A97" w:rsidRDefault="007666AD" w:rsidP="009319DE">
      <w:pPr>
        <w:pStyle w:val="Encabezado"/>
        <w:numPr>
          <w:ilvl w:val="1"/>
          <w:numId w:val="15"/>
        </w:numPr>
        <w:jc w:val="both"/>
        <w:rPr>
          <w:rFonts w:ascii="Arial" w:hAnsi="Arial"/>
          <w:sz w:val="24"/>
          <w:szCs w:val="24"/>
        </w:rPr>
      </w:pPr>
      <w:r w:rsidRPr="00B24A97">
        <w:rPr>
          <w:rFonts w:ascii="Arial" w:hAnsi="Arial"/>
          <w:b/>
          <w:bCs/>
          <w:sz w:val="24"/>
          <w:szCs w:val="24"/>
        </w:rPr>
        <w:t>1948:</w:t>
      </w:r>
      <w:r w:rsidR="00A8470C">
        <w:rPr>
          <w:rFonts w:ascii="Arial" w:hAnsi="Arial"/>
          <w:b/>
          <w:bCs/>
          <w:sz w:val="24"/>
          <w:szCs w:val="24"/>
        </w:rPr>
        <w:t xml:space="preserve"> </w:t>
      </w:r>
      <w:r w:rsidRPr="00B24A97">
        <w:rPr>
          <w:rFonts w:ascii="Arial" w:hAnsi="Arial"/>
          <w:b/>
          <w:bCs/>
          <w:sz w:val="24"/>
          <w:szCs w:val="24"/>
        </w:rPr>
        <w:t>Declaración Universal de Derechos Humanos</w:t>
      </w:r>
      <w:r w:rsidRPr="00B24A97">
        <w:rPr>
          <w:rFonts w:ascii="Arial" w:hAnsi="Arial"/>
          <w:sz w:val="24"/>
          <w:szCs w:val="24"/>
        </w:rPr>
        <w:t>, proclama los 30 derechos a los que todo ser humano tiene derecho.</w:t>
      </w:r>
    </w:p>
    <w:p w:rsidR="00892DFA" w:rsidRPr="00B24A97" w:rsidRDefault="00892DFA" w:rsidP="00892DFA">
      <w:pPr>
        <w:pStyle w:val="Encabezado"/>
        <w:tabs>
          <w:tab w:val="clear" w:pos="4419"/>
          <w:tab w:val="clear" w:pos="8838"/>
        </w:tabs>
        <w:ind w:left="1134"/>
        <w:jc w:val="both"/>
        <w:rPr>
          <w:rFonts w:ascii="Arial" w:hAnsi="Arial"/>
          <w:sz w:val="24"/>
          <w:szCs w:val="24"/>
        </w:rPr>
      </w:pPr>
    </w:p>
    <w:p w:rsidR="00892DFA" w:rsidRDefault="00892DFA" w:rsidP="00A8470C">
      <w:pPr>
        <w:pStyle w:val="Encabezado"/>
        <w:tabs>
          <w:tab w:val="clear" w:pos="4419"/>
          <w:tab w:val="clear" w:pos="8838"/>
        </w:tabs>
        <w:jc w:val="both"/>
        <w:rPr>
          <w:rFonts w:ascii="Arial" w:hAnsi="Arial"/>
          <w:sz w:val="24"/>
          <w:szCs w:val="24"/>
          <w:lang w:val="es-ES_tradnl"/>
        </w:rPr>
      </w:pPr>
    </w:p>
    <w:p w:rsidR="00A8470C" w:rsidRDefault="00A8470C" w:rsidP="00A8470C">
      <w:pPr>
        <w:pStyle w:val="Encabezado"/>
        <w:tabs>
          <w:tab w:val="clear" w:pos="4419"/>
          <w:tab w:val="clear" w:pos="8838"/>
        </w:tabs>
        <w:jc w:val="both"/>
        <w:rPr>
          <w:rFonts w:ascii="Arial" w:hAnsi="Arial"/>
          <w:b/>
          <w:sz w:val="24"/>
          <w:szCs w:val="24"/>
          <w:lang w:val="es-ES_tradnl"/>
        </w:rPr>
      </w:pPr>
      <w:r w:rsidRPr="00A8470C">
        <w:rPr>
          <w:rFonts w:ascii="Arial" w:hAnsi="Arial"/>
          <w:b/>
          <w:sz w:val="24"/>
          <w:szCs w:val="24"/>
          <w:lang w:val="es-ES_tradnl"/>
        </w:rPr>
        <w:t>2.-</w:t>
      </w:r>
      <w:r w:rsidRPr="00A8470C">
        <w:rPr>
          <w:rFonts w:ascii="Arial" w:hAnsi="Arial"/>
          <w:b/>
          <w:sz w:val="24"/>
          <w:szCs w:val="24"/>
          <w:lang w:val="es-ES_tradnl"/>
        </w:rPr>
        <w:tab/>
        <w:t>BASES JURÍDICAS EN LOS DERECHOS HUMANOS</w:t>
      </w:r>
    </w:p>
    <w:p w:rsidR="00A8470C" w:rsidRDefault="00A8470C" w:rsidP="00A8470C">
      <w:pPr>
        <w:pStyle w:val="Encabezado"/>
        <w:tabs>
          <w:tab w:val="clear" w:pos="4419"/>
          <w:tab w:val="clear" w:pos="8838"/>
        </w:tabs>
        <w:jc w:val="both"/>
        <w:rPr>
          <w:rFonts w:ascii="Arial" w:hAnsi="Arial"/>
          <w:b/>
          <w:sz w:val="24"/>
          <w:szCs w:val="24"/>
          <w:lang w:val="es-ES_tradnl"/>
        </w:rPr>
      </w:pPr>
    </w:p>
    <w:p w:rsidR="001E6521" w:rsidRPr="001E6521" w:rsidRDefault="001E6521" w:rsidP="001E6521">
      <w:pPr>
        <w:pStyle w:val="Encabezado"/>
        <w:spacing w:line="360" w:lineRule="auto"/>
        <w:ind w:firstLine="567"/>
        <w:jc w:val="both"/>
        <w:rPr>
          <w:rFonts w:ascii="Arial" w:hAnsi="Arial"/>
          <w:sz w:val="24"/>
          <w:szCs w:val="24"/>
        </w:rPr>
      </w:pPr>
      <w:r w:rsidRPr="001E6521">
        <w:rPr>
          <w:rFonts w:ascii="Arial" w:hAnsi="Arial"/>
          <w:sz w:val="24"/>
          <w:szCs w:val="24"/>
        </w:rPr>
        <w:t xml:space="preserve">Uno de los grandes logros de la Organización de las Naciones Unidas </w:t>
      </w:r>
      <w:r>
        <w:rPr>
          <w:rFonts w:ascii="Arial" w:hAnsi="Arial"/>
          <w:sz w:val="24"/>
          <w:szCs w:val="24"/>
        </w:rPr>
        <w:t xml:space="preserve">(ONU) </w:t>
      </w:r>
      <w:r w:rsidRPr="001E6521">
        <w:rPr>
          <w:rFonts w:ascii="Arial" w:hAnsi="Arial"/>
          <w:sz w:val="24"/>
          <w:szCs w:val="24"/>
        </w:rPr>
        <w:t>ha sido la creación de un amplio sistema de leyes de derechos humanos que, por primera vez en la historia, nos dotan de un código de derechos fundamentales, universales e internacionalmente protegidos al que pueden adherirse todas las naciones y al que los pueblos deben aspirar.</w:t>
      </w:r>
    </w:p>
    <w:p w:rsidR="001E6521" w:rsidRPr="001E6521" w:rsidRDefault="001E6521" w:rsidP="001E6521">
      <w:pPr>
        <w:pStyle w:val="Encabezado"/>
        <w:spacing w:line="360" w:lineRule="auto"/>
        <w:ind w:firstLine="567"/>
        <w:jc w:val="both"/>
        <w:rPr>
          <w:rFonts w:ascii="Arial" w:hAnsi="Arial"/>
          <w:sz w:val="24"/>
          <w:szCs w:val="24"/>
        </w:rPr>
      </w:pPr>
      <w:r w:rsidRPr="001E6521">
        <w:rPr>
          <w:rFonts w:ascii="Arial" w:hAnsi="Arial"/>
          <w:sz w:val="24"/>
          <w:szCs w:val="24"/>
        </w:rPr>
        <w:lastRenderedPageBreak/>
        <w:t>En total, la ONU ha ayudado a negociar más de 80 convenciones y declaraciones de derechos humanos, donde se incluyen los derechos de las mujeres, de los niños, de las personas con discapacidad, de las minorías, de los pueblos indígenas y de otros grupos vulnerables.</w:t>
      </w:r>
    </w:p>
    <w:p w:rsidR="001E6521" w:rsidRPr="001E6521" w:rsidRDefault="001E6521" w:rsidP="001E6521">
      <w:pPr>
        <w:pStyle w:val="Encabezado"/>
        <w:spacing w:line="360" w:lineRule="auto"/>
        <w:ind w:firstLine="567"/>
        <w:jc w:val="both"/>
        <w:rPr>
          <w:rFonts w:ascii="Arial" w:hAnsi="Arial"/>
          <w:sz w:val="24"/>
          <w:szCs w:val="24"/>
        </w:rPr>
      </w:pPr>
      <w:r w:rsidRPr="001E6521">
        <w:rPr>
          <w:rFonts w:ascii="Arial" w:hAnsi="Arial"/>
          <w:sz w:val="24"/>
          <w:szCs w:val="24"/>
        </w:rPr>
        <w:t>Este conjunto de normas está basado en la </w:t>
      </w:r>
      <w:hyperlink r:id="rId7" w:history="1">
        <w:r w:rsidRPr="001E6521">
          <w:rPr>
            <w:rFonts w:ascii="Arial" w:hAnsi="Arial"/>
            <w:sz w:val="24"/>
            <w:szCs w:val="24"/>
          </w:rPr>
          <w:t>Carta de las Naciones Unidas</w:t>
        </w:r>
      </w:hyperlink>
      <w:r w:rsidRPr="001E6521">
        <w:rPr>
          <w:rFonts w:ascii="Arial" w:hAnsi="Arial"/>
          <w:sz w:val="24"/>
          <w:szCs w:val="24"/>
        </w:rPr>
        <w:t> y en la </w:t>
      </w:r>
      <w:hyperlink r:id="rId8" w:history="1">
        <w:r w:rsidRPr="001E6521">
          <w:rPr>
            <w:rFonts w:ascii="Arial" w:hAnsi="Arial"/>
            <w:sz w:val="24"/>
            <w:szCs w:val="24"/>
          </w:rPr>
          <w:t>Declaración Universal de los Derechos Humanos</w:t>
        </w:r>
      </w:hyperlink>
      <w:r w:rsidRPr="001E6521">
        <w:rPr>
          <w:rFonts w:ascii="Arial" w:hAnsi="Arial"/>
          <w:sz w:val="24"/>
          <w:szCs w:val="24"/>
        </w:rPr>
        <w:t>, aprobadas por la Asamblea General en 1948. Los acuerdos mencionados han ayudado a crear una « cultura de derechos humanos » en el mundo entero y son un poderoso instrumento para poner freno a las violaciones de estos derechos.</w:t>
      </w:r>
    </w:p>
    <w:p w:rsidR="001E6521" w:rsidRPr="001E6521" w:rsidRDefault="001E6521" w:rsidP="001E6521">
      <w:pPr>
        <w:pStyle w:val="Encabezado"/>
        <w:spacing w:line="360" w:lineRule="auto"/>
        <w:ind w:firstLine="567"/>
        <w:jc w:val="both"/>
        <w:rPr>
          <w:rFonts w:ascii="Arial" w:hAnsi="Arial"/>
          <w:sz w:val="24"/>
          <w:szCs w:val="24"/>
        </w:rPr>
      </w:pPr>
      <w:r w:rsidRPr="001E6521">
        <w:rPr>
          <w:rFonts w:ascii="Arial" w:hAnsi="Arial"/>
          <w:sz w:val="24"/>
          <w:szCs w:val="24"/>
        </w:rPr>
        <w:t>A diferencia de la Declaración Universal de los Derechos Humanos, las convenciones de las Naciones Unidas </w:t>
      </w:r>
      <w:r w:rsidRPr="001E6521">
        <w:rPr>
          <w:b/>
          <w:bCs/>
          <w:sz w:val="24"/>
          <w:szCs w:val="24"/>
        </w:rPr>
        <w:t>tienen carácter obligatorio </w:t>
      </w:r>
      <w:r w:rsidRPr="001E6521">
        <w:rPr>
          <w:rFonts w:ascii="Arial" w:hAnsi="Arial"/>
          <w:sz w:val="24"/>
          <w:szCs w:val="24"/>
        </w:rPr>
        <w:t>para los Estados Miembros, que deben respetar las normas de derechos humanos establecidas.</w:t>
      </w:r>
    </w:p>
    <w:p w:rsidR="001E6521" w:rsidRPr="001E6521" w:rsidRDefault="001E6521" w:rsidP="001E6521">
      <w:pPr>
        <w:pStyle w:val="Encabezado"/>
        <w:spacing w:line="360" w:lineRule="auto"/>
        <w:ind w:firstLine="567"/>
        <w:jc w:val="both"/>
        <w:rPr>
          <w:rFonts w:ascii="Arial" w:hAnsi="Arial"/>
          <w:sz w:val="24"/>
          <w:szCs w:val="24"/>
        </w:rPr>
      </w:pPr>
      <w:r w:rsidRPr="001E6521">
        <w:rPr>
          <w:rFonts w:ascii="Arial" w:hAnsi="Arial"/>
          <w:sz w:val="24"/>
          <w:szCs w:val="24"/>
        </w:rPr>
        <w:t>Las principales convenciones de las Naciones Unidas sobre derechos humanos establecen comités encargados de supervisar el cumplimiento de sus disposiciones. Además, establecen un procedimiento de </w:t>
      </w:r>
      <w:r w:rsidRPr="001E6521">
        <w:rPr>
          <w:b/>
          <w:bCs/>
          <w:sz w:val="24"/>
          <w:szCs w:val="24"/>
        </w:rPr>
        <w:t>informes de los Estados Partes</w:t>
      </w:r>
      <w:r w:rsidRPr="001E6521">
        <w:rPr>
          <w:rFonts w:ascii="Arial" w:hAnsi="Arial"/>
          <w:sz w:val="24"/>
          <w:szCs w:val="24"/>
        </w:rPr>
        <w:t>.</w:t>
      </w:r>
    </w:p>
    <w:p w:rsidR="001E6521" w:rsidRPr="001E6521" w:rsidRDefault="001E6521" w:rsidP="001E6521">
      <w:pPr>
        <w:pStyle w:val="Encabezado"/>
        <w:spacing w:line="360" w:lineRule="auto"/>
        <w:ind w:firstLine="567"/>
        <w:jc w:val="both"/>
        <w:rPr>
          <w:rFonts w:ascii="Arial" w:hAnsi="Arial"/>
          <w:sz w:val="24"/>
          <w:szCs w:val="24"/>
        </w:rPr>
      </w:pPr>
      <w:r w:rsidRPr="001E6521">
        <w:rPr>
          <w:rFonts w:ascii="Arial" w:hAnsi="Arial"/>
          <w:sz w:val="24"/>
          <w:szCs w:val="24"/>
        </w:rPr>
        <w:t>Los Estados que ratifican las convenciones se comprometen a presentar regularmente informes sobre la aplicación a nivel nacional de estos tratados. Los comités examinan los informes y formulan recomendaciones.</w:t>
      </w:r>
    </w:p>
    <w:p w:rsidR="001E6521" w:rsidRPr="005B73A8" w:rsidRDefault="001E6521" w:rsidP="00A8470C">
      <w:pPr>
        <w:pStyle w:val="NormalWeb"/>
        <w:shd w:val="clear" w:color="auto" w:fill="FFFFFF"/>
        <w:spacing w:before="0" w:beforeAutospacing="0" w:after="136" w:afterAutospacing="0"/>
        <w:rPr>
          <w:rStyle w:val="Textoennegrita"/>
          <w:rFonts w:ascii="Verdana" w:hAnsi="Verdana"/>
          <w:color w:val="000000"/>
        </w:rPr>
      </w:pPr>
    </w:p>
    <w:p w:rsidR="00A8470C" w:rsidRPr="001E6521" w:rsidRDefault="00A8470C" w:rsidP="00795ACA">
      <w:pPr>
        <w:pStyle w:val="NormalWeb"/>
        <w:shd w:val="clear" w:color="auto" w:fill="FFFFFF"/>
        <w:spacing w:before="0" w:beforeAutospacing="0" w:after="136" w:afterAutospacing="0"/>
        <w:ind w:left="426" w:hanging="66"/>
        <w:jc w:val="both"/>
        <w:rPr>
          <w:rFonts w:ascii="Arial" w:hAnsi="Arial" w:cs="Arial"/>
          <w:color w:val="000000"/>
        </w:rPr>
      </w:pPr>
      <w:r w:rsidRPr="001E6521">
        <w:rPr>
          <w:rStyle w:val="Textoennegrita"/>
          <w:rFonts w:ascii="Arial" w:hAnsi="Arial" w:cs="Arial"/>
          <w:color w:val="000000"/>
        </w:rPr>
        <w:t>CONFERENCIA MUNDIAL DE DERECHOS HUMANOS Y ASAMBLEA DEL MILENIO</w:t>
      </w:r>
    </w:p>
    <w:p w:rsidR="00A8470C" w:rsidRPr="001E6521" w:rsidRDefault="00A8470C" w:rsidP="009319DE">
      <w:pPr>
        <w:numPr>
          <w:ilvl w:val="0"/>
          <w:numId w:val="17"/>
        </w:numPr>
        <w:shd w:val="clear" w:color="auto" w:fill="FFFFFF"/>
        <w:spacing w:before="100" w:beforeAutospacing="1" w:after="100" w:afterAutospacing="1" w:line="240" w:lineRule="auto"/>
        <w:rPr>
          <w:rFonts w:ascii="Arial" w:hAnsi="Arial" w:cs="Arial"/>
          <w:color w:val="000000"/>
          <w:sz w:val="24"/>
          <w:szCs w:val="24"/>
        </w:rPr>
      </w:pPr>
      <w:r w:rsidRPr="001E6521">
        <w:rPr>
          <w:rFonts w:ascii="Arial" w:hAnsi="Arial" w:cs="Arial"/>
          <w:color w:val="000000"/>
          <w:sz w:val="24"/>
          <w:szCs w:val="24"/>
        </w:rPr>
        <w:t>Declaración y Programa de Acción de Viena</w:t>
      </w:r>
    </w:p>
    <w:p w:rsidR="00A8470C" w:rsidRPr="001E6521" w:rsidRDefault="00A8470C" w:rsidP="009319DE">
      <w:pPr>
        <w:numPr>
          <w:ilvl w:val="0"/>
          <w:numId w:val="17"/>
        </w:numPr>
        <w:shd w:val="clear" w:color="auto" w:fill="FFFFFF"/>
        <w:spacing w:before="100" w:beforeAutospacing="1" w:after="100" w:afterAutospacing="1" w:line="240" w:lineRule="auto"/>
        <w:rPr>
          <w:rFonts w:ascii="Arial" w:hAnsi="Arial" w:cs="Arial"/>
          <w:color w:val="000000"/>
          <w:sz w:val="24"/>
          <w:szCs w:val="24"/>
        </w:rPr>
      </w:pPr>
      <w:r w:rsidRPr="001E6521">
        <w:rPr>
          <w:rFonts w:ascii="Arial" w:hAnsi="Arial" w:cs="Arial"/>
          <w:color w:val="000000"/>
          <w:sz w:val="24"/>
          <w:szCs w:val="24"/>
        </w:rPr>
        <w:t>Declaración del milenio</w:t>
      </w:r>
    </w:p>
    <w:p w:rsidR="00A8470C" w:rsidRPr="001E6521" w:rsidRDefault="00A8470C" w:rsidP="00A8470C">
      <w:pPr>
        <w:pStyle w:val="NormalWeb"/>
        <w:shd w:val="clear" w:color="auto" w:fill="FFFFFF"/>
        <w:spacing w:before="0" w:beforeAutospacing="0" w:after="136" w:afterAutospacing="0"/>
        <w:ind w:firstLine="360"/>
        <w:rPr>
          <w:rFonts w:ascii="Arial" w:hAnsi="Arial" w:cs="Arial"/>
          <w:color w:val="000000"/>
        </w:rPr>
      </w:pPr>
      <w:r w:rsidRPr="001E6521">
        <w:rPr>
          <w:rStyle w:val="Textoennegrita"/>
          <w:rFonts w:ascii="Arial" w:hAnsi="Arial" w:cs="Arial"/>
          <w:color w:val="000000"/>
        </w:rPr>
        <w:t>DERECHO DE LIBRE DETERMINACIÓN</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Declaración sobre la concesión de la independencia a los países y pueblos coloniales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Resolución 1803 (XVII) de la Asamblea General, de 14 de diciembre de 1962, titulada "Soberanía permanente sobre los recursos naturales"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 xml:space="preserve">Convención Internacional contra el reclutamiento, la utilización, la </w:t>
      </w:r>
      <w:r w:rsidR="002A71D2" w:rsidRPr="001E6521">
        <w:rPr>
          <w:rFonts w:ascii="Arial" w:hAnsi="Arial" w:cs="Arial"/>
          <w:color w:val="000000"/>
          <w:sz w:val="24"/>
          <w:szCs w:val="24"/>
        </w:rPr>
        <w:t>financiación</w:t>
      </w:r>
      <w:r w:rsidRPr="001E6521">
        <w:rPr>
          <w:rFonts w:ascii="Arial" w:hAnsi="Arial" w:cs="Arial"/>
          <w:color w:val="000000"/>
          <w:sz w:val="24"/>
          <w:szCs w:val="24"/>
        </w:rPr>
        <w:t>, y el entrenamiento de los mercenarios</w:t>
      </w:r>
    </w:p>
    <w:p w:rsidR="00A8470C" w:rsidRPr="001E6521" w:rsidRDefault="00A8470C" w:rsidP="00A8470C">
      <w:pPr>
        <w:pStyle w:val="NormalWeb"/>
        <w:shd w:val="clear" w:color="auto" w:fill="FFFFFF"/>
        <w:spacing w:before="0" w:beforeAutospacing="0" w:after="136" w:afterAutospacing="0"/>
        <w:ind w:firstLine="360"/>
        <w:rPr>
          <w:rFonts w:ascii="Arial" w:hAnsi="Arial" w:cs="Arial"/>
          <w:color w:val="000000"/>
        </w:rPr>
      </w:pPr>
      <w:r w:rsidRPr="001E6521">
        <w:rPr>
          <w:rStyle w:val="Textoennegrita"/>
          <w:rFonts w:ascii="Arial" w:hAnsi="Arial" w:cs="Arial"/>
          <w:color w:val="000000"/>
        </w:rPr>
        <w:lastRenderedPageBreak/>
        <w:t>DERECHOS DE LOS PUEBLOS INDÍGENAS Y DE LAS MINORÍAS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Declaración sobre los Derechos de los Pueblos Indígenas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Convenio sobre pueblos indígenas y tribales, 1989</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Declaración sobre los derechos de las personas pertenecientes a minorías nacionales o étnicas, religiosas y lingüísticas</w:t>
      </w:r>
    </w:p>
    <w:p w:rsidR="00A8470C" w:rsidRPr="001E6521" w:rsidRDefault="00A8470C" w:rsidP="00A8470C">
      <w:pPr>
        <w:pStyle w:val="NormalWeb"/>
        <w:shd w:val="clear" w:color="auto" w:fill="FFFFFF"/>
        <w:spacing w:before="0" w:beforeAutospacing="0" w:after="136" w:afterAutospacing="0"/>
        <w:ind w:firstLine="360"/>
        <w:rPr>
          <w:rFonts w:ascii="Arial" w:hAnsi="Arial" w:cs="Arial"/>
          <w:color w:val="000000"/>
        </w:rPr>
      </w:pPr>
      <w:r w:rsidRPr="001E6521">
        <w:rPr>
          <w:rStyle w:val="Textoennegrita"/>
          <w:rFonts w:ascii="Arial" w:hAnsi="Arial" w:cs="Arial"/>
          <w:color w:val="000000"/>
        </w:rPr>
        <w:t>PREVENCIÓN DE LA DISCRIMINACIÓN</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Convenio sobre igualdad de remuneración</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Convenio relativo a la discriminación en materia de empleo y ocupación</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Convención Internacional sobre la Eliminación de todas las Formas de Discriminación Racial</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Declaración sobre la raza y los prejuicios raciales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Convención relativa a la lucha contra las discriminaciones en la esfera de la enseñanza</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Protocolo para instituir una Comisión de Conciliación y Buenos Oficios facultada para resolver las controversias a que pueda dar lugar la Convención relativa a la lucha contra las discriminaciones en la esfera de la enseñanza</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Declaración sobre la eliminación de todas las formas de intolerancia y discriminación fundadas en la religión o las convicciones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Conferencia Mundial contra el Racismo, 2001 (Declaración y Programa de acción)</w:t>
      </w:r>
    </w:p>
    <w:p w:rsidR="00A8470C" w:rsidRPr="001E6521" w:rsidRDefault="00A8470C" w:rsidP="00A8470C">
      <w:pPr>
        <w:pStyle w:val="NormalWeb"/>
        <w:shd w:val="clear" w:color="auto" w:fill="FFFFFF"/>
        <w:spacing w:before="0" w:beforeAutospacing="0" w:after="136" w:afterAutospacing="0"/>
        <w:ind w:firstLine="360"/>
        <w:rPr>
          <w:rFonts w:ascii="Arial" w:hAnsi="Arial" w:cs="Arial"/>
          <w:color w:val="000000"/>
        </w:rPr>
      </w:pPr>
      <w:r w:rsidRPr="001E6521">
        <w:rPr>
          <w:rStyle w:val="Textoennegrita"/>
          <w:rFonts w:ascii="Arial" w:hAnsi="Arial" w:cs="Arial"/>
          <w:color w:val="000000"/>
        </w:rPr>
        <w:t>DERECHOS DE LA MUJER</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Convención sobre la eliminación de todas las formas de discriminación contra la mujer</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Protocolo Facultativo de la Convención sobre la eliminación de todas las formas de discriminación contra la mujer</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Declaración sobre la protección de la mujer y el niño en estados de emergencia o de conflicto armado</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Declaración sobre la eliminación de la violencia contra la mujer</w:t>
      </w:r>
    </w:p>
    <w:p w:rsidR="00A8470C" w:rsidRPr="001E6521" w:rsidRDefault="00A8470C" w:rsidP="00A8470C">
      <w:pPr>
        <w:pStyle w:val="NormalWeb"/>
        <w:shd w:val="clear" w:color="auto" w:fill="FFFFFF"/>
        <w:spacing w:before="0" w:beforeAutospacing="0" w:after="136" w:afterAutospacing="0"/>
        <w:ind w:firstLine="360"/>
        <w:rPr>
          <w:rFonts w:ascii="Arial" w:hAnsi="Arial" w:cs="Arial"/>
          <w:color w:val="000000"/>
        </w:rPr>
      </w:pPr>
      <w:r w:rsidRPr="001E6521">
        <w:rPr>
          <w:rStyle w:val="Textoennegrita"/>
          <w:rFonts w:ascii="Arial" w:hAnsi="Arial" w:cs="Arial"/>
          <w:color w:val="000000"/>
        </w:rPr>
        <w:t>DERECHOS DEL NIÑO</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Convención sobre los Derechos del Niño</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Protocolo facultativo de la Convención sobre los Derechos del Niño relativo a la venta de niños, la prostitución infantil y la utilización de niños en la pornografía</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Protocolo facultativo de la Convención sobre los Derechos del Niño relativo a la participación de niños en los conflictos armados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Convenio sobre la edad mínima, 1973</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Convenio sobre las peores formas de trabajo infantil, 1999</w:t>
      </w:r>
    </w:p>
    <w:p w:rsidR="00A8470C" w:rsidRPr="001E6521" w:rsidRDefault="00A8470C" w:rsidP="00A8470C">
      <w:pPr>
        <w:pStyle w:val="NormalWeb"/>
        <w:shd w:val="clear" w:color="auto" w:fill="FFFFFF"/>
        <w:spacing w:before="0" w:beforeAutospacing="0" w:after="136" w:afterAutospacing="0"/>
        <w:ind w:firstLine="360"/>
        <w:rPr>
          <w:rFonts w:ascii="Arial" w:hAnsi="Arial" w:cs="Arial"/>
          <w:color w:val="000000"/>
        </w:rPr>
      </w:pPr>
      <w:r w:rsidRPr="001E6521">
        <w:rPr>
          <w:rStyle w:val="Textoennegrita"/>
          <w:rFonts w:ascii="Arial" w:hAnsi="Arial" w:cs="Arial"/>
          <w:color w:val="000000"/>
        </w:rPr>
        <w:lastRenderedPageBreak/>
        <w:t>DERECHOS DE LAS PERSONAS DE EDAD</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Ejecución del Plan de Acción Internacional sobre el Envejecimiento y actividades conexas</w:t>
      </w:r>
    </w:p>
    <w:p w:rsidR="00A8470C" w:rsidRPr="001E6521" w:rsidRDefault="00A8470C" w:rsidP="00A8470C">
      <w:pPr>
        <w:pStyle w:val="NormalWeb"/>
        <w:shd w:val="clear" w:color="auto" w:fill="FFFFFF"/>
        <w:spacing w:before="0" w:beforeAutospacing="0" w:after="136" w:afterAutospacing="0"/>
        <w:ind w:firstLine="360"/>
        <w:rPr>
          <w:rFonts w:ascii="Arial" w:hAnsi="Arial" w:cs="Arial"/>
          <w:color w:val="000000"/>
        </w:rPr>
      </w:pPr>
      <w:r w:rsidRPr="001E6521">
        <w:rPr>
          <w:rStyle w:val="Textoennegrita"/>
          <w:rFonts w:ascii="Arial" w:hAnsi="Arial" w:cs="Arial"/>
          <w:color w:val="000000"/>
        </w:rPr>
        <w:t>DERECHOS DE LOS DESCAPACITADOS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Convención sobre los derechos de las Personas con Discapacidad</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Protocolo facultativo de la Convención sobre los derechos de las personas con discapacidad</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Declaración de los derechos del Retrasado Mental</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Declaración de los Derechos de los Impedidos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La protección de los enfermos mentales y el mejoramiento de la atención de la salud mental</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Normas Uniformes sobre la igualdad de oportunidades para las personas con discapacidad</w:t>
      </w:r>
    </w:p>
    <w:p w:rsidR="00A8470C" w:rsidRPr="001E6521" w:rsidRDefault="00A8470C" w:rsidP="002A71D2">
      <w:pPr>
        <w:pStyle w:val="NormalWeb"/>
        <w:shd w:val="clear" w:color="auto" w:fill="FFFFFF"/>
        <w:spacing w:before="0" w:beforeAutospacing="0" w:after="136" w:afterAutospacing="0"/>
        <w:ind w:left="426"/>
        <w:jc w:val="both"/>
        <w:rPr>
          <w:rFonts w:ascii="Arial" w:hAnsi="Arial" w:cs="Arial"/>
          <w:color w:val="000000"/>
        </w:rPr>
      </w:pPr>
      <w:r w:rsidRPr="001E6521">
        <w:rPr>
          <w:rStyle w:val="Textoennegrita"/>
          <w:rFonts w:ascii="Arial" w:hAnsi="Arial" w:cs="Arial"/>
          <w:color w:val="000000"/>
        </w:rPr>
        <w:t xml:space="preserve">LOS DERECHOS HUMANOS EN LA ADMINISTRACIÓN DE </w:t>
      </w:r>
      <w:r w:rsidR="002A71D2" w:rsidRPr="001E6521">
        <w:rPr>
          <w:rStyle w:val="Textoennegrita"/>
          <w:rFonts w:ascii="Arial" w:hAnsi="Arial" w:cs="Arial"/>
          <w:color w:val="000000"/>
        </w:rPr>
        <w:t>J</w:t>
      </w:r>
      <w:r w:rsidRPr="001E6521">
        <w:rPr>
          <w:rStyle w:val="Textoennegrita"/>
          <w:rFonts w:ascii="Arial" w:hAnsi="Arial" w:cs="Arial"/>
          <w:color w:val="000000"/>
        </w:rPr>
        <w:t>USTICIA</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Reglas Mínimas de las Naciones Unidas para el Tratamiento de los Reclusos (Reglas Nelson Mandela)</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Principios básicos para el tratamiento de los reclusos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Conjunto de Principios para la protección de todas las personas sometidas a cualquier forma de detención o prisión</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Reglas de las Naciones Unidas para la protección de los menores privados de libertad</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Declaración sobre la Protección de Todas las Personas contra la Tortura y Otros Tratos o Penas Crueles, Inhumanos o Degradantes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Convención contra la Tortura y Otros Tratos o Penas Crueles, Inhumanos o Degradantes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Protocolo facultativo de la Convención contra la Tortura y Otros Tratos o Penas Crueles, Inhumanos o Degradantes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hyperlink r:id="rId9" w:history="1">
        <w:r w:rsidRPr="001E6521">
          <w:rPr>
            <w:rFonts w:ascii="Arial" w:hAnsi="Arial" w:cs="Arial"/>
            <w:color w:val="000000"/>
            <w:sz w:val="24"/>
            <w:szCs w:val="24"/>
          </w:rPr>
          <w:t>Principios de ética médica aplicables a la función del personal de salud, especialmente los médicos, en la protección de personas presas y detenidas contra la tortura y otros tratos o penas crueles, inhumanos o degradantes</w:t>
        </w:r>
      </w:hyperlink>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hyperlink r:id="rId10" w:history="1">
        <w:r w:rsidRPr="001E6521">
          <w:rPr>
            <w:rFonts w:ascii="Arial" w:hAnsi="Arial" w:cs="Arial"/>
            <w:color w:val="000000"/>
            <w:sz w:val="24"/>
            <w:szCs w:val="24"/>
          </w:rPr>
          <w:t>Principios relativos a la investigación y documentación eficaces de la tortura y otros tratos o penas crueles, inhumanos o degradantes</w:t>
        </w:r>
      </w:hyperlink>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hyperlink r:id="rId11" w:history="1">
        <w:r w:rsidRPr="001E6521">
          <w:rPr>
            <w:rFonts w:ascii="Arial" w:hAnsi="Arial" w:cs="Arial"/>
            <w:color w:val="000000"/>
            <w:sz w:val="24"/>
            <w:szCs w:val="24"/>
          </w:rPr>
          <w:t>Salvaguardias para garantizar la protección de los derechos de los condenados a la pena de muerte</w:t>
        </w:r>
      </w:hyperlink>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hyperlink r:id="rId12" w:history="1">
        <w:r w:rsidRPr="001E6521">
          <w:rPr>
            <w:rFonts w:ascii="Arial" w:hAnsi="Arial" w:cs="Arial"/>
            <w:color w:val="000000"/>
            <w:sz w:val="24"/>
            <w:szCs w:val="24"/>
          </w:rPr>
          <w:t>Código de conducta para funcionarios encargados de hacer cumplir la ley</w:t>
        </w:r>
      </w:hyperlink>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hyperlink r:id="rId13" w:history="1">
        <w:r w:rsidRPr="001E6521">
          <w:rPr>
            <w:rFonts w:ascii="Arial" w:hAnsi="Arial" w:cs="Arial"/>
            <w:color w:val="000000"/>
            <w:sz w:val="24"/>
            <w:szCs w:val="24"/>
          </w:rPr>
          <w:t>Principios Básicos sobre el Empleo de la Fuerza y de Armas de Fuego por los Funcionarios Encargados de Hacer Cumplir la Ley</w:t>
        </w:r>
      </w:hyperlink>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hyperlink r:id="rId14" w:history="1">
        <w:r w:rsidRPr="001E6521">
          <w:rPr>
            <w:rFonts w:ascii="Arial" w:hAnsi="Arial" w:cs="Arial"/>
            <w:color w:val="000000"/>
            <w:sz w:val="24"/>
            <w:szCs w:val="24"/>
          </w:rPr>
          <w:t>Reglas mínimas de las Naciones Unidas sobre las medidas no privativas de la libertad (Reglas de Tokio)</w:t>
        </w:r>
      </w:hyperlink>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hyperlink r:id="rId15" w:history="1">
        <w:r w:rsidRPr="001E6521">
          <w:rPr>
            <w:rFonts w:ascii="Arial" w:hAnsi="Arial" w:cs="Arial"/>
            <w:color w:val="000000"/>
            <w:sz w:val="24"/>
            <w:szCs w:val="24"/>
          </w:rPr>
          <w:t>Reglas mínimas de las Naciones Unidas para la administración de la justicia de menores (Reglas de Beijing)</w:t>
        </w:r>
      </w:hyperlink>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hyperlink r:id="rId16" w:history="1">
        <w:r w:rsidRPr="001E6521">
          <w:rPr>
            <w:rFonts w:ascii="Arial" w:hAnsi="Arial" w:cs="Arial"/>
            <w:color w:val="000000"/>
            <w:sz w:val="24"/>
            <w:szCs w:val="24"/>
          </w:rPr>
          <w:t>Directrices de las Naciones Unidas para la prevención de la delincuencia juvenil (Directrices de Riad)</w:t>
        </w:r>
      </w:hyperlink>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hyperlink r:id="rId17" w:history="1">
        <w:r w:rsidRPr="001E6521">
          <w:rPr>
            <w:rFonts w:ascii="Arial" w:hAnsi="Arial" w:cs="Arial"/>
            <w:color w:val="000000"/>
            <w:sz w:val="24"/>
            <w:szCs w:val="24"/>
          </w:rPr>
          <w:t>Declaración sobre los principios fundamentales de justicia para las víctimas de delitos y del abuso de poder</w:t>
        </w:r>
      </w:hyperlink>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hyperlink r:id="rId18" w:history="1">
        <w:r w:rsidRPr="001E6521">
          <w:rPr>
            <w:rFonts w:ascii="Arial" w:hAnsi="Arial" w:cs="Arial"/>
            <w:color w:val="000000"/>
            <w:sz w:val="24"/>
            <w:szCs w:val="24"/>
          </w:rPr>
          <w:t>Principios básicos relativos a la independencia de la judicatura</w:t>
        </w:r>
      </w:hyperlink>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hyperlink r:id="rId19" w:history="1">
        <w:r w:rsidRPr="001E6521">
          <w:rPr>
            <w:rFonts w:ascii="Arial" w:hAnsi="Arial" w:cs="Arial"/>
            <w:color w:val="000000"/>
            <w:sz w:val="24"/>
            <w:szCs w:val="24"/>
          </w:rPr>
          <w:t>Principios básicos sobre la función de los abogados</w:t>
        </w:r>
      </w:hyperlink>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hyperlink r:id="rId20" w:history="1">
        <w:r w:rsidRPr="001E6521">
          <w:rPr>
            <w:rFonts w:ascii="Arial" w:hAnsi="Arial" w:cs="Arial"/>
            <w:color w:val="000000"/>
            <w:sz w:val="24"/>
            <w:szCs w:val="24"/>
          </w:rPr>
          <w:t>Directrices sobre la función de los fiscales</w:t>
        </w:r>
      </w:hyperlink>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hyperlink r:id="rId21" w:history="1">
        <w:r w:rsidRPr="001E6521">
          <w:rPr>
            <w:rFonts w:ascii="Arial" w:hAnsi="Arial" w:cs="Arial"/>
            <w:color w:val="000000"/>
            <w:sz w:val="24"/>
            <w:szCs w:val="24"/>
          </w:rPr>
          <w:t>Principios relativos a una eficaz prevención e investigación de las ejecuciones extralegales, arbitrarias o sumarias</w:t>
        </w:r>
      </w:hyperlink>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hyperlink r:id="rId22" w:tgtFrame="_blank" w:history="1">
        <w:r w:rsidRPr="001E6521">
          <w:rPr>
            <w:rFonts w:ascii="Arial" w:hAnsi="Arial" w:cs="Arial"/>
            <w:color w:val="000000"/>
            <w:sz w:val="24"/>
            <w:szCs w:val="24"/>
          </w:rPr>
          <w:t>Declaración sobre la protección de todas las personas contra las desapariciones forzadas</w:t>
        </w:r>
      </w:hyperlink>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hyperlink r:id="rId23" w:history="1">
        <w:r w:rsidRPr="001E6521">
          <w:rPr>
            <w:rFonts w:ascii="Arial" w:hAnsi="Arial" w:cs="Arial"/>
            <w:color w:val="000000"/>
            <w:sz w:val="24"/>
            <w:szCs w:val="24"/>
          </w:rPr>
          <w:t>Principios y directrices básicos sobre el derecho de las víctimas de violaciones manifiestas de las normas internacionales de derechos humanos y de violaciones graves del derecho internacional humanitario a interponer recursos y obtener reparaciones</w:t>
        </w:r>
      </w:hyperlink>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hyperlink r:id="rId24" w:history="1">
        <w:r w:rsidRPr="001E6521">
          <w:rPr>
            <w:rFonts w:ascii="Arial" w:hAnsi="Arial" w:cs="Arial"/>
            <w:color w:val="000000"/>
            <w:sz w:val="24"/>
            <w:szCs w:val="24"/>
          </w:rPr>
          <w:t>Convención Internacional para la protección de todas las personas contra las desapariciones forzadas</w:t>
        </w:r>
      </w:hyperlink>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hyperlink r:id="rId25" w:history="1">
        <w:r w:rsidRPr="001E6521">
          <w:rPr>
            <w:rFonts w:ascii="Arial" w:hAnsi="Arial" w:cs="Arial"/>
            <w:color w:val="000000"/>
            <w:sz w:val="24"/>
            <w:szCs w:val="24"/>
          </w:rPr>
          <w:t>Reglas de las Naciones Unidas para el tratamiento de las reclusas y medidas no privativas de la libertad para las mujeres delincuentes (Reglas de Bangkok)</w:t>
        </w:r>
      </w:hyperlink>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hyperlink r:id="rId26" w:tooltip="Principios actualizado para la protección y la promoción de los derechos humanos mediante la lucha contra la impunidad" w:history="1">
        <w:r w:rsidRPr="001E6521">
          <w:rPr>
            <w:rFonts w:ascii="Arial" w:hAnsi="Arial" w:cs="Arial"/>
            <w:color w:val="000000"/>
            <w:sz w:val="24"/>
            <w:szCs w:val="24"/>
          </w:rPr>
          <w:t>Principios actualizado para la protección y la promoción de los derechos humanos mediante la lucha contra la impunidad</w:t>
        </w:r>
      </w:hyperlink>
    </w:p>
    <w:p w:rsidR="00A8470C" w:rsidRPr="001E6521" w:rsidRDefault="00A8470C" w:rsidP="00A8470C">
      <w:pPr>
        <w:pStyle w:val="NormalWeb"/>
        <w:shd w:val="clear" w:color="auto" w:fill="FFFFFF"/>
        <w:spacing w:before="0" w:beforeAutospacing="0" w:after="136" w:afterAutospacing="0"/>
        <w:ind w:firstLine="360"/>
        <w:rPr>
          <w:rFonts w:ascii="Arial" w:hAnsi="Arial" w:cs="Arial"/>
          <w:color w:val="000000"/>
        </w:rPr>
      </w:pPr>
      <w:r w:rsidRPr="001E6521">
        <w:rPr>
          <w:rStyle w:val="Textoennegrita"/>
          <w:rFonts w:ascii="Arial" w:hAnsi="Arial" w:cs="Arial"/>
          <w:color w:val="000000"/>
        </w:rPr>
        <w:t>BIENESTAR, PROGRESO Y DESARROLLO SOCIAL</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Declaración sobre el Progreso y el Desarrollo en lo Social</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Declaración universal sobre la erradicación del hambre y la malnutrición</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Declaración sobre la utilización del progreso científico y tecnológico en interés de la paz y en beneficio de la humanidad</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Declaración sobre el Derecho de los Pueblos a la Paz</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Declaración sobre el derecho al desarrollo</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Declaración Universal sobre el Genoma Humano y los Derechos Humanos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Declaración universal sobre la diversidad cultural</w:t>
      </w:r>
    </w:p>
    <w:p w:rsidR="00A8470C" w:rsidRPr="001E6521" w:rsidRDefault="00A8470C" w:rsidP="00A8470C">
      <w:pPr>
        <w:pStyle w:val="NormalWeb"/>
        <w:shd w:val="clear" w:color="auto" w:fill="FFFFFF"/>
        <w:spacing w:before="0" w:beforeAutospacing="0" w:after="136" w:afterAutospacing="0"/>
        <w:ind w:firstLine="360"/>
        <w:rPr>
          <w:rFonts w:ascii="Arial" w:hAnsi="Arial" w:cs="Arial"/>
          <w:color w:val="000000"/>
        </w:rPr>
      </w:pPr>
      <w:r w:rsidRPr="001E6521">
        <w:rPr>
          <w:rStyle w:val="Textoennegrita"/>
          <w:rFonts w:ascii="Arial" w:hAnsi="Arial" w:cs="Arial"/>
          <w:color w:val="000000"/>
        </w:rPr>
        <w:t>PROMOCIÓN Y PROTECCIÓN DE LOS DERECHOS HUMANOS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Instituciones nacionales de promoción y protección de los derechos humanos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Declaración sobre el derecho y el deber de los individuos, los grupos y las instituciones de promover y proteger los derechos humanos y las libertades fundamentales universalmente reconocidos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Declaración de las Naciones Unidas sobre educación y formación en materia de derechos humanos</w:t>
      </w:r>
    </w:p>
    <w:p w:rsidR="00A8470C" w:rsidRPr="001E6521" w:rsidRDefault="00A8470C" w:rsidP="00A8470C">
      <w:pPr>
        <w:pStyle w:val="NormalWeb"/>
        <w:shd w:val="clear" w:color="auto" w:fill="FFFFFF"/>
        <w:spacing w:before="0" w:beforeAutospacing="0" w:after="136" w:afterAutospacing="0"/>
        <w:ind w:firstLine="360"/>
        <w:rPr>
          <w:rFonts w:ascii="Arial" w:hAnsi="Arial" w:cs="Arial"/>
          <w:color w:val="000000"/>
        </w:rPr>
      </w:pPr>
      <w:r w:rsidRPr="001E6521">
        <w:rPr>
          <w:rStyle w:val="Textoennegrita"/>
          <w:rFonts w:ascii="Arial" w:hAnsi="Arial" w:cs="Arial"/>
          <w:color w:val="000000"/>
        </w:rPr>
        <w:lastRenderedPageBreak/>
        <w:t>MATRIMONIO</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Convención sobre el consentimiento para el matrimonio, la edad mínima para contraer matrimonio y el registro de los matrimonios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Recomendación sobre el consentimiento para el matrimonio, la edad mínima para contraer matrimonio y el registro de los matrimonios</w:t>
      </w:r>
    </w:p>
    <w:p w:rsidR="00A8470C" w:rsidRPr="001E6521" w:rsidRDefault="00A8470C" w:rsidP="00A8470C">
      <w:pPr>
        <w:pStyle w:val="NormalWeb"/>
        <w:shd w:val="clear" w:color="auto" w:fill="FFFFFF"/>
        <w:spacing w:before="0" w:beforeAutospacing="0" w:after="136" w:afterAutospacing="0"/>
        <w:ind w:firstLine="360"/>
        <w:rPr>
          <w:rFonts w:ascii="Arial" w:hAnsi="Arial" w:cs="Arial"/>
          <w:color w:val="000000"/>
        </w:rPr>
      </w:pPr>
      <w:r w:rsidRPr="001E6521">
        <w:rPr>
          <w:rStyle w:val="Textoennegrita"/>
          <w:rFonts w:ascii="Arial" w:hAnsi="Arial" w:cs="Arial"/>
          <w:color w:val="000000"/>
        </w:rPr>
        <w:t>DERECHO A LA SALUD</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Declaración de compromiso en la lucha contra el VIH/SIDA</w:t>
      </w:r>
    </w:p>
    <w:p w:rsidR="00A8470C" w:rsidRPr="001E6521" w:rsidRDefault="00A8470C" w:rsidP="00A8470C">
      <w:pPr>
        <w:pStyle w:val="NormalWeb"/>
        <w:shd w:val="clear" w:color="auto" w:fill="FFFFFF"/>
        <w:spacing w:before="0" w:beforeAutospacing="0" w:after="136" w:afterAutospacing="0"/>
        <w:ind w:firstLine="360"/>
        <w:rPr>
          <w:rFonts w:ascii="Arial" w:hAnsi="Arial" w:cs="Arial"/>
          <w:color w:val="000000"/>
        </w:rPr>
      </w:pPr>
      <w:r w:rsidRPr="001E6521">
        <w:rPr>
          <w:rStyle w:val="Textoennegrita"/>
          <w:rFonts w:ascii="Arial" w:hAnsi="Arial" w:cs="Arial"/>
          <w:color w:val="000000"/>
        </w:rPr>
        <w:t>EMPLEO</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Convenio sobre la política del empleo, 1964 (N° 122)</w:t>
      </w:r>
    </w:p>
    <w:p w:rsidR="00A8470C" w:rsidRPr="001E6521" w:rsidRDefault="00A8470C" w:rsidP="00A8470C">
      <w:pPr>
        <w:pStyle w:val="NormalWeb"/>
        <w:shd w:val="clear" w:color="auto" w:fill="FFFFFF"/>
        <w:spacing w:before="0" w:beforeAutospacing="0" w:after="136" w:afterAutospacing="0"/>
        <w:ind w:firstLine="360"/>
        <w:rPr>
          <w:rFonts w:ascii="Arial" w:hAnsi="Arial" w:cs="Arial"/>
          <w:color w:val="000000"/>
        </w:rPr>
      </w:pPr>
      <w:r w:rsidRPr="001E6521">
        <w:rPr>
          <w:rStyle w:val="Textoennegrita"/>
          <w:rFonts w:ascii="Arial" w:hAnsi="Arial" w:cs="Arial"/>
          <w:color w:val="000000"/>
        </w:rPr>
        <w:t>LIBERTAD DE ASOCIACION</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Convenio sobre la libertad sindical y la protección del derecho de sindicación, 1948 (N° 87)</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Convenio sobre el derecho de sindicación y de negociación colectiva, 1949 (N° 98)</w:t>
      </w:r>
    </w:p>
    <w:p w:rsidR="00A8470C" w:rsidRPr="001E6521" w:rsidRDefault="00A8470C" w:rsidP="00A8470C">
      <w:pPr>
        <w:pStyle w:val="NormalWeb"/>
        <w:shd w:val="clear" w:color="auto" w:fill="FFFFFF"/>
        <w:spacing w:before="0" w:beforeAutospacing="0" w:after="136" w:afterAutospacing="0"/>
        <w:ind w:left="360"/>
        <w:rPr>
          <w:rFonts w:ascii="Arial" w:hAnsi="Arial" w:cs="Arial"/>
          <w:color w:val="000000"/>
        </w:rPr>
      </w:pPr>
      <w:r w:rsidRPr="001E6521">
        <w:rPr>
          <w:rStyle w:val="Textoennegrita"/>
          <w:rFonts w:ascii="Arial" w:hAnsi="Arial" w:cs="Arial"/>
          <w:color w:val="000000"/>
        </w:rPr>
        <w:t>ESCLAVITUD, SERVIDUMBRE, TRABAJO FORZOSO e INSTITUCIONES y PRÁCTICAS ANÁLOGAS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Convención sobre la Esclavitud</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Protocolo para modificar la Convención sobre la Esclavitud firmada en Ginebra el 25 de septiembre de 1926</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Convención suplementaria sobre la abolición de la esclavitud, la trata de esclavos y las instituciones y prácticas análogas a la esclavitud</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hyperlink r:id="rId27" w:history="1">
        <w:r w:rsidRPr="001E6521">
          <w:rPr>
            <w:rFonts w:ascii="Arial" w:hAnsi="Arial" w:cs="Arial"/>
            <w:color w:val="000000"/>
            <w:sz w:val="24"/>
            <w:szCs w:val="24"/>
          </w:rPr>
          <w:t>Convenio sobre el trabajo forzoso</w:t>
        </w:r>
      </w:hyperlink>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Protocolo de 2014 relativo al Convenio sobre el trabajo forzoso</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Convenio sobre la abolición del trabajo forzoso</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Convenio para la represión de la trata de personas y de la explotación de la prostitución ajena</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Protocolo para prevenir, reprimir y sancionar la trata de personas, especialmente mujeres y niños, que complementa la Convención de las Naciones Unidas contra la Delincuencia Organizada Transnacional</w:t>
      </w:r>
    </w:p>
    <w:p w:rsidR="006333C6" w:rsidRPr="001E6521" w:rsidRDefault="006333C6">
      <w:pPr>
        <w:rPr>
          <w:rStyle w:val="Textoennegrita"/>
          <w:rFonts w:ascii="Arial" w:eastAsia="Times New Roman" w:hAnsi="Arial" w:cs="Arial"/>
          <w:color w:val="000000"/>
          <w:sz w:val="24"/>
          <w:szCs w:val="24"/>
          <w:lang w:eastAsia="es-CL"/>
        </w:rPr>
      </w:pPr>
      <w:r w:rsidRPr="001E6521">
        <w:rPr>
          <w:rStyle w:val="Textoennegrita"/>
          <w:rFonts w:ascii="Arial" w:hAnsi="Arial" w:cs="Arial"/>
          <w:color w:val="000000"/>
          <w:sz w:val="24"/>
          <w:szCs w:val="24"/>
        </w:rPr>
        <w:br w:type="page"/>
      </w:r>
    </w:p>
    <w:p w:rsidR="00A8470C" w:rsidRPr="001E6521" w:rsidRDefault="00A8470C" w:rsidP="00A8470C">
      <w:pPr>
        <w:pStyle w:val="NormalWeb"/>
        <w:shd w:val="clear" w:color="auto" w:fill="FFFFFF"/>
        <w:spacing w:before="0" w:beforeAutospacing="0" w:after="136" w:afterAutospacing="0"/>
        <w:ind w:firstLine="360"/>
        <w:rPr>
          <w:rFonts w:ascii="Arial" w:hAnsi="Arial" w:cs="Arial"/>
          <w:color w:val="000000"/>
        </w:rPr>
      </w:pPr>
      <w:r w:rsidRPr="001E6521">
        <w:rPr>
          <w:rStyle w:val="Textoennegrita"/>
          <w:rFonts w:ascii="Arial" w:hAnsi="Arial" w:cs="Arial"/>
          <w:color w:val="000000"/>
        </w:rPr>
        <w:lastRenderedPageBreak/>
        <w:t>DERECHOS DE LOS TRABAJADORES MIGRATORIOS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Convención internacional sobre la protección de los derechos de todos los trabajadores migratorios y de sus familiares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Convención de las Naciones Unidas contra la Delincuencia Organizada Transnacional</w:t>
      </w:r>
    </w:p>
    <w:p w:rsidR="00A8470C" w:rsidRPr="001E6521" w:rsidRDefault="00A8470C" w:rsidP="00A8470C">
      <w:pPr>
        <w:pStyle w:val="NormalWeb"/>
        <w:shd w:val="clear" w:color="auto" w:fill="FFFFFF"/>
        <w:spacing w:before="0" w:beforeAutospacing="0" w:after="136" w:afterAutospacing="0"/>
        <w:ind w:firstLine="360"/>
        <w:rPr>
          <w:rFonts w:ascii="Arial" w:hAnsi="Arial" w:cs="Arial"/>
          <w:color w:val="000000"/>
        </w:rPr>
      </w:pPr>
      <w:r w:rsidRPr="001E6521">
        <w:rPr>
          <w:rStyle w:val="Textoennegrita"/>
          <w:rFonts w:ascii="Arial" w:hAnsi="Arial" w:cs="Arial"/>
          <w:color w:val="000000"/>
        </w:rPr>
        <w:t>NACIONALIDAD, APATRIDIA, ASILO y REFUGIADOS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 xml:space="preserve">Convención para reducir los casos de </w:t>
      </w:r>
      <w:proofErr w:type="spellStart"/>
      <w:r w:rsidRPr="001E6521">
        <w:rPr>
          <w:rFonts w:ascii="Arial" w:hAnsi="Arial" w:cs="Arial"/>
          <w:color w:val="000000"/>
          <w:sz w:val="24"/>
          <w:szCs w:val="24"/>
        </w:rPr>
        <w:t>apatridia</w:t>
      </w:r>
      <w:proofErr w:type="spellEnd"/>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Convención sobre el Estatuto de los Apátridas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Convención sobre el Estatuto de los Refugiados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Protocolo sobre el Estatuto de los Refugiados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Declaración sobre los derechos humanos de los individuos que no son nacionales del país en que viven</w:t>
      </w:r>
    </w:p>
    <w:p w:rsidR="00A8470C" w:rsidRPr="001E6521" w:rsidRDefault="00A8470C" w:rsidP="00A8470C">
      <w:pPr>
        <w:pStyle w:val="NormalWeb"/>
        <w:shd w:val="clear" w:color="auto" w:fill="FFFFFF"/>
        <w:spacing w:before="0" w:beforeAutospacing="0" w:after="136" w:afterAutospacing="0"/>
        <w:ind w:firstLine="360"/>
        <w:rPr>
          <w:rFonts w:ascii="Arial" w:hAnsi="Arial" w:cs="Arial"/>
          <w:color w:val="000000"/>
        </w:rPr>
      </w:pPr>
      <w:r w:rsidRPr="001E6521">
        <w:rPr>
          <w:rStyle w:val="Textoennegrita"/>
          <w:rFonts w:ascii="Arial" w:hAnsi="Arial" w:cs="Arial"/>
          <w:color w:val="000000"/>
        </w:rPr>
        <w:t>CRÍMENES DE GUERRA y CRÍMENES DE LESA HUMANIDAD, INCLUSO EL GENOCIDIO</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Convención para la Prevención y la Sanción del Delito de Genocidio</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Convención sobre la imprescriptibilidad de los crímenes de guerra y de los crímenes de lesa humanidad</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Principios de cooperación internacional en la identificación, detención, extradición y castigo de los culpables de crímenes de guerra, o de crímenes de lesa humanidad</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Estatuto del Tribunal Internacional para la ex Yugoslavia</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 xml:space="preserve">Estatuto del Tribunal Internacional para </w:t>
      </w:r>
      <w:proofErr w:type="spellStart"/>
      <w:r w:rsidRPr="001E6521">
        <w:rPr>
          <w:rFonts w:ascii="Arial" w:hAnsi="Arial" w:cs="Arial"/>
          <w:color w:val="000000"/>
          <w:sz w:val="24"/>
          <w:szCs w:val="24"/>
        </w:rPr>
        <w:t>Rwanda</w:t>
      </w:r>
      <w:proofErr w:type="spellEnd"/>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Estatuto de Roma de la Corte Penal Internacional</w:t>
      </w:r>
    </w:p>
    <w:p w:rsidR="00A8470C" w:rsidRPr="001E6521" w:rsidRDefault="00A8470C" w:rsidP="00A8470C">
      <w:pPr>
        <w:pStyle w:val="NormalWeb"/>
        <w:shd w:val="clear" w:color="auto" w:fill="FFFFFF"/>
        <w:spacing w:before="0" w:beforeAutospacing="0" w:after="136" w:afterAutospacing="0"/>
        <w:ind w:firstLine="360"/>
        <w:rPr>
          <w:rFonts w:ascii="Arial" w:hAnsi="Arial" w:cs="Arial"/>
          <w:color w:val="000000"/>
        </w:rPr>
      </w:pPr>
      <w:r w:rsidRPr="001E6521">
        <w:rPr>
          <w:rStyle w:val="Textoennegrita"/>
          <w:rFonts w:ascii="Arial" w:hAnsi="Arial" w:cs="Arial"/>
          <w:color w:val="000000"/>
        </w:rPr>
        <w:t>DERECHO HUMANITARIO</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Convenio de Ginebra relativo al trato debido a los prisioneros de guerra</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Convenio de Ginebra relativo a la protección debida a las personas civiles en tiempo de guerra</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Protocolo Adicional a los Convenios de Ginebra del 12 de agosto de 1949 relativo a la Protección de las Víctimas de los Conflictos Armados Internacionales (Protocolo I)</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Protocolo adicional a los Convenios de Ginebra del 12 de agosto de 1949 relativo a la protección de las víctimas de los conflictos armados sin carácter internacional (Protocolo II)</w:t>
      </w:r>
    </w:p>
    <w:p w:rsidR="00A8470C" w:rsidRPr="001E6521" w:rsidRDefault="00A8470C" w:rsidP="00A8470C">
      <w:pPr>
        <w:pStyle w:val="NormalWeb"/>
        <w:shd w:val="clear" w:color="auto" w:fill="FFFFFF"/>
        <w:spacing w:before="0" w:beforeAutospacing="0" w:after="136" w:afterAutospacing="0"/>
        <w:ind w:firstLine="360"/>
        <w:rPr>
          <w:rStyle w:val="Textoennegrita"/>
          <w:rFonts w:ascii="Arial" w:hAnsi="Arial" w:cs="Arial"/>
          <w:caps/>
          <w:color w:val="000000"/>
        </w:rPr>
      </w:pPr>
      <w:proofErr w:type="spellStart"/>
      <w:r w:rsidRPr="001E6521">
        <w:rPr>
          <w:rStyle w:val="Textoennegrita"/>
          <w:rFonts w:ascii="Arial" w:hAnsi="Arial" w:cs="Arial"/>
          <w:caps/>
          <w:color w:val="000000"/>
        </w:rPr>
        <w:t>Also</w:t>
      </w:r>
      <w:proofErr w:type="spellEnd"/>
      <w:r w:rsidRPr="001E6521">
        <w:rPr>
          <w:rStyle w:val="Textoennegrita"/>
          <w:rFonts w:ascii="Arial" w:hAnsi="Arial" w:cs="Arial"/>
          <w:caps/>
          <w:color w:val="000000"/>
        </w:rPr>
        <w:t xml:space="preserve"> </w:t>
      </w:r>
      <w:proofErr w:type="spellStart"/>
      <w:r w:rsidRPr="001E6521">
        <w:rPr>
          <w:rStyle w:val="Textoennegrita"/>
          <w:rFonts w:ascii="Arial" w:hAnsi="Arial" w:cs="Arial"/>
          <w:caps/>
          <w:color w:val="000000"/>
        </w:rPr>
        <w:t>available</w:t>
      </w:r>
      <w:proofErr w:type="spellEnd"/>
      <w:r w:rsidRPr="001E6521">
        <w:rPr>
          <w:rStyle w:val="Textoennegrita"/>
          <w:rFonts w:ascii="Arial" w:hAnsi="Arial" w:cs="Arial"/>
          <w:caps/>
          <w:color w:val="000000"/>
        </w:rPr>
        <w:t>:</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Ratificaciones y Reservas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Estado de las ratificaciones y firmas de los instrumentos de derechos humanos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lastRenderedPageBreak/>
        <w:t>CD Recopilación de instrumentos internacionales - Instrumentos universales</w:t>
      </w:r>
    </w:p>
    <w:p w:rsidR="00A8470C" w:rsidRPr="001E6521" w:rsidRDefault="00A8470C" w:rsidP="009319DE">
      <w:pPr>
        <w:numPr>
          <w:ilvl w:val="0"/>
          <w:numId w:val="17"/>
        </w:numPr>
        <w:shd w:val="clear" w:color="auto" w:fill="FFFFFF"/>
        <w:spacing w:before="100" w:beforeAutospacing="1" w:after="100" w:afterAutospacing="1" w:line="240" w:lineRule="auto"/>
        <w:jc w:val="both"/>
        <w:rPr>
          <w:rFonts w:ascii="Arial" w:hAnsi="Arial" w:cs="Arial"/>
          <w:color w:val="000000"/>
          <w:sz w:val="24"/>
          <w:szCs w:val="24"/>
        </w:rPr>
      </w:pPr>
      <w:r w:rsidRPr="001E6521">
        <w:rPr>
          <w:rFonts w:ascii="Arial" w:hAnsi="Arial" w:cs="Arial"/>
          <w:color w:val="000000"/>
          <w:sz w:val="24"/>
          <w:szCs w:val="24"/>
        </w:rPr>
        <w:t>Convenciones, Declaraciones y Otros Instrumentos contenidos en las Resoluciones de la Asamblea General (1946 en adelante)</w:t>
      </w:r>
    </w:p>
    <w:p w:rsidR="00A8470C" w:rsidRPr="001E6521" w:rsidRDefault="00A8470C" w:rsidP="00A8470C">
      <w:pPr>
        <w:pStyle w:val="Encabezado"/>
        <w:tabs>
          <w:tab w:val="clear" w:pos="4419"/>
          <w:tab w:val="clear" w:pos="8838"/>
        </w:tabs>
        <w:jc w:val="both"/>
        <w:rPr>
          <w:rFonts w:ascii="Arial" w:hAnsi="Arial" w:cs="Arial"/>
          <w:b/>
          <w:sz w:val="24"/>
          <w:szCs w:val="24"/>
        </w:rPr>
      </w:pPr>
    </w:p>
    <w:p w:rsidR="006333C6" w:rsidRDefault="00A274F5" w:rsidP="009319DE">
      <w:pPr>
        <w:pStyle w:val="Encabezado"/>
        <w:numPr>
          <w:ilvl w:val="0"/>
          <w:numId w:val="18"/>
        </w:numPr>
        <w:tabs>
          <w:tab w:val="clear" w:pos="4419"/>
          <w:tab w:val="clear" w:pos="8838"/>
        </w:tabs>
        <w:jc w:val="both"/>
        <w:rPr>
          <w:rFonts w:ascii="Arial" w:hAnsi="Arial"/>
          <w:b/>
          <w:sz w:val="24"/>
          <w:szCs w:val="24"/>
        </w:rPr>
      </w:pPr>
      <w:r>
        <w:rPr>
          <w:rFonts w:ascii="Arial" w:hAnsi="Arial"/>
          <w:b/>
          <w:sz w:val="24"/>
          <w:szCs w:val="24"/>
        </w:rPr>
        <w:t>REGÍMENES JURÍDICOS EN DERECHOS HUMANOS: RÉGIMEN JURÍDICO DE INCLUSIÓN Y NO DISCRIMINACIÓN.</w:t>
      </w:r>
    </w:p>
    <w:p w:rsidR="00A274F5" w:rsidRDefault="00A274F5" w:rsidP="00A274F5">
      <w:pPr>
        <w:pStyle w:val="Encabezado"/>
        <w:tabs>
          <w:tab w:val="clear" w:pos="4419"/>
          <w:tab w:val="clear" w:pos="8838"/>
        </w:tabs>
        <w:ind w:left="465"/>
        <w:jc w:val="both"/>
        <w:rPr>
          <w:rFonts w:ascii="Arial" w:hAnsi="Arial"/>
          <w:b/>
          <w:sz w:val="24"/>
          <w:szCs w:val="24"/>
        </w:rPr>
      </w:pPr>
    </w:p>
    <w:p w:rsidR="009D4648" w:rsidRDefault="009D4648" w:rsidP="00A274F5">
      <w:pPr>
        <w:pStyle w:val="Encabezado"/>
        <w:tabs>
          <w:tab w:val="clear" w:pos="4419"/>
          <w:tab w:val="clear" w:pos="8838"/>
        </w:tabs>
        <w:ind w:left="465"/>
        <w:jc w:val="both"/>
        <w:rPr>
          <w:rFonts w:ascii="Arial" w:hAnsi="Arial"/>
          <w:b/>
          <w:sz w:val="24"/>
          <w:szCs w:val="24"/>
        </w:rPr>
      </w:pPr>
    </w:p>
    <w:p w:rsidR="00A274F5" w:rsidRDefault="00A274F5" w:rsidP="009319DE">
      <w:pPr>
        <w:pStyle w:val="Encabezado"/>
        <w:numPr>
          <w:ilvl w:val="1"/>
          <w:numId w:val="17"/>
        </w:numPr>
        <w:tabs>
          <w:tab w:val="clear" w:pos="4419"/>
          <w:tab w:val="clear" w:pos="8838"/>
        </w:tabs>
        <w:ind w:left="851" w:hanging="425"/>
        <w:jc w:val="both"/>
        <w:rPr>
          <w:rFonts w:ascii="Arial" w:hAnsi="Arial"/>
          <w:b/>
          <w:sz w:val="24"/>
          <w:szCs w:val="24"/>
        </w:rPr>
      </w:pPr>
      <w:r>
        <w:rPr>
          <w:rFonts w:ascii="Arial" w:hAnsi="Arial"/>
          <w:b/>
          <w:sz w:val="24"/>
          <w:szCs w:val="24"/>
        </w:rPr>
        <w:t>Mujeres</w:t>
      </w:r>
    </w:p>
    <w:p w:rsidR="00A274F5" w:rsidRDefault="00A274F5" w:rsidP="00A274F5">
      <w:pPr>
        <w:pStyle w:val="Encabezado"/>
        <w:tabs>
          <w:tab w:val="clear" w:pos="4419"/>
          <w:tab w:val="clear" w:pos="8838"/>
        </w:tabs>
        <w:ind w:left="851"/>
        <w:jc w:val="both"/>
        <w:rPr>
          <w:rFonts w:ascii="Arial" w:hAnsi="Arial"/>
          <w:b/>
          <w:sz w:val="24"/>
          <w:szCs w:val="24"/>
        </w:rPr>
      </w:pPr>
    </w:p>
    <w:p w:rsidR="009D4648" w:rsidRPr="009D4648" w:rsidRDefault="009D4648" w:rsidP="009D4648">
      <w:pPr>
        <w:pStyle w:val="Encabezado"/>
        <w:spacing w:line="360" w:lineRule="auto"/>
        <w:ind w:firstLine="567"/>
        <w:jc w:val="both"/>
        <w:rPr>
          <w:rFonts w:ascii="Arial" w:hAnsi="Arial"/>
          <w:sz w:val="24"/>
          <w:szCs w:val="24"/>
        </w:rPr>
      </w:pPr>
      <w:r w:rsidRPr="009D4648">
        <w:rPr>
          <w:rFonts w:ascii="Arial" w:hAnsi="Arial"/>
          <w:sz w:val="24"/>
          <w:szCs w:val="24"/>
        </w:rPr>
        <w:t>La igualdad de género está en el centro mismo de los derechos humanos y los valores de las Naciones Unidas. Un principio fundamental de la Carta de las Naciones Unidas, aprobada por los dirigentes del mundo en 1945, es “</w:t>
      </w:r>
      <w:hyperlink r:id="rId28" w:history="1">
        <w:r w:rsidRPr="009D4648">
          <w:rPr>
            <w:rFonts w:ascii="Arial" w:hAnsi="Arial"/>
            <w:sz w:val="24"/>
            <w:szCs w:val="24"/>
          </w:rPr>
          <w:t>derechos iguales para hombres y mujeres</w:t>
        </w:r>
      </w:hyperlink>
      <w:r w:rsidRPr="009D4648">
        <w:rPr>
          <w:rFonts w:ascii="Arial" w:hAnsi="Arial"/>
          <w:sz w:val="24"/>
          <w:szCs w:val="24"/>
        </w:rPr>
        <w:t>” y la protección y el fomento de los derechos humanos de las mujeres como responsabilidad de todos los Estados.</w:t>
      </w:r>
    </w:p>
    <w:p w:rsidR="009D4648" w:rsidRPr="009D4648" w:rsidRDefault="009D4648" w:rsidP="009D4648">
      <w:pPr>
        <w:pStyle w:val="Encabezado"/>
        <w:spacing w:line="360" w:lineRule="auto"/>
        <w:ind w:firstLine="567"/>
        <w:jc w:val="both"/>
        <w:rPr>
          <w:rFonts w:ascii="Arial" w:hAnsi="Arial"/>
          <w:sz w:val="24"/>
          <w:szCs w:val="24"/>
        </w:rPr>
      </w:pPr>
      <w:r w:rsidRPr="009D4648">
        <w:rPr>
          <w:rFonts w:ascii="Arial" w:hAnsi="Arial"/>
          <w:sz w:val="24"/>
          <w:szCs w:val="24"/>
        </w:rPr>
        <w:t>Sin embargo, millones de mujeres del mundo entero siguen siendo víctimas de la discriminación:</w:t>
      </w:r>
    </w:p>
    <w:p w:rsidR="009D4648" w:rsidRPr="009D4648" w:rsidRDefault="009D4648" w:rsidP="009319DE">
      <w:pPr>
        <w:numPr>
          <w:ilvl w:val="0"/>
          <w:numId w:val="19"/>
        </w:numPr>
        <w:shd w:val="clear" w:color="auto" w:fill="FFFFFF"/>
        <w:spacing w:before="100" w:beforeAutospacing="1" w:after="100" w:afterAutospacing="1" w:line="360" w:lineRule="auto"/>
        <w:ind w:left="714" w:hanging="357"/>
        <w:jc w:val="both"/>
        <w:rPr>
          <w:rFonts w:ascii="Arial" w:hAnsi="Arial" w:cs="Arial"/>
          <w:color w:val="000000"/>
          <w:sz w:val="24"/>
          <w:szCs w:val="24"/>
        </w:rPr>
      </w:pPr>
      <w:r w:rsidRPr="009D4648">
        <w:rPr>
          <w:rFonts w:ascii="Arial" w:hAnsi="Arial" w:cs="Arial"/>
          <w:color w:val="000000"/>
          <w:sz w:val="24"/>
          <w:szCs w:val="24"/>
        </w:rPr>
        <w:t>Las leyes y las políticas prohíben a las mujeres el acceso a la tierra, la propiedad y la vivienda, en términos de igualdad.</w:t>
      </w:r>
    </w:p>
    <w:p w:rsidR="009D4648" w:rsidRPr="009D4648" w:rsidRDefault="009D4648" w:rsidP="009319DE">
      <w:pPr>
        <w:numPr>
          <w:ilvl w:val="0"/>
          <w:numId w:val="19"/>
        </w:numPr>
        <w:shd w:val="clear" w:color="auto" w:fill="FFFFFF"/>
        <w:spacing w:before="100" w:beforeAutospacing="1" w:after="100" w:afterAutospacing="1" w:line="360" w:lineRule="auto"/>
        <w:ind w:left="714" w:hanging="357"/>
        <w:jc w:val="both"/>
        <w:rPr>
          <w:rFonts w:ascii="Arial" w:hAnsi="Arial" w:cs="Arial"/>
          <w:color w:val="000000"/>
          <w:sz w:val="24"/>
          <w:szCs w:val="24"/>
        </w:rPr>
      </w:pPr>
      <w:r w:rsidRPr="009D4648">
        <w:rPr>
          <w:rFonts w:ascii="Arial" w:hAnsi="Arial" w:cs="Arial"/>
          <w:color w:val="000000"/>
          <w:sz w:val="24"/>
          <w:szCs w:val="24"/>
        </w:rPr>
        <w:t>La discriminación económica y social se traduce en opciones vitales más reducidas y más pobres para las mujeres, lo que las hace más vulnerables a la trata de personas</w:t>
      </w:r>
    </w:p>
    <w:p w:rsidR="009D4648" w:rsidRPr="009D4648" w:rsidRDefault="009D4648" w:rsidP="009319DE">
      <w:pPr>
        <w:numPr>
          <w:ilvl w:val="0"/>
          <w:numId w:val="19"/>
        </w:numPr>
        <w:shd w:val="clear" w:color="auto" w:fill="FFFFFF"/>
        <w:spacing w:before="100" w:beforeAutospacing="1" w:after="100" w:afterAutospacing="1" w:line="360" w:lineRule="auto"/>
        <w:ind w:left="714" w:hanging="357"/>
        <w:jc w:val="both"/>
        <w:rPr>
          <w:rFonts w:ascii="Arial" w:hAnsi="Arial" w:cs="Arial"/>
          <w:color w:val="000000"/>
          <w:sz w:val="24"/>
          <w:szCs w:val="24"/>
        </w:rPr>
      </w:pPr>
      <w:r w:rsidRPr="009D4648">
        <w:rPr>
          <w:rFonts w:ascii="Arial" w:hAnsi="Arial" w:cs="Arial"/>
          <w:color w:val="000000"/>
          <w:sz w:val="24"/>
          <w:szCs w:val="24"/>
        </w:rPr>
        <w:t>La violencia de género afecta por lo menos al 30% de las mujeres del mundo</w:t>
      </w:r>
    </w:p>
    <w:p w:rsidR="009D4648" w:rsidRPr="009D4648" w:rsidRDefault="009D4648" w:rsidP="009319DE">
      <w:pPr>
        <w:numPr>
          <w:ilvl w:val="0"/>
          <w:numId w:val="19"/>
        </w:numPr>
        <w:shd w:val="clear" w:color="auto" w:fill="FFFFFF"/>
        <w:spacing w:before="100" w:beforeAutospacing="1" w:after="100" w:afterAutospacing="1" w:line="360" w:lineRule="auto"/>
        <w:ind w:left="714" w:hanging="357"/>
        <w:jc w:val="both"/>
        <w:rPr>
          <w:rFonts w:ascii="Arial" w:hAnsi="Arial" w:cs="Arial"/>
          <w:color w:val="000000"/>
          <w:sz w:val="24"/>
          <w:szCs w:val="24"/>
        </w:rPr>
      </w:pPr>
      <w:r w:rsidRPr="009D4648">
        <w:rPr>
          <w:rFonts w:ascii="Arial" w:hAnsi="Arial" w:cs="Arial"/>
          <w:color w:val="000000"/>
          <w:sz w:val="24"/>
          <w:szCs w:val="24"/>
        </w:rPr>
        <w:t>A las mujeres se les niegan sus derechos a la salud sexual y reproductiva</w:t>
      </w:r>
    </w:p>
    <w:p w:rsidR="009D4648" w:rsidRPr="009D4648" w:rsidRDefault="009D4648" w:rsidP="009319DE">
      <w:pPr>
        <w:numPr>
          <w:ilvl w:val="0"/>
          <w:numId w:val="19"/>
        </w:numPr>
        <w:shd w:val="clear" w:color="auto" w:fill="FFFFFF"/>
        <w:spacing w:before="100" w:beforeAutospacing="1" w:after="100" w:afterAutospacing="1" w:line="360" w:lineRule="auto"/>
        <w:ind w:left="714" w:hanging="357"/>
        <w:jc w:val="both"/>
        <w:rPr>
          <w:rFonts w:ascii="Arial" w:hAnsi="Arial" w:cs="Arial"/>
          <w:color w:val="000000"/>
          <w:sz w:val="24"/>
          <w:szCs w:val="24"/>
        </w:rPr>
      </w:pPr>
      <w:r w:rsidRPr="009D4648">
        <w:rPr>
          <w:rFonts w:ascii="Arial" w:hAnsi="Arial" w:cs="Arial"/>
          <w:color w:val="000000"/>
          <w:sz w:val="24"/>
          <w:szCs w:val="24"/>
        </w:rPr>
        <w:t>Las defensoras de los derechos humanos son relegadas al ostracismo por sus comunidades, que las consideran una amenaza a la religión, el honor o la cultura</w:t>
      </w:r>
    </w:p>
    <w:p w:rsidR="009D4648" w:rsidRPr="009D4648" w:rsidRDefault="009D4648" w:rsidP="009319DE">
      <w:pPr>
        <w:numPr>
          <w:ilvl w:val="0"/>
          <w:numId w:val="19"/>
        </w:numPr>
        <w:shd w:val="clear" w:color="auto" w:fill="FFFFFF"/>
        <w:spacing w:before="100" w:beforeAutospacing="1" w:after="100" w:afterAutospacing="1" w:line="360" w:lineRule="auto"/>
        <w:ind w:left="714" w:hanging="357"/>
        <w:jc w:val="both"/>
        <w:rPr>
          <w:rFonts w:ascii="Arial" w:hAnsi="Arial" w:cs="Arial"/>
          <w:color w:val="000000"/>
          <w:sz w:val="24"/>
          <w:szCs w:val="24"/>
        </w:rPr>
      </w:pPr>
      <w:r w:rsidRPr="009D4648">
        <w:rPr>
          <w:rFonts w:ascii="Arial" w:hAnsi="Arial" w:cs="Arial"/>
          <w:color w:val="000000"/>
          <w:sz w:val="24"/>
          <w:szCs w:val="24"/>
        </w:rPr>
        <w:t>La función esencial que las mujeres desempeñan en la paz y la seguridad suele pasarse por alto, así como los peligros específicos que afrontan en las situaciones de conflicto</w:t>
      </w:r>
    </w:p>
    <w:p w:rsidR="009D4648" w:rsidRPr="009D4648" w:rsidRDefault="009D4648" w:rsidP="009D4648">
      <w:pPr>
        <w:pStyle w:val="Encabezado"/>
        <w:spacing w:line="360" w:lineRule="auto"/>
        <w:ind w:firstLine="567"/>
        <w:jc w:val="both"/>
        <w:rPr>
          <w:rFonts w:ascii="Arial" w:hAnsi="Arial"/>
          <w:sz w:val="24"/>
          <w:szCs w:val="24"/>
        </w:rPr>
      </w:pPr>
      <w:r w:rsidRPr="009D4648">
        <w:rPr>
          <w:rFonts w:ascii="Arial" w:hAnsi="Arial"/>
          <w:sz w:val="24"/>
          <w:szCs w:val="24"/>
        </w:rPr>
        <w:lastRenderedPageBreak/>
        <w:t>Además, algunos grupos de mujeres se enfrentan a modalidades complejas de discriminación –debidas a factores tales como la edad, la etnia, la discapacidad o la condición socioeconómica— que se añaden a su condición femenina. </w:t>
      </w:r>
    </w:p>
    <w:p w:rsidR="009D4648" w:rsidRPr="009D4648" w:rsidRDefault="009D4648" w:rsidP="009D4648">
      <w:pPr>
        <w:pStyle w:val="Encabezado"/>
        <w:spacing w:line="360" w:lineRule="auto"/>
        <w:ind w:firstLine="567"/>
        <w:jc w:val="both"/>
        <w:rPr>
          <w:rFonts w:ascii="Arial" w:hAnsi="Arial"/>
          <w:sz w:val="24"/>
          <w:szCs w:val="24"/>
        </w:rPr>
      </w:pPr>
      <w:r w:rsidRPr="009D4648">
        <w:rPr>
          <w:rFonts w:ascii="Arial" w:hAnsi="Arial"/>
          <w:sz w:val="24"/>
          <w:szCs w:val="24"/>
        </w:rPr>
        <w:t>Para garantizar de manera eficaz los derechos humanos de las mujeres es preciso, en primer lugar, una comprensión exhaustiva de las estructuras sociales y las relaciones de poder que condicionan no sólo las leyes y las políticas, sino también la economía, la dinámica social y la vida familiar y comunitaria.</w:t>
      </w:r>
    </w:p>
    <w:p w:rsidR="009D4648" w:rsidRDefault="009D4648" w:rsidP="009D4648">
      <w:pPr>
        <w:pStyle w:val="Encabezado"/>
        <w:spacing w:line="360" w:lineRule="auto"/>
        <w:ind w:firstLine="567"/>
        <w:jc w:val="both"/>
        <w:rPr>
          <w:rFonts w:ascii="Arial" w:hAnsi="Arial"/>
          <w:sz w:val="24"/>
          <w:szCs w:val="24"/>
        </w:rPr>
      </w:pPr>
      <w:r w:rsidRPr="009D4648">
        <w:rPr>
          <w:rFonts w:ascii="Arial" w:hAnsi="Arial"/>
          <w:sz w:val="24"/>
          <w:szCs w:val="24"/>
        </w:rPr>
        <w:t>Es preciso desactivar los nocivos </w:t>
      </w:r>
      <w:hyperlink r:id="rId29" w:history="1">
        <w:r w:rsidRPr="009D4648">
          <w:rPr>
            <w:rFonts w:ascii="Arial" w:hAnsi="Arial"/>
            <w:sz w:val="24"/>
            <w:szCs w:val="24"/>
          </w:rPr>
          <w:t>estereotipos de género</w:t>
        </w:r>
      </w:hyperlink>
      <w:r w:rsidRPr="009D4648">
        <w:rPr>
          <w:rFonts w:ascii="Arial" w:hAnsi="Arial"/>
          <w:sz w:val="24"/>
          <w:szCs w:val="24"/>
        </w:rPr>
        <w:t>, de modo que a las mujeres no se les perciba según las pautas de lo que “deberían” hacer sino que se les considere por lo que son: personas singulares, con sus propios deseos y necesidades. </w:t>
      </w:r>
      <w:r w:rsidRPr="009D4648">
        <w:rPr>
          <w:rFonts w:ascii="Arial" w:hAnsi="Arial"/>
          <w:sz w:val="24"/>
          <w:szCs w:val="24"/>
        </w:rPr>
        <w:br/>
      </w:r>
    </w:p>
    <w:p w:rsidR="009D4648" w:rsidRPr="009D4648" w:rsidRDefault="009D4648" w:rsidP="009D4648">
      <w:pPr>
        <w:pStyle w:val="Encabezado"/>
        <w:spacing w:line="360" w:lineRule="auto"/>
        <w:jc w:val="both"/>
        <w:rPr>
          <w:rFonts w:ascii="Arial" w:hAnsi="Arial"/>
          <w:b/>
          <w:sz w:val="24"/>
          <w:szCs w:val="24"/>
        </w:rPr>
      </w:pPr>
      <w:r w:rsidRPr="009D4648">
        <w:rPr>
          <w:rFonts w:ascii="Arial" w:hAnsi="Arial"/>
          <w:b/>
          <w:sz w:val="24"/>
          <w:szCs w:val="24"/>
        </w:rPr>
        <w:t>El marco internacional</w:t>
      </w:r>
    </w:p>
    <w:p w:rsidR="009D4648" w:rsidRPr="009D4648" w:rsidRDefault="009D4648" w:rsidP="009D4648">
      <w:pPr>
        <w:pStyle w:val="Encabezado"/>
        <w:spacing w:line="360" w:lineRule="auto"/>
        <w:ind w:firstLine="567"/>
        <w:jc w:val="both"/>
        <w:rPr>
          <w:rFonts w:ascii="Arial" w:hAnsi="Arial"/>
          <w:sz w:val="24"/>
          <w:szCs w:val="24"/>
        </w:rPr>
      </w:pPr>
      <w:r w:rsidRPr="009D4648">
        <w:rPr>
          <w:rFonts w:ascii="Arial" w:hAnsi="Arial"/>
          <w:sz w:val="24"/>
          <w:szCs w:val="24"/>
        </w:rPr>
        <w:t>La discriminación por motivo de sexo está prohibida en casi todos los tratados de derechos humanos, lo que abarca también el </w:t>
      </w:r>
      <w:hyperlink r:id="rId30" w:history="1">
        <w:r w:rsidRPr="009D4648">
          <w:rPr>
            <w:rFonts w:ascii="Arial" w:hAnsi="Arial"/>
            <w:sz w:val="24"/>
            <w:szCs w:val="24"/>
          </w:rPr>
          <w:t>Pacto Internacional de Derechos Civiles y Políticos</w:t>
        </w:r>
      </w:hyperlink>
      <w:r w:rsidRPr="009D4648">
        <w:rPr>
          <w:rFonts w:ascii="Arial" w:hAnsi="Arial"/>
          <w:sz w:val="24"/>
          <w:szCs w:val="24"/>
        </w:rPr>
        <w:t> y el </w:t>
      </w:r>
      <w:hyperlink r:id="rId31" w:history="1">
        <w:r w:rsidRPr="009D4648">
          <w:rPr>
            <w:rFonts w:ascii="Arial" w:hAnsi="Arial"/>
            <w:sz w:val="24"/>
            <w:szCs w:val="24"/>
          </w:rPr>
          <w:t>Pacto Internacional de Derechos Económicos, Sociales y Culturales</w:t>
        </w:r>
      </w:hyperlink>
      <w:r w:rsidRPr="009D4648">
        <w:rPr>
          <w:rFonts w:ascii="Arial" w:hAnsi="Arial"/>
          <w:sz w:val="24"/>
          <w:szCs w:val="24"/>
        </w:rPr>
        <w:t>, que en virtud del artículo 3, común a ambos, aseguran a los hombres y a las mujeres igual título a gozar de todos los derechos enunciados en esos documentos.</w:t>
      </w:r>
    </w:p>
    <w:p w:rsidR="009D4648" w:rsidRPr="009D4648" w:rsidRDefault="009D4648" w:rsidP="009D4648">
      <w:pPr>
        <w:pStyle w:val="Encabezado"/>
        <w:spacing w:line="360" w:lineRule="auto"/>
        <w:ind w:firstLine="567"/>
        <w:jc w:val="both"/>
        <w:rPr>
          <w:rFonts w:ascii="Arial" w:hAnsi="Arial"/>
          <w:sz w:val="24"/>
          <w:szCs w:val="24"/>
        </w:rPr>
      </w:pPr>
      <w:r w:rsidRPr="009D4648">
        <w:rPr>
          <w:rFonts w:ascii="Arial" w:hAnsi="Arial"/>
          <w:sz w:val="24"/>
          <w:szCs w:val="24"/>
        </w:rPr>
        <w:t>Además, hay tratados y órganos de expertos dedicados específicamente a hacer realidad los derechos humanos de las mujeres:</w:t>
      </w:r>
    </w:p>
    <w:p w:rsidR="001E6521" w:rsidRDefault="001E6521" w:rsidP="009D4648">
      <w:pPr>
        <w:pStyle w:val="Encabezado"/>
        <w:spacing w:line="360" w:lineRule="auto"/>
        <w:jc w:val="both"/>
        <w:rPr>
          <w:rFonts w:ascii="Arial" w:hAnsi="Arial"/>
          <w:sz w:val="24"/>
          <w:szCs w:val="24"/>
        </w:rPr>
      </w:pPr>
    </w:p>
    <w:p w:rsidR="009D4648" w:rsidRPr="009D4648" w:rsidRDefault="009D4648" w:rsidP="009D4648">
      <w:pPr>
        <w:pStyle w:val="Encabezado"/>
        <w:spacing w:line="360" w:lineRule="auto"/>
        <w:jc w:val="both"/>
        <w:rPr>
          <w:rFonts w:ascii="Arial" w:hAnsi="Arial"/>
          <w:sz w:val="24"/>
          <w:szCs w:val="24"/>
        </w:rPr>
      </w:pPr>
      <w:hyperlink r:id="rId32" w:history="1">
        <w:r w:rsidRPr="009D4648">
          <w:rPr>
            <w:rFonts w:ascii="Arial" w:hAnsi="Arial"/>
            <w:b/>
            <w:bCs/>
            <w:sz w:val="24"/>
            <w:szCs w:val="24"/>
          </w:rPr>
          <w:t>La Convención sobre la eliminación de todas las formas de discriminación contra la mujer (CEDAW, por sus siglas en inglés)</w:t>
        </w:r>
      </w:hyperlink>
    </w:p>
    <w:p w:rsidR="009D4648" w:rsidRPr="009D4648" w:rsidRDefault="009D4648" w:rsidP="009D4648">
      <w:pPr>
        <w:pStyle w:val="Encabezado"/>
        <w:spacing w:line="360" w:lineRule="auto"/>
        <w:ind w:firstLine="567"/>
        <w:jc w:val="both"/>
        <w:rPr>
          <w:rFonts w:ascii="Arial" w:hAnsi="Arial"/>
          <w:sz w:val="24"/>
          <w:szCs w:val="24"/>
        </w:rPr>
      </w:pPr>
      <w:r w:rsidRPr="009D4648">
        <w:rPr>
          <w:rFonts w:ascii="Arial" w:hAnsi="Arial"/>
          <w:sz w:val="24"/>
          <w:szCs w:val="24"/>
        </w:rPr>
        <w:t>En esta Convención, que está considerada como la carta internacional de derechos de las mujeres, se define qué es la discriminación contra la mujer y se establece un programa de acción nacional para ponerle fin. La Convención fue aprobada por las Naciones Unidas en 1979 y entró en vigor el 3 de septiembre de 1981.</w:t>
      </w:r>
    </w:p>
    <w:p w:rsidR="001E6521" w:rsidRDefault="001E6521" w:rsidP="009D4648">
      <w:pPr>
        <w:pStyle w:val="NormalWeb"/>
        <w:shd w:val="clear" w:color="auto" w:fill="FFFFFF"/>
        <w:spacing w:before="0" w:beforeAutospacing="0" w:after="136" w:afterAutospacing="0"/>
        <w:jc w:val="both"/>
        <w:rPr>
          <w:rStyle w:val="Textoennegrita"/>
          <w:rFonts w:ascii="Arial" w:hAnsi="Arial" w:cs="Arial"/>
          <w:color w:val="000000" w:themeColor="text1"/>
        </w:rPr>
      </w:pPr>
    </w:p>
    <w:p w:rsidR="001E6521" w:rsidRDefault="001E6521">
      <w:pPr>
        <w:rPr>
          <w:rStyle w:val="Textoennegrita"/>
          <w:rFonts w:ascii="Arial" w:eastAsia="Times New Roman" w:hAnsi="Arial" w:cs="Arial"/>
          <w:color w:val="000000" w:themeColor="text1"/>
          <w:sz w:val="24"/>
          <w:szCs w:val="24"/>
          <w:lang w:eastAsia="es-CL"/>
        </w:rPr>
      </w:pPr>
      <w:r>
        <w:rPr>
          <w:rStyle w:val="Textoennegrita"/>
          <w:rFonts w:ascii="Arial" w:hAnsi="Arial" w:cs="Arial"/>
          <w:color w:val="000000" w:themeColor="text1"/>
        </w:rPr>
        <w:br w:type="page"/>
      </w:r>
    </w:p>
    <w:p w:rsidR="009D4648" w:rsidRPr="009D4648" w:rsidRDefault="009D4648" w:rsidP="009D4648">
      <w:pPr>
        <w:pStyle w:val="NormalWeb"/>
        <w:shd w:val="clear" w:color="auto" w:fill="FFFFFF"/>
        <w:spacing w:before="0" w:beforeAutospacing="0" w:after="136" w:afterAutospacing="0"/>
        <w:jc w:val="both"/>
        <w:rPr>
          <w:rFonts w:ascii="Arial" w:hAnsi="Arial" w:cs="Arial"/>
          <w:color w:val="000000" w:themeColor="text1"/>
        </w:rPr>
      </w:pPr>
      <w:hyperlink r:id="rId33" w:history="1">
        <w:r w:rsidRPr="009D4648">
          <w:rPr>
            <w:rStyle w:val="Hipervnculo"/>
            <w:rFonts w:ascii="Arial" w:hAnsi="Arial" w:cs="Arial"/>
            <w:b/>
            <w:bCs/>
            <w:color w:val="000000" w:themeColor="text1"/>
            <w:u w:val="none"/>
          </w:rPr>
          <w:t>El Comité para la Eliminación de la Discriminación contra la Mujer</w:t>
        </w:r>
      </w:hyperlink>
    </w:p>
    <w:p w:rsidR="009D4648" w:rsidRPr="009D4648" w:rsidRDefault="009D4648" w:rsidP="009D4648">
      <w:pPr>
        <w:pStyle w:val="Encabezado"/>
        <w:spacing w:line="360" w:lineRule="auto"/>
        <w:ind w:firstLine="567"/>
        <w:jc w:val="both"/>
        <w:rPr>
          <w:rFonts w:ascii="Arial" w:hAnsi="Arial"/>
          <w:sz w:val="24"/>
          <w:szCs w:val="24"/>
        </w:rPr>
      </w:pPr>
      <w:r w:rsidRPr="009D4648">
        <w:rPr>
          <w:rFonts w:ascii="Arial" w:hAnsi="Arial"/>
          <w:sz w:val="24"/>
          <w:szCs w:val="24"/>
        </w:rPr>
        <w:t>La supervisión de la Convención está a cargo del Comité para la </w:t>
      </w:r>
      <w:r w:rsidRPr="009D4648">
        <w:rPr>
          <w:rFonts w:ascii="Arial" w:hAnsi="Arial"/>
          <w:sz w:val="24"/>
          <w:szCs w:val="24"/>
        </w:rPr>
        <w:br/>
        <w:t>Eliminación de la Discriminación contra la Mujer, un grupo de 23 expertos independientes en los derechos de las mujeres procedentes de diferentes Estados que han ratificado la Convención. Los países que son partes en la Convención deben presentar cada cuatro años informes detallados sobre el cumplimiento de sus cláusulas. El Comité (un órgano creado en virtud del tratado) examina esos informes y puede también aceptar denuncias sobre violaciones e investigar las situaciones de vulneración grave o sistemática de los derechos de las mujeres.</w:t>
      </w:r>
    </w:p>
    <w:p w:rsidR="009D4648" w:rsidRDefault="009D4648" w:rsidP="009D4648">
      <w:pPr>
        <w:pStyle w:val="NormalWeb"/>
        <w:shd w:val="clear" w:color="auto" w:fill="FFFFFF"/>
        <w:spacing w:before="0" w:beforeAutospacing="0" w:after="136" w:afterAutospacing="0"/>
        <w:rPr>
          <w:rStyle w:val="Textoennegrita"/>
          <w:rFonts w:ascii="Verdana" w:hAnsi="Verdana"/>
          <w:color w:val="000000"/>
          <w:sz w:val="17"/>
          <w:szCs w:val="17"/>
        </w:rPr>
      </w:pPr>
    </w:p>
    <w:p w:rsidR="009D4648" w:rsidRPr="009D4648" w:rsidRDefault="009D4648" w:rsidP="009D4648">
      <w:pPr>
        <w:pStyle w:val="NormalWeb"/>
        <w:shd w:val="clear" w:color="auto" w:fill="FFFFFF"/>
        <w:spacing w:before="0" w:beforeAutospacing="0" w:after="136" w:afterAutospacing="0"/>
        <w:jc w:val="both"/>
        <w:rPr>
          <w:rStyle w:val="Hipervnculo"/>
          <w:b/>
          <w:bCs/>
          <w:color w:val="000000" w:themeColor="text1"/>
          <w:u w:val="none"/>
        </w:rPr>
      </w:pPr>
      <w:hyperlink r:id="rId34" w:history="1">
        <w:r w:rsidRPr="009D4648">
          <w:rPr>
            <w:rStyle w:val="Hipervnculo"/>
            <w:rFonts w:ascii="Arial" w:hAnsi="Arial" w:cs="Arial"/>
            <w:b/>
            <w:bCs/>
            <w:color w:val="000000" w:themeColor="text1"/>
            <w:u w:val="none"/>
          </w:rPr>
          <w:t>El Relator Especial sobre la violencia contra la mujer</w:t>
        </w:r>
      </w:hyperlink>
    </w:p>
    <w:p w:rsidR="009D4648" w:rsidRPr="009D4648" w:rsidRDefault="009D4648" w:rsidP="009D4648">
      <w:pPr>
        <w:pStyle w:val="Encabezado"/>
        <w:spacing w:line="360" w:lineRule="auto"/>
        <w:ind w:firstLine="567"/>
        <w:jc w:val="both"/>
        <w:rPr>
          <w:rFonts w:ascii="Arial" w:hAnsi="Arial"/>
          <w:sz w:val="24"/>
          <w:szCs w:val="24"/>
        </w:rPr>
      </w:pPr>
      <w:r w:rsidRPr="009D4648">
        <w:rPr>
          <w:rFonts w:ascii="Arial" w:hAnsi="Arial"/>
          <w:sz w:val="24"/>
          <w:szCs w:val="24"/>
        </w:rPr>
        <w:t>En 1994 las Naciones Unidas decidieron nombrar a un Relator Especial –un experto independiente- que indagara sobre las causas y consecuencias de la violencia contra las mujeres. El Relator Especial investiga y supervisa la violencia contra las mujeres y recomienda y promueve soluciones para su erradicación.</w:t>
      </w:r>
    </w:p>
    <w:p w:rsidR="009D4648" w:rsidRDefault="009D4648" w:rsidP="009D4648">
      <w:pPr>
        <w:pStyle w:val="NormalWeb"/>
        <w:shd w:val="clear" w:color="auto" w:fill="FFFFFF"/>
        <w:spacing w:before="0" w:beforeAutospacing="0" w:after="136" w:afterAutospacing="0"/>
        <w:jc w:val="both"/>
        <w:rPr>
          <w:rStyle w:val="Hipervnculo"/>
          <w:color w:val="000000" w:themeColor="text1"/>
          <w:u w:val="none"/>
        </w:rPr>
      </w:pPr>
    </w:p>
    <w:p w:rsidR="009D4648" w:rsidRPr="009D4648" w:rsidRDefault="009D4648" w:rsidP="009D4648">
      <w:pPr>
        <w:pStyle w:val="NormalWeb"/>
        <w:shd w:val="clear" w:color="auto" w:fill="FFFFFF"/>
        <w:spacing w:before="0" w:beforeAutospacing="0" w:after="136" w:afterAutospacing="0"/>
        <w:jc w:val="both"/>
        <w:rPr>
          <w:rStyle w:val="Hipervnculo"/>
          <w:b/>
          <w:bCs/>
          <w:color w:val="000000" w:themeColor="text1"/>
          <w:u w:val="none"/>
        </w:rPr>
      </w:pPr>
      <w:hyperlink r:id="rId35" w:history="1">
        <w:r w:rsidRPr="009D4648">
          <w:rPr>
            <w:rStyle w:val="Hipervnculo"/>
            <w:rFonts w:ascii="Arial" w:hAnsi="Arial" w:cs="Arial"/>
            <w:b/>
            <w:bCs/>
            <w:color w:val="000000" w:themeColor="text1"/>
            <w:u w:val="none"/>
          </w:rPr>
          <w:t>El Grupo de Trabajo</w:t>
        </w:r>
      </w:hyperlink>
    </w:p>
    <w:p w:rsidR="009D4648" w:rsidRPr="009D4648" w:rsidRDefault="009D4648" w:rsidP="009D4648">
      <w:pPr>
        <w:pStyle w:val="Encabezado"/>
        <w:spacing w:line="360" w:lineRule="auto"/>
        <w:ind w:firstLine="567"/>
        <w:jc w:val="both"/>
        <w:rPr>
          <w:rFonts w:ascii="Arial" w:hAnsi="Arial"/>
          <w:sz w:val="24"/>
          <w:szCs w:val="24"/>
        </w:rPr>
      </w:pPr>
      <w:r w:rsidRPr="009D4648">
        <w:rPr>
          <w:rFonts w:ascii="Arial" w:hAnsi="Arial"/>
          <w:sz w:val="24"/>
          <w:szCs w:val="24"/>
        </w:rPr>
        <w:t>En 2010 el Consejo de Derechos Humanos creó un Grupo de Trabajo sobre la cuestión de la discriminación contra la mujer en la legislación y en la práctica, a fin de promover la eliminación de las leyes que discriminan directamente a las mujeres y/o tienen un efecto discriminatorio sobre ellas.</w:t>
      </w:r>
    </w:p>
    <w:p w:rsidR="009D4648" w:rsidRDefault="009D4648" w:rsidP="00A274F5">
      <w:pPr>
        <w:pStyle w:val="Encabezado"/>
        <w:tabs>
          <w:tab w:val="clear" w:pos="4419"/>
          <w:tab w:val="clear" w:pos="8838"/>
        </w:tabs>
        <w:ind w:left="851"/>
        <w:jc w:val="both"/>
        <w:rPr>
          <w:rFonts w:ascii="Arial" w:hAnsi="Arial"/>
          <w:b/>
          <w:sz w:val="24"/>
          <w:szCs w:val="24"/>
        </w:rPr>
      </w:pPr>
    </w:p>
    <w:p w:rsidR="009D4648" w:rsidRDefault="009D4648" w:rsidP="00A274F5">
      <w:pPr>
        <w:pStyle w:val="Encabezado"/>
        <w:tabs>
          <w:tab w:val="clear" w:pos="4419"/>
          <w:tab w:val="clear" w:pos="8838"/>
        </w:tabs>
        <w:ind w:left="851"/>
        <w:jc w:val="both"/>
        <w:rPr>
          <w:rFonts w:ascii="Arial" w:hAnsi="Arial"/>
          <w:b/>
          <w:sz w:val="24"/>
          <w:szCs w:val="24"/>
        </w:rPr>
      </w:pPr>
    </w:p>
    <w:p w:rsidR="00A274F5" w:rsidRDefault="00A274F5" w:rsidP="009319DE">
      <w:pPr>
        <w:pStyle w:val="Encabezado"/>
        <w:numPr>
          <w:ilvl w:val="1"/>
          <w:numId w:val="17"/>
        </w:numPr>
        <w:tabs>
          <w:tab w:val="clear" w:pos="4419"/>
          <w:tab w:val="clear" w:pos="8838"/>
        </w:tabs>
        <w:ind w:left="851" w:hanging="425"/>
        <w:jc w:val="both"/>
        <w:rPr>
          <w:rFonts w:ascii="Arial" w:hAnsi="Arial"/>
          <w:b/>
          <w:sz w:val="24"/>
          <w:szCs w:val="24"/>
        </w:rPr>
      </w:pPr>
      <w:r>
        <w:rPr>
          <w:rFonts w:ascii="Arial" w:hAnsi="Arial"/>
          <w:b/>
          <w:sz w:val="24"/>
          <w:szCs w:val="24"/>
        </w:rPr>
        <w:t>Niños</w:t>
      </w:r>
    </w:p>
    <w:p w:rsidR="00A274F5" w:rsidRDefault="00A274F5" w:rsidP="00A274F5">
      <w:pPr>
        <w:pStyle w:val="Prrafodelista"/>
        <w:rPr>
          <w:rFonts w:ascii="Arial" w:hAnsi="Arial"/>
          <w:b/>
          <w:sz w:val="24"/>
          <w:szCs w:val="24"/>
        </w:rPr>
      </w:pPr>
    </w:p>
    <w:p w:rsidR="009D4648" w:rsidRPr="009D4648" w:rsidRDefault="009D4648" w:rsidP="009D4648">
      <w:pPr>
        <w:pStyle w:val="Encabezado"/>
        <w:spacing w:line="360" w:lineRule="auto"/>
        <w:ind w:firstLine="567"/>
        <w:jc w:val="both"/>
        <w:rPr>
          <w:rFonts w:ascii="Arial" w:hAnsi="Arial"/>
          <w:sz w:val="24"/>
          <w:szCs w:val="24"/>
        </w:rPr>
      </w:pPr>
      <w:r w:rsidRPr="009D4648">
        <w:rPr>
          <w:rFonts w:ascii="Arial" w:hAnsi="Arial"/>
          <w:sz w:val="24"/>
          <w:szCs w:val="24"/>
        </w:rPr>
        <w:t>Las niñas y niños son titulares de todos los derechos reconocidos por la </w:t>
      </w:r>
      <w:hyperlink r:id="rId36" w:history="1">
        <w:r w:rsidRPr="009D4648">
          <w:rPr>
            <w:rFonts w:ascii="Arial" w:hAnsi="Arial"/>
            <w:sz w:val="24"/>
            <w:szCs w:val="24"/>
          </w:rPr>
          <w:t>Declaración Universal de los Derechos Humanos</w:t>
        </w:r>
      </w:hyperlink>
      <w:r w:rsidRPr="009D4648">
        <w:rPr>
          <w:rFonts w:ascii="Arial" w:hAnsi="Arial"/>
          <w:sz w:val="24"/>
          <w:szCs w:val="24"/>
        </w:rPr>
        <w:t> y los tratados y convenciones internacionales que los desarrollan.  </w:t>
      </w:r>
    </w:p>
    <w:p w:rsidR="009D4648" w:rsidRDefault="009D4648" w:rsidP="009D4648">
      <w:pPr>
        <w:pStyle w:val="Encabezado"/>
        <w:spacing w:line="360" w:lineRule="auto"/>
        <w:ind w:firstLine="567"/>
        <w:jc w:val="both"/>
        <w:rPr>
          <w:rFonts w:ascii="Arial" w:hAnsi="Arial"/>
          <w:sz w:val="24"/>
          <w:szCs w:val="24"/>
        </w:rPr>
      </w:pPr>
      <w:r w:rsidRPr="009D4648">
        <w:rPr>
          <w:rFonts w:ascii="Arial" w:hAnsi="Arial"/>
          <w:sz w:val="24"/>
          <w:szCs w:val="24"/>
        </w:rPr>
        <w:t>Además, debido a su vulnerabilidad y necesidad de especial protección y cuidado, los menores de 18 años tienen garantizados los derechos específicos recogidos en la </w:t>
      </w:r>
      <w:r w:rsidRPr="009D4648">
        <w:rPr>
          <w:b/>
          <w:bCs/>
          <w:sz w:val="24"/>
          <w:szCs w:val="24"/>
        </w:rPr>
        <w:t>Convención sobre los Derechos del Niño (CDN) </w:t>
      </w:r>
      <w:r w:rsidRPr="009D4648">
        <w:rPr>
          <w:rFonts w:ascii="Arial" w:hAnsi="Arial"/>
          <w:sz w:val="24"/>
          <w:szCs w:val="24"/>
        </w:rPr>
        <w:t>aprobada el 20 de noviembre de 1989 por las Naciones Unidas.</w:t>
      </w:r>
    </w:p>
    <w:p w:rsidR="009D4648" w:rsidRPr="009D4648" w:rsidRDefault="009D4648" w:rsidP="009D4648">
      <w:pPr>
        <w:pStyle w:val="Encabezado"/>
        <w:spacing w:line="360" w:lineRule="auto"/>
        <w:ind w:firstLine="567"/>
        <w:jc w:val="both"/>
        <w:rPr>
          <w:rFonts w:ascii="Arial" w:hAnsi="Arial"/>
          <w:sz w:val="24"/>
          <w:szCs w:val="24"/>
        </w:rPr>
      </w:pPr>
      <w:r w:rsidRPr="009D4648">
        <w:rPr>
          <w:rFonts w:ascii="Arial" w:hAnsi="Arial"/>
          <w:sz w:val="24"/>
          <w:szCs w:val="24"/>
        </w:rPr>
        <w:lastRenderedPageBreak/>
        <w:t>La Convención es el tratado de derechos humanos más ratificado de la historia: 195 países, todos los del mundo menos Sudán del Sur y Estados Unidos. La CDN tiene rango de ley y su carácter vinculante la hace de obligado cumplimiento. Los países firmantes deben incluir todos los aspectos de la Convención en sus leyes nacionales sobre derechos y protección a menores.</w:t>
      </w:r>
      <w:r w:rsidRPr="009D4648">
        <w:rPr>
          <w:rFonts w:ascii="Arial" w:hAnsi="Arial"/>
          <w:sz w:val="24"/>
          <w:szCs w:val="24"/>
        </w:rPr>
        <w:br/>
        <w:t>Pese a ello, millones de menores son víctimas de violaciones de sus derechos en diversos ámbitos.</w:t>
      </w:r>
    </w:p>
    <w:p w:rsidR="009D4648" w:rsidRPr="002E44E6" w:rsidRDefault="002E44E6" w:rsidP="002E44E6">
      <w:pPr>
        <w:pStyle w:val="Encabezado"/>
        <w:spacing w:line="360" w:lineRule="auto"/>
        <w:ind w:firstLine="567"/>
        <w:jc w:val="both"/>
        <w:rPr>
          <w:rFonts w:ascii="Arial" w:hAnsi="Arial"/>
          <w:sz w:val="24"/>
          <w:szCs w:val="24"/>
        </w:rPr>
      </w:pPr>
      <w:r>
        <w:rPr>
          <w:rFonts w:ascii="Arial" w:hAnsi="Arial"/>
          <w:sz w:val="24"/>
          <w:szCs w:val="24"/>
        </w:rPr>
        <w:t>“</w:t>
      </w:r>
      <w:r w:rsidRPr="002E44E6">
        <w:rPr>
          <w:rFonts w:ascii="Arial" w:hAnsi="Arial"/>
          <w:sz w:val="24"/>
          <w:szCs w:val="24"/>
        </w:rPr>
        <w:t>La Convención es el tratado de derechos humanos más ratificado de la historia (todos los países lo han hecho excepto Estados Unidos), y su carácter vinculante obliga a cumplirla en todo el mundo</w:t>
      </w:r>
      <w:r>
        <w:rPr>
          <w:rFonts w:ascii="Arial" w:hAnsi="Arial"/>
          <w:sz w:val="24"/>
          <w:szCs w:val="24"/>
        </w:rPr>
        <w:t>”</w:t>
      </w:r>
      <w:r w:rsidRPr="002E44E6">
        <w:rPr>
          <w:rFonts w:ascii="Arial" w:hAnsi="Arial"/>
          <w:sz w:val="24"/>
          <w:szCs w:val="24"/>
        </w:rPr>
        <w:t>.</w:t>
      </w:r>
    </w:p>
    <w:p w:rsidR="002E44E6" w:rsidRPr="002E44E6" w:rsidRDefault="002E44E6" w:rsidP="002E44E6">
      <w:pPr>
        <w:pStyle w:val="Encabezado"/>
        <w:spacing w:line="360" w:lineRule="auto"/>
        <w:ind w:firstLine="567"/>
        <w:jc w:val="both"/>
        <w:rPr>
          <w:rFonts w:ascii="Arial" w:hAnsi="Arial"/>
          <w:sz w:val="24"/>
          <w:szCs w:val="24"/>
        </w:rPr>
      </w:pPr>
      <w:r w:rsidRPr="002E44E6">
        <w:rPr>
          <w:rFonts w:ascii="Arial" w:hAnsi="Arial"/>
          <w:sz w:val="24"/>
          <w:szCs w:val="24"/>
        </w:rPr>
        <w:t>La Convención sobre los Derechos del Niño, que define a los menores como todo ser humano menor de 18 años, contempla tres tipos de derechos:</w:t>
      </w:r>
    </w:p>
    <w:p w:rsidR="002E44E6" w:rsidRPr="002E44E6" w:rsidRDefault="002E44E6" w:rsidP="009319DE">
      <w:pPr>
        <w:numPr>
          <w:ilvl w:val="0"/>
          <w:numId w:val="20"/>
        </w:numPr>
        <w:spacing w:before="100" w:beforeAutospacing="1" w:after="100" w:afterAutospacing="1" w:line="360" w:lineRule="auto"/>
        <w:ind w:left="714" w:hanging="357"/>
        <w:rPr>
          <w:rFonts w:ascii="Arial" w:eastAsia="Times New Roman" w:hAnsi="Arial" w:cs="Arial"/>
          <w:color w:val="000000"/>
          <w:sz w:val="24"/>
          <w:szCs w:val="24"/>
          <w:lang w:eastAsia="es-CL"/>
        </w:rPr>
      </w:pPr>
      <w:r w:rsidRPr="002E44E6">
        <w:rPr>
          <w:rFonts w:ascii="Arial" w:eastAsia="Times New Roman" w:hAnsi="Arial" w:cs="Arial"/>
          <w:color w:val="000000"/>
          <w:sz w:val="24"/>
          <w:szCs w:val="24"/>
          <w:lang w:eastAsia="es-CL"/>
        </w:rPr>
        <w:t>De </w:t>
      </w:r>
      <w:r w:rsidRPr="002E44E6">
        <w:rPr>
          <w:rFonts w:ascii="Arial" w:eastAsia="Times New Roman" w:hAnsi="Arial" w:cs="Arial"/>
          <w:b/>
          <w:bCs/>
          <w:color w:val="000000"/>
          <w:sz w:val="24"/>
          <w:szCs w:val="24"/>
          <w:lang w:eastAsia="es-CL"/>
        </w:rPr>
        <w:t>protección,</w:t>
      </w:r>
      <w:r w:rsidRPr="002E44E6">
        <w:rPr>
          <w:rFonts w:ascii="Arial" w:eastAsia="Times New Roman" w:hAnsi="Arial" w:cs="Arial"/>
          <w:color w:val="000000"/>
          <w:sz w:val="24"/>
          <w:szCs w:val="24"/>
          <w:lang w:eastAsia="es-CL"/>
        </w:rPr>
        <w:t> como el derecho a la vida, a la convivencia familiar o contra todo tipo de abuso, violencia o explotación laboral.</w:t>
      </w:r>
    </w:p>
    <w:p w:rsidR="002E44E6" w:rsidRDefault="002E44E6" w:rsidP="009319DE">
      <w:pPr>
        <w:numPr>
          <w:ilvl w:val="0"/>
          <w:numId w:val="20"/>
        </w:numPr>
        <w:spacing w:before="100" w:beforeAutospacing="1" w:after="100" w:afterAutospacing="1" w:line="360" w:lineRule="auto"/>
        <w:ind w:left="714" w:hanging="357"/>
        <w:jc w:val="both"/>
        <w:rPr>
          <w:rFonts w:ascii="Arial" w:eastAsia="Times New Roman" w:hAnsi="Arial" w:cs="Arial"/>
          <w:color w:val="000000"/>
          <w:sz w:val="24"/>
          <w:szCs w:val="24"/>
          <w:lang w:eastAsia="es-CL"/>
        </w:rPr>
      </w:pPr>
      <w:r w:rsidRPr="002E44E6">
        <w:rPr>
          <w:rFonts w:ascii="Arial" w:eastAsia="Times New Roman" w:hAnsi="Arial" w:cs="Arial"/>
          <w:color w:val="000000"/>
          <w:sz w:val="24"/>
          <w:szCs w:val="24"/>
          <w:lang w:eastAsia="es-CL"/>
        </w:rPr>
        <w:t>De </w:t>
      </w:r>
      <w:r w:rsidRPr="002E44E6">
        <w:rPr>
          <w:rFonts w:ascii="Arial" w:eastAsia="Times New Roman" w:hAnsi="Arial" w:cs="Arial"/>
          <w:b/>
          <w:bCs/>
          <w:color w:val="000000"/>
          <w:sz w:val="24"/>
          <w:szCs w:val="24"/>
          <w:lang w:eastAsia="es-CL"/>
        </w:rPr>
        <w:t>provisión</w:t>
      </w:r>
      <w:r w:rsidRPr="002E44E6">
        <w:rPr>
          <w:rFonts w:ascii="Arial" w:eastAsia="Times New Roman" w:hAnsi="Arial" w:cs="Arial"/>
          <w:color w:val="000000"/>
          <w:sz w:val="24"/>
          <w:szCs w:val="24"/>
          <w:lang w:eastAsia="es-CL"/>
        </w:rPr>
        <w:t>, como el derecho a cuidados sanitarios, a un medio ambiente saludable o a los recursos para un adecuado desarrollo físico, mental, espiritual, moral y social.</w:t>
      </w:r>
    </w:p>
    <w:p w:rsidR="002E44E6" w:rsidRPr="002E44E6" w:rsidRDefault="002E44E6" w:rsidP="009319DE">
      <w:pPr>
        <w:numPr>
          <w:ilvl w:val="0"/>
          <w:numId w:val="20"/>
        </w:numPr>
        <w:spacing w:before="100" w:beforeAutospacing="1" w:after="100" w:afterAutospacing="1" w:line="360" w:lineRule="auto"/>
        <w:ind w:left="714" w:hanging="357"/>
        <w:rPr>
          <w:rFonts w:ascii="Arial" w:eastAsia="Times New Roman" w:hAnsi="Arial" w:cs="Arial"/>
          <w:color w:val="000000"/>
          <w:sz w:val="24"/>
          <w:szCs w:val="24"/>
          <w:lang w:eastAsia="es-CL"/>
        </w:rPr>
      </w:pPr>
      <w:r w:rsidRPr="002E44E6">
        <w:rPr>
          <w:rFonts w:ascii="Arial" w:eastAsia="Times New Roman" w:hAnsi="Arial" w:cs="Arial"/>
          <w:color w:val="000000"/>
          <w:sz w:val="24"/>
          <w:szCs w:val="24"/>
          <w:lang w:eastAsia="es-CL"/>
        </w:rPr>
        <w:t>De </w:t>
      </w:r>
      <w:r w:rsidRPr="002E44E6">
        <w:rPr>
          <w:rFonts w:ascii="Arial" w:eastAsia="Times New Roman" w:hAnsi="Arial" w:cs="Arial"/>
          <w:b/>
          <w:bCs/>
          <w:color w:val="000000"/>
          <w:sz w:val="24"/>
          <w:szCs w:val="24"/>
          <w:lang w:eastAsia="es-CL"/>
        </w:rPr>
        <w:t>participación</w:t>
      </w:r>
      <w:r w:rsidRPr="002E44E6">
        <w:rPr>
          <w:rFonts w:ascii="Arial" w:eastAsia="Times New Roman" w:hAnsi="Arial" w:cs="Arial"/>
          <w:color w:val="000000"/>
          <w:sz w:val="24"/>
          <w:szCs w:val="24"/>
          <w:lang w:eastAsia="es-CL"/>
        </w:rPr>
        <w:t>, como el derecho a una identidad y nacionalidad, a recibir información o a opinar con libertad.</w:t>
      </w:r>
    </w:p>
    <w:p w:rsidR="002E44E6" w:rsidRDefault="002E44E6" w:rsidP="002E44E6">
      <w:pPr>
        <w:pStyle w:val="Encabezado"/>
        <w:spacing w:line="360" w:lineRule="auto"/>
        <w:ind w:firstLine="567"/>
        <w:jc w:val="both"/>
        <w:rPr>
          <w:rFonts w:ascii="Arial" w:hAnsi="Arial"/>
          <w:sz w:val="24"/>
          <w:szCs w:val="24"/>
        </w:rPr>
      </w:pPr>
      <w:r w:rsidRPr="002E44E6">
        <w:rPr>
          <w:rFonts w:ascii="Arial" w:hAnsi="Arial"/>
          <w:sz w:val="24"/>
          <w:szCs w:val="24"/>
        </w:rPr>
        <w:t>Estos derechos se basan a su vez en cuatro principios fundamentales: la no discriminación; el interés superior del menor; el derecho a la vida, la supervivencia y el desarrollo; y el derecho a la participación.</w:t>
      </w:r>
    </w:p>
    <w:p w:rsidR="002E44E6" w:rsidRPr="002E44E6" w:rsidRDefault="002E44E6" w:rsidP="002E44E6">
      <w:pPr>
        <w:pStyle w:val="Encabezado"/>
        <w:spacing w:line="360" w:lineRule="auto"/>
        <w:ind w:firstLine="567"/>
        <w:jc w:val="both"/>
        <w:rPr>
          <w:rFonts w:ascii="Arial" w:hAnsi="Arial"/>
          <w:sz w:val="24"/>
          <w:szCs w:val="24"/>
        </w:rPr>
      </w:pPr>
      <w:r w:rsidRPr="002E44E6">
        <w:rPr>
          <w:rFonts w:ascii="Arial" w:hAnsi="Arial"/>
          <w:sz w:val="24"/>
          <w:szCs w:val="24"/>
        </w:rPr>
        <w:t>A diferencia de otras normas internacionales, la Convención incluye de forma explícita y con gran claridad los derechos económicos, sociales y culturales:</w:t>
      </w:r>
    </w:p>
    <w:p w:rsidR="002E44E6" w:rsidRPr="002E44E6" w:rsidRDefault="002E44E6" w:rsidP="009319DE">
      <w:pPr>
        <w:numPr>
          <w:ilvl w:val="0"/>
          <w:numId w:val="21"/>
        </w:numPr>
        <w:spacing w:before="100" w:beforeAutospacing="1" w:after="100" w:afterAutospacing="1" w:line="360" w:lineRule="auto"/>
        <w:ind w:left="714" w:hanging="357"/>
        <w:jc w:val="both"/>
        <w:rPr>
          <w:rFonts w:ascii="Arial" w:eastAsia="Times New Roman" w:hAnsi="Arial" w:cs="Arial"/>
          <w:color w:val="000000"/>
          <w:sz w:val="24"/>
          <w:szCs w:val="24"/>
          <w:lang w:eastAsia="es-CL"/>
        </w:rPr>
      </w:pPr>
      <w:r w:rsidRPr="002E44E6">
        <w:rPr>
          <w:rFonts w:ascii="Arial" w:eastAsia="Times New Roman" w:hAnsi="Arial" w:cs="Arial"/>
          <w:color w:val="000000"/>
          <w:sz w:val="24"/>
          <w:szCs w:val="24"/>
          <w:lang w:eastAsia="es-CL"/>
        </w:rPr>
        <w:t>A la </w:t>
      </w:r>
      <w:r w:rsidRPr="002E44E6">
        <w:rPr>
          <w:rFonts w:ascii="Arial" w:eastAsia="Times New Roman" w:hAnsi="Arial" w:cs="Arial"/>
          <w:b/>
          <w:bCs/>
          <w:color w:val="000000"/>
          <w:sz w:val="24"/>
          <w:szCs w:val="24"/>
          <w:lang w:eastAsia="es-CL"/>
        </w:rPr>
        <w:t>salud</w:t>
      </w:r>
      <w:r w:rsidRPr="002E44E6">
        <w:rPr>
          <w:rFonts w:ascii="Arial" w:eastAsia="Times New Roman" w:hAnsi="Arial" w:cs="Arial"/>
          <w:color w:val="000000"/>
          <w:sz w:val="24"/>
          <w:szCs w:val="24"/>
          <w:lang w:eastAsia="es-CL"/>
        </w:rPr>
        <w:t>, a la </w:t>
      </w:r>
      <w:r w:rsidRPr="002E44E6">
        <w:rPr>
          <w:rFonts w:ascii="Arial" w:eastAsia="Times New Roman" w:hAnsi="Arial" w:cs="Arial"/>
          <w:b/>
          <w:bCs/>
          <w:color w:val="000000"/>
          <w:sz w:val="24"/>
          <w:szCs w:val="24"/>
          <w:lang w:eastAsia="es-CL"/>
        </w:rPr>
        <w:t>educación </w:t>
      </w:r>
      <w:r w:rsidRPr="002E44E6">
        <w:rPr>
          <w:rFonts w:ascii="Arial" w:eastAsia="Times New Roman" w:hAnsi="Arial" w:cs="Arial"/>
          <w:color w:val="000000"/>
          <w:sz w:val="24"/>
          <w:szCs w:val="24"/>
          <w:lang w:eastAsia="es-CL"/>
        </w:rPr>
        <w:t>y a la </w:t>
      </w:r>
      <w:r w:rsidRPr="002E44E6">
        <w:rPr>
          <w:rFonts w:ascii="Arial" w:eastAsia="Times New Roman" w:hAnsi="Arial" w:cs="Arial"/>
          <w:b/>
          <w:bCs/>
          <w:color w:val="000000"/>
          <w:sz w:val="24"/>
          <w:szCs w:val="24"/>
          <w:lang w:eastAsia="es-CL"/>
        </w:rPr>
        <w:t>protección </w:t>
      </w:r>
      <w:r w:rsidRPr="002E44E6">
        <w:rPr>
          <w:rFonts w:ascii="Arial" w:eastAsia="Times New Roman" w:hAnsi="Arial" w:cs="Arial"/>
          <w:color w:val="000000"/>
          <w:sz w:val="24"/>
          <w:szCs w:val="24"/>
          <w:lang w:eastAsia="es-CL"/>
        </w:rPr>
        <w:t>a través del acogimiento institucional o familiar cuando el menor no tiene familia o esta no puede asumir su cuidado.</w:t>
      </w:r>
    </w:p>
    <w:p w:rsidR="002E44E6" w:rsidRPr="002E44E6" w:rsidRDefault="002E44E6" w:rsidP="009319DE">
      <w:pPr>
        <w:numPr>
          <w:ilvl w:val="0"/>
          <w:numId w:val="21"/>
        </w:numPr>
        <w:spacing w:before="100" w:beforeAutospacing="1" w:after="100" w:afterAutospacing="1" w:line="360" w:lineRule="auto"/>
        <w:ind w:left="714" w:hanging="357"/>
        <w:jc w:val="both"/>
        <w:rPr>
          <w:rFonts w:ascii="Arial" w:eastAsia="Times New Roman" w:hAnsi="Arial" w:cs="Arial"/>
          <w:color w:val="000000"/>
          <w:sz w:val="24"/>
          <w:szCs w:val="24"/>
          <w:lang w:eastAsia="es-CL"/>
        </w:rPr>
      </w:pPr>
      <w:r w:rsidRPr="002E44E6">
        <w:rPr>
          <w:rFonts w:ascii="Arial" w:eastAsia="Times New Roman" w:hAnsi="Arial" w:cs="Arial"/>
          <w:color w:val="000000"/>
          <w:sz w:val="24"/>
          <w:szCs w:val="24"/>
          <w:lang w:eastAsia="es-CL"/>
        </w:rPr>
        <w:t>A la </w:t>
      </w:r>
      <w:r w:rsidRPr="002E44E6">
        <w:rPr>
          <w:rFonts w:ascii="Arial" w:eastAsia="Times New Roman" w:hAnsi="Arial" w:cs="Arial"/>
          <w:b/>
          <w:bCs/>
          <w:color w:val="000000"/>
          <w:sz w:val="24"/>
          <w:szCs w:val="24"/>
          <w:lang w:eastAsia="es-CL"/>
        </w:rPr>
        <w:t>justicia </w:t>
      </w:r>
      <w:r w:rsidRPr="002E44E6">
        <w:rPr>
          <w:rFonts w:ascii="Arial" w:eastAsia="Times New Roman" w:hAnsi="Arial" w:cs="Arial"/>
          <w:color w:val="000000"/>
          <w:sz w:val="24"/>
          <w:szCs w:val="24"/>
          <w:lang w:eastAsia="es-CL"/>
        </w:rPr>
        <w:t>y a la </w:t>
      </w:r>
      <w:r w:rsidRPr="002E44E6">
        <w:rPr>
          <w:rFonts w:ascii="Arial" w:eastAsia="Times New Roman" w:hAnsi="Arial" w:cs="Arial"/>
          <w:b/>
          <w:bCs/>
          <w:color w:val="000000"/>
          <w:sz w:val="24"/>
          <w:szCs w:val="24"/>
          <w:lang w:eastAsia="es-CL"/>
        </w:rPr>
        <w:t>presunción de inocencia.</w:t>
      </w:r>
    </w:p>
    <w:p w:rsidR="002E44E6" w:rsidRPr="002E44E6" w:rsidRDefault="002E44E6" w:rsidP="009319DE">
      <w:pPr>
        <w:numPr>
          <w:ilvl w:val="0"/>
          <w:numId w:val="21"/>
        </w:numPr>
        <w:spacing w:before="100" w:beforeAutospacing="1" w:after="100" w:afterAutospacing="1" w:line="360" w:lineRule="auto"/>
        <w:ind w:left="714" w:hanging="357"/>
        <w:jc w:val="both"/>
        <w:rPr>
          <w:rFonts w:ascii="Arial" w:eastAsia="Times New Roman" w:hAnsi="Arial" w:cs="Arial"/>
          <w:color w:val="000000"/>
          <w:sz w:val="24"/>
          <w:szCs w:val="24"/>
          <w:lang w:eastAsia="es-CL"/>
        </w:rPr>
      </w:pPr>
      <w:r w:rsidRPr="002E44E6">
        <w:rPr>
          <w:rFonts w:ascii="Arial" w:eastAsia="Times New Roman" w:hAnsi="Arial" w:cs="Arial"/>
          <w:color w:val="000000"/>
          <w:sz w:val="24"/>
          <w:szCs w:val="24"/>
          <w:lang w:eastAsia="es-CL"/>
        </w:rPr>
        <w:t>A </w:t>
      </w:r>
      <w:r w:rsidRPr="002E44E6">
        <w:rPr>
          <w:rFonts w:ascii="Arial" w:eastAsia="Times New Roman" w:hAnsi="Arial" w:cs="Arial"/>
          <w:b/>
          <w:bCs/>
          <w:color w:val="000000"/>
          <w:sz w:val="24"/>
          <w:szCs w:val="24"/>
          <w:lang w:eastAsia="es-CL"/>
        </w:rPr>
        <w:t>no ser reclutado o reclutada</w:t>
      </w:r>
      <w:r w:rsidRPr="002E44E6">
        <w:rPr>
          <w:rFonts w:ascii="Arial" w:eastAsia="Times New Roman" w:hAnsi="Arial" w:cs="Arial"/>
          <w:color w:val="000000"/>
          <w:sz w:val="24"/>
          <w:szCs w:val="24"/>
          <w:lang w:eastAsia="es-CL"/>
        </w:rPr>
        <w:t> para participar en conflictos armados.</w:t>
      </w:r>
    </w:p>
    <w:p w:rsidR="002E44E6" w:rsidRPr="002E44E6" w:rsidRDefault="002E44E6" w:rsidP="009319DE">
      <w:pPr>
        <w:numPr>
          <w:ilvl w:val="0"/>
          <w:numId w:val="21"/>
        </w:numPr>
        <w:spacing w:before="100" w:beforeAutospacing="1" w:after="100" w:afterAutospacing="1" w:line="360" w:lineRule="auto"/>
        <w:ind w:left="714" w:hanging="357"/>
        <w:jc w:val="both"/>
        <w:rPr>
          <w:rFonts w:ascii="Arial" w:eastAsia="Times New Roman" w:hAnsi="Arial" w:cs="Arial"/>
          <w:color w:val="000000"/>
          <w:sz w:val="24"/>
          <w:szCs w:val="24"/>
          <w:lang w:eastAsia="es-CL"/>
        </w:rPr>
      </w:pPr>
      <w:r w:rsidRPr="002E44E6">
        <w:rPr>
          <w:rFonts w:ascii="Arial" w:eastAsia="Times New Roman" w:hAnsi="Arial" w:cs="Arial"/>
          <w:color w:val="000000"/>
          <w:sz w:val="24"/>
          <w:szCs w:val="24"/>
          <w:lang w:eastAsia="es-CL"/>
        </w:rPr>
        <w:lastRenderedPageBreak/>
        <w:t>A que las tradiciones sociales, culturales o religiosas no interfieran en su </w:t>
      </w:r>
      <w:r w:rsidRPr="002E44E6">
        <w:rPr>
          <w:rFonts w:ascii="Arial" w:eastAsia="Times New Roman" w:hAnsi="Arial" w:cs="Arial"/>
          <w:b/>
          <w:bCs/>
          <w:color w:val="000000"/>
          <w:sz w:val="24"/>
          <w:szCs w:val="24"/>
          <w:lang w:eastAsia="es-CL"/>
        </w:rPr>
        <w:t>salud</w:t>
      </w:r>
      <w:r w:rsidRPr="002E44E6">
        <w:rPr>
          <w:rFonts w:ascii="Arial" w:eastAsia="Times New Roman" w:hAnsi="Arial" w:cs="Arial"/>
          <w:color w:val="000000"/>
          <w:sz w:val="24"/>
          <w:szCs w:val="24"/>
          <w:lang w:eastAsia="es-CL"/>
        </w:rPr>
        <w:t>.</w:t>
      </w:r>
    </w:p>
    <w:p w:rsidR="002E44E6" w:rsidRDefault="002E44E6" w:rsidP="009319DE">
      <w:pPr>
        <w:numPr>
          <w:ilvl w:val="0"/>
          <w:numId w:val="21"/>
        </w:numPr>
        <w:spacing w:before="100" w:beforeAutospacing="1" w:after="100" w:afterAutospacing="1" w:line="360" w:lineRule="auto"/>
        <w:ind w:left="714" w:hanging="357"/>
        <w:jc w:val="both"/>
        <w:rPr>
          <w:rFonts w:ascii="Arial" w:eastAsia="Times New Roman" w:hAnsi="Arial" w:cs="Arial"/>
          <w:color w:val="000000"/>
          <w:sz w:val="24"/>
          <w:szCs w:val="24"/>
          <w:lang w:eastAsia="es-CL"/>
        </w:rPr>
      </w:pPr>
      <w:r w:rsidRPr="002E44E6">
        <w:rPr>
          <w:rFonts w:ascii="Arial" w:eastAsia="Times New Roman" w:hAnsi="Arial" w:cs="Arial"/>
          <w:color w:val="000000"/>
          <w:sz w:val="24"/>
          <w:szCs w:val="24"/>
          <w:lang w:eastAsia="es-CL"/>
        </w:rPr>
        <w:t>A un</w:t>
      </w:r>
      <w:r w:rsidRPr="002E44E6">
        <w:rPr>
          <w:rFonts w:ascii="Arial" w:eastAsia="Times New Roman" w:hAnsi="Arial" w:cs="Arial"/>
          <w:b/>
          <w:bCs/>
          <w:color w:val="000000"/>
          <w:sz w:val="24"/>
          <w:szCs w:val="24"/>
          <w:lang w:eastAsia="es-CL"/>
        </w:rPr>
        <w:t> nivel de vida adecuado</w:t>
      </w:r>
      <w:r w:rsidRPr="002E44E6">
        <w:rPr>
          <w:rFonts w:ascii="Arial" w:eastAsia="Times New Roman" w:hAnsi="Arial" w:cs="Arial"/>
          <w:color w:val="000000"/>
          <w:sz w:val="24"/>
          <w:szCs w:val="24"/>
          <w:lang w:eastAsia="es-CL"/>
        </w:rPr>
        <w:t> para su pleno desarrollo personal.</w:t>
      </w:r>
    </w:p>
    <w:p w:rsidR="00A274F5" w:rsidRDefault="00A274F5" w:rsidP="009319DE">
      <w:pPr>
        <w:pStyle w:val="Encabezado"/>
        <w:numPr>
          <w:ilvl w:val="1"/>
          <w:numId w:val="17"/>
        </w:numPr>
        <w:tabs>
          <w:tab w:val="clear" w:pos="4419"/>
          <w:tab w:val="clear" w:pos="8838"/>
        </w:tabs>
        <w:ind w:left="851" w:hanging="425"/>
        <w:jc w:val="both"/>
        <w:rPr>
          <w:rFonts w:ascii="Arial" w:hAnsi="Arial"/>
          <w:b/>
          <w:sz w:val="24"/>
          <w:szCs w:val="24"/>
        </w:rPr>
      </w:pPr>
      <w:r>
        <w:rPr>
          <w:rFonts w:ascii="Arial" w:hAnsi="Arial"/>
          <w:b/>
          <w:sz w:val="24"/>
          <w:szCs w:val="24"/>
        </w:rPr>
        <w:t>Pueblos indígenas</w:t>
      </w:r>
    </w:p>
    <w:p w:rsidR="001E6521" w:rsidRDefault="001E6521" w:rsidP="001E6521">
      <w:pPr>
        <w:pStyle w:val="Encabezado"/>
        <w:tabs>
          <w:tab w:val="clear" w:pos="4419"/>
          <w:tab w:val="clear" w:pos="8838"/>
        </w:tabs>
        <w:ind w:left="851"/>
        <w:jc w:val="both"/>
        <w:rPr>
          <w:rFonts w:ascii="Arial" w:hAnsi="Arial"/>
          <w:b/>
          <w:sz w:val="24"/>
          <w:szCs w:val="24"/>
        </w:rPr>
      </w:pPr>
    </w:p>
    <w:p w:rsidR="0016162D" w:rsidRPr="0016162D" w:rsidRDefault="0016162D" w:rsidP="0016162D">
      <w:pPr>
        <w:pStyle w:val="Encabezado"/>
        <w:spacing w:line="360" w:lineRule="auto"/>
        <w:ind w:firstLine="567"/>
        <w:jc w:val="both"/>
        <w:rPr>
          <w:rFonts w:ascii="Arial" w:hAnsi="Arial" w:cs="Arial"/>
          <w:sz w:val="24"/>
          <w:szCs w:val="24"/>
        </w:rPr>
      </w:pPr>
      <w:r w:rsidRPr="0016162D">
        <w:rPr>
          <w:rFonts w:ascii="Arial" w:hAnsi="Arial" w:cs="Arial"/>
          <w:bCs/>
          <w:sz w:val="24"/>
          <w:szCs w:val="24"/>
        </w:rPr>
        <w:t>Un Estado garante de los derechos humanos debe asegurar una efectiva esfera de protección a todos y cada uno de sus habitantes sin distinción, y en conformidad con sus obligaciones internacionales. Este deber involucra a todos los poderes del Estado, entre ellos el poder judicial que tiene la responsabilidad específica de otorgar operatividad a los instrumentos internacionales de protección de los derechos humanos al momento de resolver sus casos. En este sentido, la mayoría de las Constituciones de la región consagran una cláusula que permite a los jueces invocar directamente el derecho internacional para garantizar el respeto de los derechos humanos de todas las personas, especialmente de los grupos más vulnerables, como los pueblos indígenas.                   </w:t>
      </w:r>
    </w:p>
    <w:p w:rsidR="0016162D" w:rsidRPr="0016162D" w:rsidRDefault="0016162D" w:rsidP="0016162D">
      <w:pPr>
        <w:pStyle w:val="Encabezado"/>
        <w:spacing w:line="360" w:lineRule="auto"/>
        <w:ind w:firstLine="567"/>
        <w:jc w:val="both"/>
        <w:rPr>
          <w:rFonts w:ascii="Arial" w:hAnsi="Arial"/>
          <w:sz w:val="24"/>
          <w:szCs w:val="24"/>
        </w:rPr>
      </w:pPr>
      <w:r w:rsidRPr="0016162D">
        <w:rPr>
          <w:rFonts w:ascii="Arial" w:hAnsi="Arial"/>
          <w:sz w:val="24"/>
          <w:szCs w:val="24"/>
        </w:rPr>
        <w:t>Los pueblos indígenas han debido enfrentar un largo camino para el reconocimiento y respeto efectivo de sus derechos y libertades fundamentales. Durante la década de los ´80 se logró abandonar la visión integracionista y de asimilación que imperaba y dar un giro hacia una nueva forma de comprender a los pueblos indígenas, su cultura y cosmovisión. Esto se tradujo en la adopción de dos instrumentos internacionales:</w:t>
      </w:r>
    </w:p>
    <w:p w:rsidR="0016162D" w:rsidRPr="0016162D" w:rsidRDefault="0016162D" w:rsidP="009319DE">
      <w:pPr>
        <w:numPr>
          <w:ilvl w:val="0"/>
          <w:numId w:val="22"/>
        </w:numPr>
        <w:spacing w:after="0" w:line="360" w:lineRule="auto"/>
        <w:ind w:left="567" w:hanging="567"/>
        <w:jc w:val="both"/>
        <w:textAlignment w:val="baseline"/>
        <w:rPr>
          <w:rFonts w:ascii="Arial" w:hAnsi="Arial" w:cs="Arial"/>
          <w:color w:val="000000" w:themeColor="text1"/>
          <w:sz w:val="24"/>
          <w:szCs w:val="24"/>
        </w:rPr>
      </w:pPr>
      <w:r w:rsidRPr="0016162D">
        <w:rPr>
          <w:rStyle w:val="Textoennegrita"/>
          <w:rFonts w:ascii="Arial" w:hAnsi="Arial" w:cs="Arial"/>
          <w:color w:val="000000" w:themeColor="text1"/>
          <w:sz w:val="24"/>
          <w:szCs w:val="24"/>
          <w:bdr w:val="none" w:sz="0" w:space="0" w:color="auto" w:frame="1"/>
        </w:rPr>
        <w:t>Convenio 169 de la Organización Internacional del Trabajo (OIT)</w:t>
      </w:r>
      <w:r w:rsidRPr="0016162D">
        <w:rPr>
          <w:rFonts w:ascii="Arial" w:hAnsi="Arial" w:cs="Arial"/>
          <w:color w:val="000000" w:themeColor="text1"/>
          <w:sz w:val="24"/>
          <w:szCs w:val="24"/>
        </w:rPr>
        <w:t> sobre pueblos indígenas y tribales en países independientes, en 1989</w:t>
      </w:r>
      <w:r w:rsidR="00A279ED">
        <w:rPr>
          <w:rFonts w:ascii="Arial" w:hAnsi="Arial" w:cs="Arial"/>
          <w:color w:val="000000" w:themeColor="text1"/>
          <w:sz w:val="24"/>
          <w:szCs w:val="24"/>
        </w:rPr>
        <w:t xml:space="preserve">. </w:t>
      </w:r>
    </w:p>
    <w:p w:rsidR="0016162D" w:rsidRPr="0016162D" w:rsidRDefault="0016162D" w:rsidP="009319DE">
      <w:pPr>
        <w:numPr>
          <w:ilvl w:val="0"/>
          <w:numId w:val="22"/>
        </w:numPr>
        <w:spacing w:after="0" w:line="360" w:lineRule="auto"/>
        <w:ind w:left="567" w:hanging="567"/>
        <w:jc w:val="both"/>
        <w:textAlignment w:val="baseline"/>
        <w:rPr>
          <w:rFonts w:ascii="Arial" w:hAnsi="Arial" w:cs="Arial"/>
          <w:color w:val="000000" w:themeColor="text1"/>
          <w:sz w:val="24"/>
          <w:szCs w:val="24"/>
        </w:rPr>
      </w:pPr>
      <w:hyperlink r:id="rId37" w:history="1">
        <w:r w:rsidRPr="0016162D">
          <w:rPr>
            <w:rStyle w:val="Hipervnculo"/>
            <w:rFonts w:ascii="Arial" w:hAnsi="Arial" w:cs="Arial"/>
            <w:b/>
            <w:bCs/>
            <w:color w:val="000000" w:themeColor="text1"/>
            <w:sz w:val="24"/>
            <w:szCs w:val="24"/>
            <w:u w:val="none"/>
            <w:bdr w:val="none" w:sz="0" w:space="0" w:color="auto" w:frame="1"/>
          </w:rPr>
          <w:t>Declaración de las Naciones Unidas sobre los Derechos de los pueblos indígenas</w:t>
        </w:r>
      </w:hyperlink>
      <w:r w:rsidRPr="0016162D">
        <w:rPr>
          <w:rFonts w:ascii="Arial" w:hAnsi="Arial" w:cs="Arial"/>
          <w:color w:val="000000" w:themeColor="text1"/>
          <w:sz w:val="24"/>
          <w:szCs w:val="24"/>
        </w:rPr>
        <w:t>, en 2007</w:t>
      </w:r>
      <w:r>
        <w:rPr>
          <w:rFonts w:ascii="Arial" w:hAnsi="Arial" w:cs="Arial"/>
          <w:color w:val="000000" w:themeColor="text1"/>
          <w:sz w:val="24"/>
          <w:szCs w:val="24"/>
        </w:rPr>
        <w:t>.</w:t>
      </w:r>
    </w:p>
    <w:p w:rsidR="0016162D" w:rsidRPr="0016162D" w:rsidRDefault="0016162D" w:rsidP="0016162D">
      <w:pPr>
        <w:pStyle w:val="Encabezado"/>
        <w:spacing w:line="360" w:lineRule="auto"/>
        <w:ind w:firstLine="567"/>
        <w:jc w:val="both"/>
        <w:rPr>
          <w:rFonts w:ascii="Arial" w:hAnsi="Arial" w:cs="Arial"/>
          <w:color w:val="333333"/>
          <w:sz w:val="24"/>
          <w:szCs w:val="24"/>
        </w:rPr>
      </w:pPr>
      <w:r w:rsidRPr="0016162D">
        <w:rPr>
          <w:rFonts w:ascii="Arial" w:hAnsi="Arial" w:cs="Arial"/>
          <w:color w:val="333333"/>
          <w:sz w:val="24"/>
          <w:szCs w:val="24"/>
        </w:rPr>
        <w:t xml:space="preserve">Estos instrumentos se refuerzan mutuamente con el objetivo de mantener y fortalecer, en particular, la cultura, formas de vida e instituciones de los </w:t>
      </w:r>
      <w:r w:rsidRPr="0016162D">
        <w:rPr>
          <w:rFonts w:ascii="Arial" w:hAnsi="Arial"/>
          <w:sz w:val="24"/>
          <w:szCs w:val="24"/>
        </w:rPr>
        <w:t>pueblos</w:t>
      </w:r>
      <w:r w:rsidRPr="0016162D">
        <w:rPr>
          <w:rFonts w:ascii="Arial" w:hAnsi="Arial" w:cs="Arial"/>
          <w:color w:val="333333"/>
          <w:sz w:val="24"/>
          <w:szCs w:val="24"/>
        </w:rPr>
        <w:t xml:space="preserve"> originarios del mundo. </w:t>
      </w:r>
    </w:p>
    <w:p w:rsidR="0016162D" w:rsidRPr="0016162D" w:rsidRDefault="0016162D" w:rsidP="0016162D">
      <w:pPr>
        <w:pStyle w:val="Encabezado"/>
        <w:spacing w:line="360" w:lineRule="auto"/>
        <w:ind w:firstLine="567"/>
        <w:jc w:val="both"/>
        <w:rPr>
          <w:rFonts w:ascii="Arial" w:hAnsi="Arial" w:cs="Arial"/>
          <w:color w:val="333333"/>
          <w:sz w:val="24"/>
          <w:szCs w:val="24"/>
        </w:rPr>
      </w:pPr>
      <w:r w:rsidRPr="0016162D">
        <w:rPr>
          <w:rFonts w:ascii="Arial" w:hAnsi="Arial" w:cs="Arial"/>
          <w:color w:val="333333"/>
          <w:sz w:val="24"/>
          <w:szCs w:val="24"/>
        </w:rPr>
        <w:t xml:space="preserve">Asimismo, se han establecido mecanismos específicos para pueblos indígenas a nivel </w:t>
      </w:r>
      <w:r w:rsidRPr="0016162D">
        <w:rPr>
          <w:rFonts w:ascii="Arial" w:hAnsi="Arial"/>
          <w:sz w:val="24"/>
          <w:szCs w:val="24"/>
        </w:rPr>
        <w:t>internacional</w:t>
      </w:r>
      <w:r w:rsidRPr="0016162D">
        <w:rPr>
          <w:rFonts w:ascii="Arial" w:hAnsi="Arial" w:cs="Arial"/>
          <w:color w:val="333333"/>
          <w:sz w:val="24"/>
          <w:szCs w:val="24"/>
        </w:rPr>
        <w:t xml:space="preserve"> como:</w:t>
      </w:r>
    </w:p>
    <w:p w:rsidR="0016162D" w:rsidRPr="0016162D" w:rsidRDefault="0016162D" w:rsidP="009319DE">
      <w:pPr>
        <w:numPr>
          <w:ilvl w:val="0"/>
          <w:numId w:val="23"/>
        </w:numPr>
        <w:spacing w:after="0" w:line="360" w:lineRule="auto"/>
        <w:ind w:left="567" w:hanging="567"/>
        <w:jc w:val="both"/>
        <w:textAlignment w:val="baseline"/>
        <w:rPr>
          <w:rFonts w:ascii="Arial" w:hAnsi="Arial" w:cs="Arial"/>
          <w:color w:val="333333"/>
          <w:sz w:val="24"/>
          <w:szCs w:val="24"/>
        </w:rPr>
      </w:pPr>
      <w:r w:rsidRPr="0016162D">
        <w:rPr>
          <w:rStyle w:val="Textoennegrita"/>
          <w:rFonts w:ascii="Arial" w:hAnsi="Arial" w:cs="Arial"/>
          <w:color w:val="333333"/>
          <w:sz w:val="24"/>
          <w:szCs w:val="24"/>
          <w:bdr w:val="none" w:sz="0" w:space="0" w:color="auto" w:frame="1"/>
        </w:rPr>
        <w:t>Foro Permanente para las Cuestiones Indígenas</w:t>
      </w:r>
      <w:r w:rsidRPr="0016162D">
        <w:rPr>
          <w:rFonts w:ascii="Arial" w:hAnsi="Arial" w:cs="Arial"/>
          <w:color w:val="333333"/>
          <w:sz w:val="24"/>
          <w:szCs w:val="24"/>
        </w:rPr>
        <w:t> (2000)</w:t>
      </w:r>
      <w:r>
        <w:rPr>
          <w:rFonts w:ascii="Arial" w:hAnsi="Arial" w:cs="Arial"/>
          <w:color w:val="333333"/>
          <w:sz w:val="24"/>
          <w:szCs w:val="24"/>
        </w:rPr>
        <w:t>.</w:t>
      </w:r>
    </w:p>
    <w:p w:rsidR="0016162D" w:rsidRPr="0016162D" w:rsidRDefault="0016162D" w:rsidP="009319DE">
      <w:pPr>
        <w:numPr>
          <w:ilvl w:val="0"/>
          <w:numId w:val="23"/>
        </w:numPr>
        <w:spacing w:after="0" w:line="360" w:lineRule="auto"/>
        <w:ind w:left="567" w:hanging="567"/>
        <w:jc w:val="both"/>
        <w:textAlignment w:val="baseline"/>
        <w:rPr>
          <w:rFonts w:ascii="Arial" w:hAnsi="Arial" w:cs="Arial"/>
          <w:color w:val="333333"/>
          <w:sz w:val="24"/>
          <w:szCs w:val="24"/>
        </w:rPr>
      </w:pPr>
      <w:r w:rsidRPr="0016162D">
        <w:rPr>
          <w:rStyle w:val="Textoennegrita"/>
          <w:rFonts w:ascii="Arial" w:hAnsi="Arial" w:cs="Arial"/>
          <w:color w:val="333333"/>
          <w:sz w:val="24"/>
          <w:szCs w:val="24"/>
          <w:bdr w:val="none" w:sz="0" w:space="0" w:color="auto" w:frame="1"/>
        </w:rPr>
        <w:lastRenderedPageBreak/>
        <w:t>Relator Especial sobre los Derechos de los Pueblos Indígenas</w:t>
      </w:r>
      <w:r w:rsidRPr="0016162D">
        <w:rPr>
          <w:rFonts w:ascii="Arial" w:hAnsi="Arial" w:cs="Arial"/>
          <w:color w:val="333333"/>
          <w:sz w:val="24"/>
          <w:szCs w:val="24"/>
        </w:rPr>
        <w:t> (2002)</w:t>
      </w:r>
      <w:r>
        <w:rPr>
          <w:rFonts w:ascii="Arial" w:hAnsi="Arial" w:cs="Arial"/>
          <w:color w:val="333333"/>
          <w:sz w:val="24"/>
          <w:szCs w:val="24"/>
        </w:rPr>
        <w:t>.</w:t>
      </w:r>
    </w:p>
    <w:p w:rsidR="0016162D" w:rsidRPr="0016162D" w:rsidRDefault="0016162D" w:rsidP="009319DE">
      <w:pPr>
        <w:numPr>
          <w:ilvl w:val="0"/>
          <w:numId w:val="23"/>
        </w:numPr>
        <w:spacing w:after="0" w:line="360" w:lineRule="auto"/>
        <w:ind w:left="567" w:hanging="567"/>
        <w:jc w:val="both"/>
        <w:textAlignment w:val="baseline"/>
        <w:rPr>
          <w:rFonts w:ascii="Arial" w:hAnsi="Arial" w:cs="Arial"/>
          <w:color w:val="333333"/>
          <w:sz w:val="24"/>
          <w:szCs w:val="24"/>
        </w:rPr>
      </w:pPr>
      <w:r w:rsidRPr="0016162D">
        <w:rPr>
          <w:rStyle w:val="Textoennegrita"/>
          <w:rFonts w:ascii="Arial" w:hAnsi="Arial" w:cs="Arial"/>
          <w:color w:val="333333"/>
          <w:sz w:val="24"/>
          <w:szCs w:val="24"/>
          <w:bdr w:val="none" w:sz="0" w:space="0" w:color="auto" w:frame="1"/>
        </w:rPr>
        <w:t>Mecanismo de Expertos sobre los Derechos de los Pueblos Indígenas</w:t>
      </w:r>
      <w:r w:rsidRPr="0016162D">
        <w:rPr>
          <w:rFonts w:ascii="Arial" w:hAnsi="Arial" w:cs="Arial"/>
          <w:color w:val="333333"/>
          <w:sz w:val="24"/>
          <w:szCs w:val="24"/>
        </w:rPr>
        <w:t> (2007)</w:t>
      </w:r>
      <w:r>
        <w:rPr>
          <w:rFonts w:ascii="Arial" w:hAnsi="Arial" w:cs="Arial"/>
          <w:color w:val="333333"/>
          <w:sz w:val="24"/>
          <w:szCs w:val="24"/>
        </w:rPr>
        <w:t>.</w:t>
      </w:r>
    </w:p>
    <w:p w:rsidR="0016162D" w:rsidRPr="0016162D" w:rsidRDefault="0016162D" w:rsidP="0016162D">
      <w:pPr>
        <w:pStyle w:val="Encabezado"/>
        <w:spacing w:line="360" w:lineRule="auto"/>
        <w:ind w:firstLine="567"/>
        <w:jc w:val="both"/>
        <w:rPr>
          <w:rFonts w:ascii="Arial" w:hAnsi="Arial"/>
          <w:sz w:val="24"/>
          <w:szCs w:val="24"/>
        </w:rPr>
      </w:pPr>
      <w:r w:rsidRPr="0016162D">
        <w:rPr>
          <w:rFonts w:ascii="Arial" w:hAnsi="Arial"/>
          <w:sz w:val="24"/>
          <w:szCs w:val="24"/>
        </w:rPr>
        <w:t xml:space="preserve">En lo principal, los temas que han ocupado de manera relevante la agenda de los Estados y de los representantes de los pueblos indígenas de la región son </w:t>
      </w:r>
      <w:proofErr w:type="gramStart"/>
      <w:r w:rsidRPr="0016162D">
        <w:rPr>
          <w:rFonts w:ascii="Arial" w:hAnsi="Arial"/>
          <w:sz w:val="24"/>
          <w:szCs w:val="24"/>
        </w:rPr>
        <w:t>el</w:t>
      </w:r>
      <w:proofErr w:type="gramEnd"/>
      <w:r w:rsidRPr="0016162D">
        <w:rPr>
          <w:rFonts w:ascii="Arial" w:hAnsi="Arial"/>
          <w:sz w:val="24"/>
          <w:szCs w:val="24"/>
        </w:rPr>
        <w:t> derecho a la consulta y la participación indígena.</w:t>
      </w:r>
    </w:p>
    <w:p w:rsidR="0016162D" w:rsidRPr="0016162D" w:rsidRDefault="0016162D" w:rsidP="0016162D">
      <w:pPr>
        <w:pStyle w:val="Encabezado"/>
        <w:spacing w:line="360" w:lineRule="auto"/>
        <w:ind w:firstLine="567"/>
        <w:jc w:val="both"/>
        <w:rPr>
          <w:rFonts w:ascii="Arial" w:hAnsi="Arial"/>
          <w:sz w:val="24"/>
          <w:szCs w:val="24"/>
        </w:rPr>
      </w:pPr>
      <w:r w:rsidRPr="0016162D">
        <w:rPr>
          <w:rFonts w:ascii="Arial" w:hAnsi="Arial"/>
          <w:sz w:val="24"/>
          <w:szCs w:val="24"/>
        </w:rPr>
        <w:t>En la práctica el gran desafío ha sido establecer mecanismos adecuados que aseguren una efectiva participación de los pueblos, en especial respecto a decisiones acerca de su propio desarrollo, tierras, territorios y explotación de recursos naturales y otros temas que los afecten a ellos y a su supervivencia económica, social y cultural.</w:t>
      </w:r>
    </w:p>
    <w:p w:rsidR="0016162D" w:rsidRPr="0016162D" w:rsidRDefault="0016162D" w:rsidP="0016162D">
      <w:pPr>
        <w:pStyle w:val="Encabezado"/>
        <w:spacing w:line="360" w:lineRule="auto"/>
        <w:ind w:firstLine="567"/>
        <w:jc w:val="both"/>
        <w:rPr>
          <w:rFonts w:ascii="Arial" w:hAnsi="Arial"/>
          <w:sz w:val="24"/>
          <w:szCs w:val="24"/>
        </w:rPr>
      </w:pPr>
      <w:r w:rsidRPr="0016162D">
        <w:rPr>
          <w:rFonts w:ascii="Arial" w:hAnsi="Arial"/>
          <w:sz w:val="24"/>
          <w:szCs w:val="24"/>
        </w:rPr>
        <w:t>Ante el escenario descrito, los pueblos indígenas han encontrado en la judicialización de sus casos, tanto en sedes nacionales como regionales e internacionales, una alternativa válida. Esto ante la omisión de algunos Estados de propiciar un diálogo y establecer procesos participativos para determinar mecanismos de consulta legitimados por los pueblos indígenas y conforme a los estándares internacionales.</w:t>
      </w:r>
    </w:p>
    <w:p w:rsidR="0016162D" w:rsidRPr="0016162D" w:rsidRDefault="0016162D" w:rsidP="0016162D">
      <w:pPr>
        <w:pStyle w:val="Encabezado"/>
        <w:spacing w:line="360" w:lineRule="auto"/>
        <w:ind w:firstLine="567"/>
        <w:jc w:val="both"/>
        <w:rPr>
          <w:rFonts w:ascii="Arial" w:hAnsi="Arial"/>
          <w:sz w:val="24"/>
          <w:szCs w:val="24"/>
        </w:rPr>
      </w:pPr>
      <w:r w:rsidRPr="0016162D">
        <w:rPr>
          <w:rFonts w:ascii="Arial" w:hAnsi="Arial"/>
          <w:sz w:val="24"/>
          <w:szCs w:val="24"/>
        </w:rPr>
        <w:t>En el sistema universal de protección de los derechos humanos, distintos Comités de las Naciones Unidas han debido conocer y pronunciarse sobre diversos casos de vulneración de los derechos de los pueblos indígenas. Desde su primer caso, “</w:t>
      </w:r>
      <w:proofErr w:type="spellStart"/>
      <w:r w:rsidRPr="0016162D">
        <w:rPr>
          <w:rFonts w:ascii="Arial" w:hAnsi="Arial"/>
          <w:sz w:val="24"/>
          <w:szCs w:val="24"/>
        </w:rPr>
        <w:fldChar w:fldCharType="begin"/>
      </w:r>
      <w:r w:rsidRPr="0016162D">
        <w:rPr>
          <w:rFonts w:ascii="Arial" w:hAnsi="Arial"/>
          <w:sz w:val="24"/>
          <w:szCs w:val="24"/>
        </w:rPr>
        <w:instrText xml:space="preserve"> HYPERLINK "http://acnudh.org/?p=15258" </w:instrText>
      </w:r>
      <w:r w:rsidRPr="0016162D">
        <w:rPr>
          <w:rFonts w:ascii="Arial" w:hAnsi="Arial"/>
          <w:sz w:val="24"/>
          <w:szCs w:val="24"/>
        </w:rPr>
        <w:fldChar w:fldCharType="separate"/>
      </w:r>
      <w:r w:rsidRPr="0016162D">
        <w:rPr>
          <w:rFonts w:ascii="Arial" w:hAnsi="Arial"/>
          <w:sz w:val="24"/>
          <w:szCs w:val="24"/>
        </w:rPr>
        <w:t>Länsman</w:t>
      </w:r>
      <w:proofErr w:type="spellEnd"/>
      <w:r w:rsidRPr="0016162D">
        <w:rPr>
          <w:rFonts w:ascii="Arial" w:hAnsi="Arial"/>
          <w:sz w:val="24"/>
          <w:szCs w:val="24"/>
        </w:rPr>
        <w:t xml:space="preserve"> y otros vs. Finlandia</w:t>
      </w:r>
      <w:r w:rsidRPr="0016162D">
        <w:rPr>
          <w:rFonts w:ascii="Arial" w:hAnsi="Arial"/>
          <w:sz w:val="24"/>
          <w:szCs w:val="24"/>
        </w:rPr>
        <w:fldChar w:fldCharType="end"/>
      </w:r>
      <w:r w:rsidRPr="0016162D">
        <w:rPr>
          <w:rFonts w:ascii="Arial" w:hAnsi="Arial"/>
          <w:sz w:val="24"/>
          <w:szCs w:val="24"/>
        </w:rPr>
        <w:t>” de 1992, en el cual el </w:t>
      </w:r>
      <w:hyperlink r:id="rId38" w:history="1">
        <w:r w:rsidRPr="0016162D">
          <w:rPr>
            <w:rFonts w:ascii="Arial" w:hAnsi="Arial"/>
            <w:sz w:val="24"/>
            <w:szCs w:val="24"/>
          </w:rPr>
          <w:t>Comité de Derechos Humanos (CCPR)</w:t>
        </w:r>
      </w:hyperlink>
      <w:r w:rsidRPr="0016162D">
        <w:rPr>
          <w:rFonts w:ascii="Arial" w:hAnsi="Arial"/>
          <w:sz w:val="24"/>
          <w:szCs w:val="24"/>
        </w:rPr>
        <w:t> señalaba que si bien era permitido a los Estados desarrollar actividades económicas que implicaran una limitación a los derechos de una minoría cultural, esas limitaciones no podían conllevar que se extinga por completo el modo de vida de un pueblo indígena.</w:t>
      </w:r>
    </w:p>
    <w:p w:rsidR="0016162D" w:rsidRPr="0016162D" w:rsidRDefault="0016162D" w:rsidP="0016162D">
      <w:pPr>
        <w:pStyle w:val="Encabezado"/>
        <w:spacing w:line="360" w:lineRule="auto"/>
        <w:ind w:firstLine="567"/>
        <w:jc w:val="both"/>
        <w:rPr>
          <w:rFonts w:ascii="Arial" w:hAnsi="Arial"/>
          <w:sz w:val="24"/>
          <w:szCs w:val="24"/>
        </w:rPr>
      </w:pPr>
      <w:r w:rsidRPr="0016162D">
        <w:rPr>
          <w:rFonts w:ascii="Arial" w:hAnsi="Arial"/>
          <w:sz w:val="24"/>
          <w:szCs w:val="24"/>
        </w:rPr>
        <w:t>El CCPR ha avanzado y profundizado este estándar a través de una extensa jurisprudencia progresista que considera que esas mismas limitaciones no solo se aplican cuando está en peligro la sobrevivencia de un grupo sino también cuando se afecta sustancialmente su forma de vida.</w:t>
      </w:r>
    </w:p>
    <w:p w:rsidR="0016162D" w:rsidRPr="0016162D" w:rsidRDefault="0016162D" w:rsidP="0016162D">
      <w:pPr>
        <w:pStyle w:val="Encabezado"/>
        <w:spacing w:line="360" w:lineRule="auto"/>
        <w:ind w:firstLine="567"/>
        <w:jc w:val="both"/>
        <w:rPr>
          <w:rFonts w:ascii="Arial" w:hAnsi="Arial"/>
          <w:sz w:val="24"/>
          <w:szCs w:val="24"/>
        </w:rPr>
      </w:pPr>
      <w:r w:rsidRPr="0016162D">
        <w:rPr>
          <w:rFonts w:ascii="Arial" w:hAnsi="Arial"/>
          <w:sz w:val="24"/>
          <w:szCs w:val="24"/>
        </w:rPr>
        <w:t xml:space="preserve">En este sentido, el Comité de Derechos Humanos ha invocado en diversos casos el derecho de libre determinación en relación con los pueblos indígenas </w:t>
      </w:r>
      <w:r w:rsidRPr="0016162D">
        <w:rPr>
          <w:rFonts w:ascii="Arial" w:hAnsi="Arial"/>
          <w:sz w:val="24"/>
          <w:szCs w:val="24"/>
        </w:rPr>
        <w:lastRenderedPageBreak/>
        <w:t>(derecho a disponer libremente de sus recursos y derecho a tener sus medios de subsistencia).</w:t>
      </w:r>
    </w:p>
    <w:p w:rsidR="0016162D" w:rsidRPr="0016162D" w:rsidRDefault="0016162D" w:rsidP="0016162D">
      <w:pPr>
        <w:pStyle w:val="Encabezado"/>
        <w:spacing w:line="360" w:lineRule="auto"/>
        <w:ind w:firstLine="567"/>
        <w:jc w:val="both"/>
        <w:rPr>
          <w:rFonts w:ascii="Arial" w:hAnsi="Arial"/>
          <w:sz w:val="24"/>
          <w:szCs w:val="24"/>
        </w:rPr>
      </w:pPr>
      <w:r w:rsidRPr="0016162D">
        <w:rPr>
          <w:b/>
          <w:bCs/>
          <w:sz w:val="24"/>
          <w:szCs w:val="24"/>
        </w:rPr>
        <w:t> </w:t>
      </w:r>
    </w:p>
    <w:p w:rsidR="0016162D" w:rsidRPr="0016162D" w:rsidRDefault="0016162D" w:rsidP="0016162D">
      <w:pPr>
        <w:pStyle w:val="Encabezado"/>
        <w:spacing w:line="360" w:lineRule="auto"/>
        <w:ind w:firstLine="567"/>
        <w:jc w:val="both"/>
        <w:rPr>
          <w:rFonts w:ascii="Arial" w:hAnsi="Arial" w:cs="Arial"/>
          <w:sz w:val="24"/>
          <w:szCs w:val="24"/>
        </w:rPr>
      </w:pPr>
      <w:r w:rsidRPr="0016162D">
        <w:rPr>
          <w:rFonts w:ascii="Arial" w:hAnsi="Arial" w:cs="Arial"/>
          <w:b/>
          <w:bCs/>
          <w:sz w:val="24"/>
          <w:szCs w:val="24"/>
        </w:rPr>
        <w:t>Derecho a la Consulta y Consentimiento previo, libre e informado</w:t>
      </w:r>
    </w:p>
    <w:p w:rsidR="0016162D" w:rsidRPr="0016162D" w:rsidRDefault="0016162D" w:rsidP="0016162D">
      <w:pPr>
        <w:pStyle w:val="Encabezado"/>
        <w:spacing w:line="360" w:lineRule="auto"/>
        <w:ind w:firstLine="567"/>
        <w:jc w:val="both"/>
        <w:rPr>
          <w:rFonts w:ascii="Arial" w:hAnsi="Arial"/>
          <w:sz w:val="24"/>
          <w:szCs w:val="24"/>
        </w:rPr>
      </w:pPr>
      <w:r w:rsidRPr="0016162D">
        <w:rPr>
          <w:rFonts w:ascii="Arial" w:hAnsi="Arial"/>
          <w:sz w:val="24"/>
          <w:szCs w:val="24"/>
        </w:rPr>
        <w:t>En un dictamen más reciente, </w:t>
      </w:r>
      <w:hyperlink r:id="rId39" w:history="1">
        <w:r w:rsidRPr="00A279ED">
          <w:rPr>
            <w:rFonts w:ascii="Arial" w:hAnsi="Arial"/>
            <w:sz w:val="24"/>
            <w:szCs w:val="24"/>
          </w:rPr>
          <w:t xml:space="preserve">“Caso Poma </w:t>
        </w:r>
        <w:proofErr w:type="spellStart"/>
        <w:r w:rsidRPr="00A279ED">
          <w:rPr>
            <w:rFonts w:ascii="Arial" w:hAnsi="Arial"/>
            <w:sz w:val="24"/>
            <w:szCs w:val="24"/>
          </w:rPr>
          <w:t>Poma</w:t>
        </w:r>
        <w:proofErr w:type="spellEnd"/>
        <w:r w:rsidRPr="00A279ED">
          <w:rPr>
            <w:rFonts w:ascii="Arial" w:hAnsi="Arial"/>
            <w:sz w:val="24"/>
            <w:szCs w:val="24"/>
          </w:rPr>
          <w:t xml:space="preserve"> versus Perú” (2009)</w:t>
        </w:r>
      </w:hyperlink>
      <w:r w:rsidRPr="00A279ED">
        <w:rPr>
          <w:rFonts w:ascii="Arial" w:hAnsi="Arial"/>
          <w:sz w:val="24"/>
          <w:szCs w:val="24"/>
        </w:rPr>
        <w:t>,</w:t>
      </w:r>
      <w:r w:rsidRPr="0016162D">
        <w:rPr>
          <w:rFonts w:ascii="Arial" w:hAnsi="Arial"/>
          <w:sz w:val="24"/>
          <w:szCs w:val="24"/>
        </w:rPr>
        <w:t> el mismo Comité reconoce a los pueblos indígenas un </w:t>
      </w:r>
      <w:r w:rsidRPr="00A279ED">
        <w:rPr>
          <w:rFonts w:ascii="Arial" w:hAnsi="Arial"/>
          <w:sz w:val="24"/>
          <w:szCs w:val="24"/>
        </w:rPr>
        <w:t>derecho a la consulta</w:t>
      </w:r>
      <w:r w:rsidRPr="0016162D">
        <w:rPr>
          <w:rFonts w:ascii="Arial" w:hAnsi="Arial"/>
          <w:sz w:val="24"/>
          <w:szCs w:val="24"/>
        </w:rPr>
        <w:t> en un caso de explotación de recursos naturales que se contraponía a la subsistencia cultural y económica de comunidades indígenas. El Comité sigue consolidando su jurisprudencia en relación a pueblos indígenas e incorpora conceptos reconocidos en la Declaración de Naciones Unidas. Específicamente, considera “que la permisibilidad de las medidas que comprometen significativamente las actividades económicas de valor cultural de una minoría o comunidad indígena o interfieren en ellas, guarda relación con el hechos que los miembros de esa comunidad hayan tenido oportunidad de participar en el proceso de adopción de decisiones relativas a esas medidas y de que sigan beneficiándose de su economía tradicional”. El Comité desarrolla el estándar que, en ciertos proyectos de explotación económica, no es suficiente la mera consulta sino que es necesario obtener el </w:t>
      </w:r>
      <w:r w:rsidRPr="00A279ED">
        <w:rPr>
          <w:rFonts w:ascii="Arial" w:hAnsi="Arial"/>
          <w:sz w:val="24"/>
          <w:szCs w:val="24"/>
        </w:rPr>
        <w:t>consentimiento libre, previo e informado</w:t>
      </w:r>
      <w:r w:rsidRPr="0016162D">
        <w:rPr>
          <w:rFonts w:ascii="Arial" w:hAnsi="Arial"/>
          <w:sz w:val="24"/>
          <w:szCs w:val="24"/>
        </w:rPr>
        <w:t> de los miembros de una comunidad indígena.</w:t>
      </w:r>
    </w:p>
    <w:p w:rsidR="0016162D" w:rsidRPr="0016162D" w:rsidRDefault="0016162D" w:rsidP="0016162D">
      <w:pPr>
        <w:pStyle w:val="Encabezado"/>
        <w:spacing w:line="360" w:lineRule="auto"/>
        <w:ind w:firstLine="567"/>
        <w:jc w:val="both"/>
        <w:rPr>
          <w:rFonts w:ascii="Arial" w:hAnsi="Arial" w:cs="Arial"/>
          <w:sz w:val="24"/>
          <w:szCs w:val="24"/>
        </w:rPr>
      </w:pPr>
      <w:r w:rsidRPr="00A279ED">
        <w:rPr>
          <w:rFonts w:ascii="Arial" w:hAnsi="Arial"/>
          <w:sz w:val="24"/>
          <w:szCs w:val="24"/>
        </w:rPr>
        <w:t>En 2009, otros dos Comités desarrollaron el alcance de los derechos de los pueblos indígenas. El </w:t>
      </w:r>
      <w:hyperlink r:id="rId40" w:history="1">
        <w:r w:rsidRPr="00A279ED">
          <w:rPr>
            <w:rFonts w:ascii="Arial" w:hAnsi="Arial"/>
            <w:sz w:val="24"/>
            <w:szCs w:val="24"/>
          </w:rPr>
          <w:t>Comité para la Eliminación de la Discriminación Racial (CERD</w:t>
        </w:r>
      </w:hyperlink>
      <w:r w:rsidRPr="0016162D">
        <w:rPr>
          <w:rFonts w:ascii="Arial" w:hAnsi="Arial" w:cs="Arial"/>
          <w:b/>
          <w:bCs/>
          <w:sz w:val="24"/>
          <w:szCs w:val="24"/>
        </w:rPr>
        <w:t>)</w:t>
      </w:r>
      <w:r w:rsidRPr="0016162D">
        <w:rPr>
          <w:rFonts w:ascii="Arial" w:hAnsi="Arial" w:cs="Arial"/>
          <w:sz w:val="24"/>
          <w:szCs w:val="24"/>
        </w:rPr>
        <w:t> clarificó en una observación general que los derechos de los pueblos indígenas son permanentes y no deben confundirse con “medidas especiales” transitorias, que son las medidas tendentes a remediar la discriminación del pasado o a corregir desigualdades contemporáneas; y el </w:t>
      </w:r>
      <w:hyperlink r:id="rId41" w:history="1">
        <w:r w:rsidRPr="0016162D">
          <w:rPr>
            <w:rFonts w:ascii="Arial" w:hAnsi="Arial" w:cs="Arial"/>
            <w:sz w:val="24"/>
            <w:szCs w:val="24"/>
          </w:rPr>
          <w:t>Comité de Derechos Económicos, Sociales y Culturales (CESCR)</w:t>
        </w:r>
      </w:hyperlink>
      <w:r w:rsidRPr="0016162D">
        <w:rPr>
          <w:rFonts w:ascii="Arial" w:hAnsi="Arial" w:cs="Arial"/>
          <w:sz w:val="24"/>
          <w:szCs w:val="24"/>
        </w:rPr>
        <w:t> afirmó la importancia del derecho a mantener y desarrollar una vida cultural del cual son titulares todos los pueblos indígenas. </w:t>
      </w:r>
    </w:p>
    <w:p w:rsidR="0016162D" w:rsidRDefault="0016162D" w:rsidP="0016162D">
      <w:pPr>
        <w:pStyle w:val="Encabezado"/>
        <w:spacing w:line="360" w:lineRule="auto"/>
        <w:ind w:firstLine="567"/>
        <w:jc w:val="both"/>
        <w:rPr>
          <w:rFonts w:ascii="Arial" w:hAnsi="Arial" w:cs="Arial"/>
          <w:b/>
          <w:bCs/>
          <w:sz w:val="24"/>
          <w:szCs w:val="24"/>
        </w:rPr>
      </w:pPr>
    </w:p>
    <w:p w:rsidR="0016162D" w:rsidRPr="0016162D" w:rsidRDefault="0016162D" w:rsidP="0016162D">
      <w:pPr>
        <w:pStyle w:val="Encabezado"/>
        <w:spacing w:line="360" w:lineRule="auto"/>
        <w:ind w:firstLine="567"/>
        <w:jc w:val="both"/>
        <w:rPr>
          <w:rFonts w:ascii="Arial" w:hAnsi="Arial" w:cs="Arial"/>
          <w:sz w:val="24"/>
          <w:szCs w:val="24"/>
        </w:rPr>
      </w:pPr>
      <w:r w:rsidRPr="0016162D">
        <w:rPr>
          <w:rFonts w:ascii="Arial" w:hAnsi="Arial" w:cs="Arial"/>
          <w:b/>
          <w:bCs/>
          <w:sz w:val="24"/>
          <w:szCs w:val="24"/>
        </w:rPr>
        <w:t>Fallos de la Corte Interamericana</w:t>
      </w:r>
    </w:p>
    <w:p w:rsidR="0016162D" w:rsidRPr="0016162D" w:rsidRDefault="0016162D" w:rsidP="0016162D">
      <w:pPr>
        <w:pStyle w:val="Encabezado"/>
        <w:spacing w:line="360" w:lineRule="auto"/>
        <w:ind w:firstLine="567"/>
        <w:jc w:val="both"/>
        <w:rPr>
          <w:rFonts w:ascii="Arial" w:hAnsi="Arial"/>
          <w:sz w:val="24"/>
          <w:szCs w:val="24"/>
        </w:rPr>
      </w:pPr>
      <w:r w:rsidRPr="0016162D">
        <w:rPr>
          <w:rFonts w:ascii="Arial" w:hAnsi="Arial"/>
          <w:sz w:val="24"/>
          <w:szCs w:val="24"/>
        </w:rPr>
        <w:t xml:space="preserve">A nivel regional, la Corte interamericana de Derechos Humanos, en los últimos 15 años, ha conocido de una veintena de casos que le han permitido </w:t>
      </w:r>
      <w:r w:rsidRPr="0016162D">
        <w:rPr>
          <w:rFonts w:ascii="Arial" w:hAnsi="Arial"/>
          <w:sz w:val="24"/>
          <w:szCs w:val="24"/>
        </w:rPr>
        <w:lastRenderedPageBreak/>
        <w:t>construir estándares para asegurar el respeto de los derechos de los pueblos indígenas. La Corte, a través de una interpretación evolutiva, ha logrado construir un estándar en relación al </w:t>
      </w:r>
      <w:r w:rsidRPr="00A279ED">
        <w:rPr>
          <w:rFonts w:ascii="Arial" w:hAnsi="Arial"/>
          <w:sz w:val="24"/>
          <w:szCs w:val="24"/>
        </w:rPr>
        <w:t>derecho a la propiedad</w:t>
      </w:r>
      <w:r w:rsidRPr="0016162D">
        <w:rPr>
          <w:rFonts w:ascii="Arial" w:hAnsi="Arial"/>
          <w:sz w:val="24"/>
          <w:szCs w:val="24"/>
        </w:rPr>
        <w:t> distinto al tradicional y conforme a la cosmovisión de los pueblos indígenas incorporando el </w:t>
      </w:r>
      <w:r w:rsidRPr="0016162D">
        <w:rPr>
          <w:b/>
          <w:bCs/>
          <w:sz w:val="24"/>
          <w:szCs w:val="24"/>
        </w:rPr>
        <w:t>deber de consulta</w:t>
      </w:r>
      <w:r w:rsidRPr="0016162D">
        <w:rPr>
          <w:rFonts w:ascii="Arial" w:hAnsi="Arial"/>
          <w:sz w:val="24"/>
          <w:szCs w:val="24"/>
        </w:rPr>
        <w:t xml:space="preserve">. Además, aludiendo al derecho internacional de los derechos humanos, ha utilizado como herramienta de interpretación tanto el Convenio 169, dictámenes y observaciones generales de los Comités de Naciones Unidas, como sentencias de los tribunales superiores de justicia de la región. En su última sentencia de junio </w:t>
      </w:r>
      <w:r w:rsidRPr="0016162D">
        <w:rPr>
          <w:rFonts w:ascii="Arial" w:hAnsi="Arial" w:cs="Arial"/>
          <w:sz w:val="24"/>
          <w:szCs w:val="24"/>
        </w:rPr>
        <w:t>de 2012 relativa al tema, </w:t>
      </w:r>
      <w:r w:rsidRPr="0016162D">
        <w:rPr>
          <w:rFonts w:ascii="Arial" w:hAnsi="Arial" w:cs="Arial"/>
          <w:b/>
          <w:bCs/>
          <w:sz w:val="24"/>
          <w:szCs w:val="24"/>
        </w:rPr>
        <w:t>“</w:t>
      </w:r>
      <w:hyperlink r:id="rId42" w:history="1">
        <w:r w:rsidRPr="00A279ED">
          <w:rPr>
            <w:rFonts w:ascii="Arial" w:hAnsi="Arial"/>
            <w:sz w:val="24"/>
            <w:szCs w:val="24"/>
          </w:rPr>
          <w:t xml:space="preserve">Caso Pueblo Indígena </w:t>
        </w:r>
        <w:proofErr w:type="spellStart"/>
        <w:r w:rsidRPr="00A279ED">
          <w:rPr>
            <w:rFonts w:ascii="Arial" w:hAnsi="Arial"/>
            <w:sz w:val="24"/>
            <w:szCs w:val="24"/>
          </w:rPr>
          <w:t>Kiwcha</w:t>
        </w:r>
        <w:proofErr w:type="spellEnd"/>
        <w:r w:rsidRPr="00A279ED">
          <w:rPr>
            <w:rFonts w:ascii="Arial" w:hAnsi="Arial"/>
            <w:sz w:val="24"/>
            <w:szCs w:val="24"/>
          </w:rPr>
          <w:t xml:space="preserve"> de </w:t>
        </w:r>
        <w:proofErr w:type="spellStart"/>
        <w:r w:rsidRPr="00A279ED">
          <w:rPr>
            <w:rFonts w:ascii="Arial" w:hAnsi="Arial"/>
            <w:sz w:val="24"/>
            <w:szCs w:val="24"/>
          </w:rPr>
          <w:t>Sarayaku</w:t>
        </w:r>
        <w:proofErr w:type="spellEnd"/>
        <w:r w:rsidRPr="00A279ED">
          <w:rPr>
            <w:rFonts w:ascii="Arial" w:hAnsi="Arial"/>
            <w:sz w:val="24"/>
            <w:szCs w:val="24"/>
          </w:rPr>
          <w:t xml:space="preserve"> vs. Ecuador</w:t>
        </w:r>
      </w:hyperlink>
      <w:r w:rsidRPr="00A279ED">
        <w:rPr>
          <w:rFonts w:ascii="Arial" w:hAnsi="Arial"/>
          <w:sz w:val="24"/>
          <w:szCs w:val="24"/>
        </w:rPr>
        <w:t>”, la</w:t>
      </w:r>
      <w:r w:rsidRPr="0016162D">
        <w:rPr>
          <w:rFonts w:ascii="Arial" w:hAnsi="Arial"/>
          <w:sz w:val="24"/>
          <w:szCs w:val="24"/>
        </w:rPr>
        <w:t xml:space="preserve"> Corte reitera que “para garantizar la participación efectiva de los integrantes de un pueblo o comunidad indígenas en los planes de desarrollo o inversión dentro de su territorio, el Estado tiene el deber de consultar, activamente y de manera informada, con dicha comunidad, según sus costumbres y tradiciones, en el marco de una comunicación constante entre las partes. Además, las consultas deben realizarse de </w:t>
      </w:r>
      <w:r w:rsidRPr="00A279ED">
        <w:rPr>
          <w:rFonts w:ascii="Arial" w:hAnsi="Arial"/>
          <w:sz w:val="24"/>
          <w:szCs w:val="24"/>
        </w:rPr>
        <w:t>buena fe</w:t>
      </w:r>
      <w:r w:rsidRPr="0016162D">
        <w:rPr>
          <w:rFonts w:ascii="Arial" w:hAnsi="Arial"/>
          <w:sz w:val="24"/>
          <w:szCs w:val="24"/>
        </w:rPr>
        <w:t>, a través de procedimientos culturalmente adecuados y deben tener como fin llegar  a un acuerdo</w:t>
      </w:r>
      <w:r>
        <w:rPr>
          <w:rFonts w:ascii="Arial" w:hAnsi="Arial"/>
          <w:sz w:val="24"/>
          <w:szCs w:val="24"/>
        </w:rPr>
        <w:t>”.</w:t>
      </w:r>
      <w:r w:rsidRPr="0016162D">
        <w:rPr>
          <w:rFonts w:ascii="Arial" w:hAnsi="Arial"/>
          <w:sz w:val="24"/>
          <w:szCs w:val="24"/>
        </w:rPr>
        <w:t xml:space="preserve"> </w:t>
      </w:r>
    </w:p>
    <w:p w:rsidR="0016162D" w:rsidRDefault="0016162D" w:rsidP="0016162D">
      <w:pPr>
        <w:pStyle w:val="Encabezado"/>
        <w:spacing w:line="360" w:lineRule="auto"/>
        <w:ind w:firstLine="567"/>
        <w:jc w:val="both"/>
        <w:rPr>
          <w:b/>
          <w:bCs/>
          <w:sz w:val="24"/>
          <w:szCs w:val="24"/>
        </w:rPr>
      </w:pPr>
    </w:p>
    <w:p w:rsidR="0016162D" w:rsidRPr="0016162D" w:rsidRDefault="0016162D" w:rsidP="0016162D">
      <w:pPr>
        <w:pStyle w:val="Encabezado"/>
        <w:spacing w:line="360" w:lineRule="auto"/>
        <w:ind w:firstLine="567"/>
        <w:jc w:val="both"/>
        <w:rPr>
          <w:rFonts w:ascii="Arial" w:hAnsi="Arial" w:cs="Arial"/>
          <w:sz w:val="24"/>
          <w:szCs w:val="24"/>
        </w:rPr>
      </w:pPr>
      <w:r w:rsidRPr="0016162D">
        <w:rPr>
          <w:rFonts w:ascii="Arial" w:hAnsi="Arial" w:cs="Arial"/>
          <w:b/>
          <w:bCs/>
          <w:sz w:val="24"/>
          <w:szCs w:val="24"/>
        </w:rPr>
        <w:t>Sentencias nacionales</w:t>
      </w:r>
    </w:p>
    <w:p w:rsidR="0016162D" w:rsidRPr="0016162D" w:rsidRDefault="0016162D" w:rsidP="0016162D">
      <w:pPr>
        <w:pStyle w:val="Encabezado"/>
        <w:spacing w:line="360" w:lineRule="auto"/>
        <w:ind w:firstLine="567"/>
        <w:jc w:val="both"/>
        <w:rPr>
          <w:rFonts w:ascii="Arial" w:hAnsi="Arial"/>
          <w:sz w:val="24"/>
          <w:szCs w:val="24"/>
        </w:rPr>
      </w:pPr>
      <w:r w:rsidRPr="0016162D">
        <w:rPr>
          <w:rFonts w:ascii="Arial" w:hAnsi="Arial"/>
          <w:sz w:val="24"/>
          <w:szCs w:val="24"/>
        </w:rPr>
        <w:t xml:space="preserve">A nivel nacional también se pueden encontrar sentencias de tribunales que han resuelto casos que involucraban los derechos de pueblos indígenas y en los cuales se tiene en consideración la </w:t>
      </w:r>
      <w:r w:rsidRPr="0016162D">
        <w:rPr>
          <w:rFonts w:ascii="Arial" w:hAnsi="Arial" w:cs="Arial"/>
          <w:sz w:val="24"/>
          <w:szCs w:val="24"/>
        </w:rPr>
        <w:t>importancia de </w:t>
      </w:r>
      <w:r w:rsidRPr="0016162D">
        <w:rPr>
          <w:rFonts w:ascii="Arial" w:hAnsi="Arial" w:cs="Arial"/>
          <w:b/>
          <w:bCs/>
          <w:sz w:val="24"/>
          <w:szCs w:val="24"/>
        </w:rPr>
        <w:t>respetar las culturas indígenas</w:t>
      </w:r>
      <w:r w:rsidRPr="0016162D">
        <w:rPr>
          <w:rFonts w:ascii="Arial" w:hAnsi="Arial" w:cs="Arial"/>
          <w:sz w:val="24"/>
          <w:szCs w:val="24"/>
        </w:rPr>
        <w:t> y se hace referencia a los tratados y estándares internacionales de derechos humanos. En este sentido, en 2011 la Corte Suprema de </w:t>
      </w:r>
      <w:r w:rsidRPr="0016162D">
        <w:rPr>
          <w:rFonts w:ascii="Arial" w:hAnsi="Arial" w:cs="Arial"/>
          <w:i/>
          <w:iCs/>
          <w:sz w:val="24"/>
          <w:szCs w:val="24"/>
        </w:rPr>
        <w:t>Chile</w:t>
      </w:r>
      <w:r w:rsidRPr="0016162D">
        <w:rPr>
          <w:rFonts w:ascii="Arial" w:hAnsi="Arial" w:cs="Arial"/>
          <w:sz w:val="24"/>
          <w:szCs w:val="24"/>
        </w:rPr>
        <w:t>, conociendo una acción constitucional ejercida por representantes de una comunidad indígena diaguita en contra de un proyecto de explotación de recursos naturales, sostuvo “que conviene dejar consignado que el Convenio N°169 sobre pueblos indígenas y tribales establece para aquellos grupos con especificidad cultural propia, un mecanismo de participación que les asegure el ejercicio del derecho esencial que la Constitución Política consagra en su artículo primero a todos los integrantes de la comunidad nacional, cual es el de intervenir con igualdad de condiciones</w:t>
      </w:r>
      <w:r w:rsidRPr="0016162D">
        <w:rPr>
          <w:rFonts w:ascii="Arial" w:hAnsi="Arial"/>
          <w:sz w:val="24"/>
          <w:szCs w:val="24"/>
        </w:rPr>
        <w:t xml:space="preserve"> en su mayor realización espiritual y material posible</w:t>
      </w:r>
      <w:r>
        <w:rPr>
          <w:rFonts w:ascii="Arial" w:hAnsi="Arial"/>
          <w:sz w:val="24"/>
          <w:szCs w:val="24"/>
        </w:rPr>
        <w:t>”.</w:t>
      </w:r>
    </w:p>
    <w:p w:rsidR="0016162D" w:rsidRPr="00A279ED" w:rsidRDefault="0016162D" w:rsidP="0016162D">
      <w:pPr>
        <w:pStyle w:val="Encabezado"/>
        <w:spacing w:line="360" w:lineRule="auto"/>
        <w:ind w:firstLine="567"/>
        <w:jc w:val="both"/>
        <w:rPr>
          <w:rFonts w:ascii="Arial" w:hAnsi="Arial"/>
          <w:sz w:val="24"/>
          <w:szCs w:val="24"/>
        </w:rPr>
      </w:pPr>
      <w:r w:rsidRPr="0016162D">
        <w:rPr>
          <w:rFonts w:ascii="Arial" w:hAnsi="Arial" w:cs="Arial"/>
          <w:sz w:val="24"/>
          <w:szCs w:val="24"/>
        </w:rPr>
        <w:lastRenderedPageBreak/>
        <w:t>En el caso de </w:t>
      </w:r>
      <w:r w:rsidRPr="0016162D">
        <w:rPr>
          <w:rFonts w:ascii="Arial" w:hAnsi="Arial" w:cs="Arial"/>
          <w:i/>
          <w:iCs/>
          <w:sz w:val="24"/>
          <w:szCs w:val="24"/>
        </w:rPr>
        <w:t>Argentina</w:t>
      </w:r>
      <w:r w:rsidRPr="0016162D">
        <w:rPr>
          <w:rFonts w:ascii="Arial" w:hAnsi="Arial" w:cs="Arial"/>
          <w:sz w:val="24"/>
          <w:szCs w:val="24"/>
        </w:rPr>
        <w:t>, en 2008 la Corte Suprema de Justicia expresó que la garantía del </w:t>
      </w:r>
      <w:r w:rsidRPr="0016162D">
        <w:rPr>
          <w:rFonts w:ascii="Arial" w:hAnsi="Arial" w:cs="Arial"/>
          <w:b/>
          <w:bCs/>
          <w:sz w:val="24"/>
          <w:szCs w:val="24"/>
        </w:rPr>
        <w:t>derecho a la propiedad comunitaria</w:t>
      </w:r>
      <w:r w:rsidRPr="0016162D">
        <w:rPr>
          <w:rFonts w:ascii="Arial" w:hAnsi="Arial" w:cs="Arial"/>
          <w:sz w:val="24"/>
          <w:szCs w:val="24"/>
        </w:rPr>
        <w:t> de los pueblos indígenas “debe tomar en cuenta que la tierra está estrechamente relacionada con sus tradiciones y expresiones orales, costumbres y lenguas, sus artes y rituales, sus conocimientos y usos relacionados con la naturaleza, sus artes culinarias, derechos consuetudinarios, su vestimenta, filosofía y valores”. En relación al </w:t>
      </w:r>
      <w:r w:rsidRPr="0016162D">
        <w:rPr>
          <w:rFonts w:ascii="Arial" w:hAnsi="Arial" w:cs="Arial"/>
          <w:b/>
          <w:bCs/>
          <w:sz w:val="24"/>
          <w:szCs w:val="24"/>
        </w:rPr>
        <w:t>derecho a la consulta</w:t>
      </w:r>
      <w:r w:rsidRPr="0016162D">
        <w:rPr>
          <w:rFonts w:ascii="Arial" w:hAnsi="Arial" w:cs="Arial"/>
          <w:sz w:val="24"/>
          <w:szCs w:val="24"/>
        </w:rPr>
        <w:t xml:space="preserve">, el Tribunal Superior de Neuquén sostuvo en 2010 que </w:t>
      </w:r>
      <w:r w:rsidRPr="00A279ED">
        <w:rPr>
          <w:rFonts w:ascii="Arial" w:hAnsi="Arial"/>
          <w:sz w:val="24"/>
          <w:szCs w:val="24"/>
        </w:rPr>
        <w:t>el derecho a la consulta es en esencia un derecho fundamental colectivo y por lo tanto el Estado “está obligado a instaurar procedimientos de buena fe destinados a recoger el parecer libre e informado de dichas comunidades, cuando se avizoren acciones gubernamentales, ya sea legislativas o administrativas, susceptibles de afectarles directamente…”</w:t>
      </w:r>
    </w:p>
    <w:p w:rsidR="0016162D" w:rsidRPr="0016162D" w:rsidRDefault="0016162D" w:rsidP="0016162D">
      <w:pPr>
        <w:pStyle w:val="Encabezado"/>
        <w:spacing w:line="360" w:lineRule="auto"/>
        <w:ind w:firstLine="567"/>
        <w:jc w:val="both"/>
        <w:rPr>
          <w:rFonts w:ascii="Arial" w:hAnsi="Arial"/>
          <w:sz w:val="24"/>
          <w:szCs w:val="24"/>
        </w:rPr>
      </w:pPr>
      <w:r w:rsidRPr="0016162D">
        <w:rPr>
          <w:rFonts w:ascii="Arial" w:hAnsi="Arial"/>
          <w:sz w:val="24"/>
          <w:szCs w:val="24"/>
        </w:rPr>
        <w:t>Recientemente un tribunal federal de </w:t>
      </w:r>
      <w:r w:rsidRPr="00A279ED">
        <w:rPr>
          <w:rFonts w:ascii="Arial" w:hAnsi="Arial"/>
          <w:sz w:val="24"/>
          <w:szCs w:val="24"/>
        </w:rPr>
        <w:t>Brasil</w:t>
      </w:r>
      <w:r w:rsidRPr="0016162D">
        <w:rPr>
          <w:rFonts w:ascii="Arial" w:hAnsi="Arial"/>
          <w:sz w:val="24"/>
          <w:szCs w:val="24"/>
        </w:rPr>
        <w:t> ordenó la suspensión de las obras de la  represa hidroeléctrica Belo Monte ubicada en la Amazonía, la decisión tiene como fundamento que no se había realizado una </w:t>
      </w:r>
      <w:r w:rsidRPr="00A279ED">
        <w:rPr>
          <w:rFonts w:ascii="Arial" w:hAnsi="Arial"/>
          <w:sz w:val="24"/>
          <w:szCs w:val="24"/>
        </w:rPr>
        <w:t>consulta previa</w:t>
      </w:r>
      <w:r w:rsidRPr="0016162D">
        <w:rPr>
          <w:rFonts w:ascii="Arial" w:hAnsi="Arial"/>
          <w:sz w:val="24"/>
          <w:szCs w:val="24"/>
        </w:rPr>
        <w:t> a las comunidades indígenas afectadas por el proyecto. Cabe destacar que sobre el mismo caso ya se había pronunciado la Comisión Interamericana de Derechos Humanos (CIDH) otorgando medidas cautelares.</w:t>
      </w:r>
    </w:p>
    <w:p w:rsidR="0016162D" w:rsidRDefault="0016162D" w:rsidP="0016162D">
      <w:pPr>
        <w:pStyle w:val="Encabezado"/>
        <w:spacing w:line="360" w:lineRule="auto"/>
        <w:ind w:firstLine="567"/>
        <w:jc w:val="both"/>
        <w:rPr>
          <w:rFonts w:ascii="Arial" w:hAnsi="Arial"/>
          <w:sz w:val="24"/>
          <w:szCs w:val="24"/>
        </w:rPr>
      </w:pPr>
      <w:r w:rsidRPr="00A279ED">
        <w:rPr>
          <w:rFonts w:ascii="Arial" w:hAnsi="Arial"/>
          <w:sz w:val="24"/>
          <w:szCs w:val="24"/>
        </w:rPr>
        <w:t>La Corte Constitucional colombiana ha destacado la importancia del derecho a la consulta y como éste derecho es la base para garantizar la autonomía de los pueblos indígenas y la conservación de sus culturas. Específicamente sobre el derecho a la consulta previa, libre e informada ha señalado que “es necesario que el Estado de forma articulada garantice e incentive la aplicación real y efectiva del</w:t>
      </w:r>
      <w:r w:rsidRPr="0016162D">
        <w:rPr>
          <w:rFonts w:ascii="Arial" w:hAnsi="Arial" w:cs="Arial"/>
          <w:sz w:val="24"/>
          <w:szCs w:val="24"/>
        </w:rPr>
        <w:t xml:space="preserve"> derecho fundamental a la consulta previa de las comunidades étnicas, pues</w:t>
      </w:r>
      <w:r w:rsidRPr="0016162D">
        <w:rPr>
          <w:rFonts w:ascii="Arial" w:hAnsi="Arial"/>
          <w:sz w:val="24"/>
          <w:szCs w:val="24"/>
        </w:rPr>
        <w:t xml:space="preserve"> ante todo las herramientas que subyacen a la consulta, permiten conciliar posiciones y llegar a un punto intermedio de diálogo intercultural en que los pueblos ejerzan su derecho a la autonomía con sus planes propios de vida frente a los modelos económicos basados en la economía de mercado o similares”</w:t>
      </w:r>
    </w:p>
    <w:p w:rsidR="0016162D" w:rsidRPr="0016162D" w:rsidRDefault="0016162D" w:rsidP="0016162D">
      <w:pPr>
        <w:pStyle w:val="Encabezado"/>
        <w:spacing w:line="360" w:lineRule="auto"/>
        <w:ind w:firstLine="567"/>
        <w:jc w:val="both"/>
        <w:rPr>
          <w:rFonts w:ascii="Arial" w:hAnsi="Arial"/>
          <w:sz w:val="24"/>
          <w:szCs w:val="24"/>
        </w:rPr>
      </w:pPr>
    </w:p>
    <w:p w:rsidR="001E6521" w:rsidRDefault="001E6521">
      <w:r>
        <w:br w:type="page"/>
      </w:r>
    </w:p>
    <w:tbl>
      <w:tblPr>
        <w:tblW w:w="0" w:type="auto"/>
        <w:tblCellSpacing w:w="0" w:type="dxa"/>
        <w:tblCellMar>
          <w:left w:w="0" w:type="dxa"/>
          <w:right w:w="0" w:type="dxa"/>
        </w:tblCellMar>
        <w:tblLook w:val="04A0"/>
      </w:tblPr>
      <w:tblGrid>
        <w:gridCol w:w="8838"/>
      </w:tblGrid>
      <w:tr w:rsidR="0016162D" w:rsidRPr="0016162D" w:rsidTr="001E6521">
        <w:trPr>
          <w:tblCellSpacing w:w="0" w:type="dxa"/>
        </w:trPr>
        <w:tc>
          <w:tcPr>
            <w:tcW w:w="8838" w:type="dxa"/>
            <w:tcBorders>
              <w:top w:val="nil"/>
              <w:left w:val="nil"/>
              <w:bottom w:val="nil"/>
              <w:right w:val="nil"/>
            </w:tcBorders>
            <w:shd w:val="clear" w:color="auto" w:fill="auto"/>
            <w:vAlign w:val="bottom"/>
            <w:hideMark/>
          </w:tcPr>
          <w:p w:rsidR="0016162D" w:rsidRPr="0016162D" w:rsidRDefault="0016162D" w:rsidP="0016162D">
            <w:pPr>
              <w:pStyle w:val="Encabezado"/>
              <w:spacing w:line="360" w:lineRule="auto"/>
              <w:ind w:firstLine="567"/>
              <w:jc w:val="both"/>
              <w:rPr>
                <w:rFonts w:ascii="Arial" w:hAnsi="Arial" w:cs="Arial"/>
                <w:b/>
                <w:bCs/>
                <w:sz w:val="24"/>
                <w:szCs w:val="24"/>
              </w:rPr>
            </w:pPr>
            <w:r w:rsidRPr="0016162D">
              <w:rPr>
                <w:rFonts w:ascii="Arial" w:hAnsi="Arial" w:cs="Arial"/>
                <w:b/>
                <w:bCs/>
                <w:sz w:val="24"/>
                <w:szCs w:val="24"/>
              </w:rPr>
              <w:lastRenderedPageBreak/>
              <w:t>La responsabilidad del Estado</w:t>
            </w:r>
          </w:p>
          <w:p w:rsidR="0016162D" w:rsidRPr="0016162D" w:rsidRDefault="0016162D" w:rsidP="0016162D">
            <w:pPr>
              <w:pStyle w:val="Encabezado"/>
              <w:spacing w:line="360" w:lineRule="auto"/>
              <w:ind w:firstLine="567"/>
              <w:jc w:val="both"/>
              <w:rPr>
                <w:rFonts w:ascii="Arial" w:hAnsi="Arial" w:cs="Arial"/>
                <w:sz w:val="24"/>
                <w:szCs w:val="24"/>
              </w:rPr>
            </w:pPr>
            <w:r w:rsidRPr="0016162D">
              <w:rPr>
                <w:rFonts w:ascii="Arial" w:hAnsi="Arial" w:cs="Arial"/>
                <w:bCs/>
                <w:sz w:val="24"/>
                <w:szCs w:val="24"/>
              </w:rPr>
              <w:t>En síntesis, a pesar de desarrollos normativos internacionales y nacionales, incluso a nivel constitucional, los avances en la protección práctica de los derechos de los pueblos indígenas han sido hasta el momento tímidos y más bien ha sido a través de las instancias judiciales nacionales e internacionales donde mayor tratamiento se ha dado a los alcances y aplicación concreta de los derechos de los pueblos indígenas. En definitiva, los Estados tienen la obligación primordial de garantizar la participación efectiva de los pueblos indígenas estableciendo mecanismos adecuados que permitan una participación efectiva en los procesos de toma de decisiones. En este sentido, el Sistema de las Naciones Unidas apoya a los Estados para llegar a una plena implementación de los derechos de los pueblos indígenas conforme con los estándares internacionales. </w:t>
            </w:r>
          </w:p>
        </w:tc>
      </w:tr>
    </w:tbl>
    <w:p w:rsidR="002E44E6" w:rsidRPr="0016162D" w:rsidRDefault="002E44E6" w:rsidP="0016162D">
      <w:pPr>
        <w:pStyle w:val="Encabezado"/>
        <w:spacing w:line="360" w:lineRule="auto"/>
        <w:ind w:firstLine="567"/>
        <w:jc w:val="both"/>
        <w:rPr>
          <w:rFonts w:ascii="Arial" w:hAnsi="Arial"/>
          <w:sz w:val="24"/>
          <w:szCs w:val="24"/>
        </w:rPr>
      </w:pPr>
    </w:p>
    <w:p w:rsidR="00A274F5" w:rsidRDefault="00A274F5" w:rsidP="009319DE">
      <w:pPr>
        <w:pStyle w:val="Encabezado"/>
        <w:numPr>
          <w:ilvl w:val="1"/>
          <w:numId w:val="17"/>
        </w:numPr>
        <w:tabs>
          <w:tab w:val="clear" w:pos="4419"/>
          <w:tab w:val="clear" w:pos="8838"/>
        </w:tabs>
        <w:ind w:left="851" w:hanging="425"/>
        <w:jc w:val="both"/>
        <w:rPr>
          <w:rFonts w:ascii="Arial" w:hAnsi="Arial"/>
          <w:b/>
          <w:sz w:val="24"/>
          <w:szCs w:val="24"/>
        </w:rPr>
      </w:pPr>
      <w:r>
        <w:rPr>
          <w:rFonts w:ascii="Arial" w:hAnsi="Arial"/>
          <w:b/>
          <w:sz w:val="24"/>
          <w:szCs w:val="24"/>
        </w:rPr>
        <w:t>Personas con discapacidad</w:t>
      </w:r>
    </w:p>
    <w:p w:rsidR="00A274F5" w:rsidRDefault="00A274F5" w:rsidP="00A274F5">
      <w:pPr>
        <w:pStyle w:val="Prrafodelista"/>
        <w:rPr>
          <w:rFonts w:ascii="Arial" w:hAnsi="Arial"/>
          <w:b/>
          <w:sz w:val="24"/>
          <w:szCs w:val="24"/>
        </w:rPr>
      </w:pPr>
    </w:p>
    <w:p w:rsidR="00F607D3" w:rsidRDefault="00A279ED" w:rsidP="00F607D3">
      <w:pPr>
        <w:pStyle w:val="Encabezado"/>
        <w:spacing w:line="360" w:lineRule="auto"/>
        <w:ind w:firstLine="567"/>
        <w:jc w:val="both"/>
        <w:rPr>
          <w:rFonts w:ascii="Arial" w:hAnsi="Arial" w:cs="Arial"/>
          <w:bCs/>
          <w:sz w:val="24"/>
          <w:szCs w:val="24"/>
        </w:rPr>
      </w:pPr>
      <w:r w:rsidRPr="00A279ED">
        <w:rPr>
          <w:rFonts w:ascii="Arial" w:hAnsi="Arial" w:cs="Arial"/>
          <w:bCs/>
          <w:sz w:val="24"/>
          <w:szCs w:val="24"/>
        </w:rPr>
        <w:t>La Convención sobre los derechos de las personas con discapacidad y su Protocolo Facultativo</w:t>
      </w:r>
      <w:r w:rsidR="00F607D3">
        <w:rPr>
          <w:rFonts w:ascii="Arial" w:hAnsi="Arial" w:cs="Arial"/>
          <w:bCs/>
          <w:sz w:val="24"/>
          <w:szCs w:val="24"/>
        </w:rPr>
        <w:t xml:space="preserve">. </w:t>
      </w:r>
      <w:r w:rsidRPr="00A279ED">
        <w:rPr>
          <w:rFonts w:ascii="Arial" w:hAnsi="Arial" w:cs="Arial"/>
          <w:bCs/>
          <w:sz w:val="24"/>
          <w:szCs w:val="24"/>
        </w:rPr>
        <w:t xml:space="preserve"> </w:t>
      </w:r>
      <w:r w:rsidR="00F607D3" w:rsidRPr="00F607D3">
        <w:rPr>
          <w:rFonts w:ascii="Arial" w:hAnsi="Arial" w:cs="Arial"/>
          <w:bCs/>
          <w:sz w:val="24"/>
          <w:szCs w:val="24"/>
        </w:rPr>
        <w:t xml:space="preserve">“Lo que trata de hacer la convención,” dijo el embajador neozelandés Don </w:t>
      </w:r>
      <w:proofErr w:type="spellStart"/>
      <w:r w:rsidR="00F607D3" w:rsidRPr="00F607D3">
        <w:rPr>
          <w:rFonts w:ascii="Arial" w:hAnsi="Arial" w:cs="Arial"/>
          <w:bCs/>
          <w:sz w:val="24"/>
          <w:szCs w:val="24"/>
        </w:rPr>
        <w:t>MacKay</w:t>
      </w:r>
      <w:proofErr w:type="spellEnd"/>
      <w:r w:rsidR="00F607D3" w:rsidRPr="00F607D3">
        <w:rPr>
          <w:rFonts w:ascii="Arial" w:hAnsi="Arial" w:cs="Arial"/>
          <w:bCs/>
          <w:sz w:val="24"/>
          <w:szCs w:val="24"/>
        </w:rPr>
        <w:t>, Presidente del Comité Especial que negoció el texto, “es elaborar detalladamente los derechos de las personas con discapacidad y establecer un código de aplicación”.</w:t>
      </w:r>
    </w:p>
    <w:p w:rsidR="00F607D3" w:rsidRDefault="00F607D3" w:rsidP="00F607D3">
      <w:pPr>
        <w:pStyle w:val="Encabezado"/>
        <w:spacing w:line="360" w:lineRule="auto"/>
        <w:ind w:firstLine="567"/>
        <w:jc w:val="both"/>
        <w:rPr>
          <w:rFonts w:ascii="Arial" w:hAnsi="Arial" w:cs="Arial"/>
          <w:bCs/>
          <w:sz w:val="24"/>
          <w:szCs w:val="24"/>
        </w:rPr>
      </w:pPr>
      <w:r w:rsidRPr="00F607D3">
        <w:rPr>
          <w:rFonts w:ascii="Arial" w:hAnsi="Arial" w:cs="Arial"/>
          <w:bCs/>
          <w:sz w:val="24"/>
          <w:szCs w:val="24"/>
        </w:rPr>
        <w:t>A continuación sigue un resumen de las provisiones más importantes de la convención.</w:t>
      </w:r>
    </w:p>
    <w:p w:rsidR="00F607D3" w:rsidRDefault="00F607D3" w:rsidP="00F607D3">
      <w:pPr>
        <w:pStyle w:val="Encabezado"/>
        <w:spacing w:line="360" w:lineRule="auto"/>
        <w:ind w:firstLine="567"/>
        <w:jc w:val="both"/>
        <w:rPr>
          <w:rFonts w:ascii="Arial" w:hAnsi="Arial" w:cs="Arial"/>
          <w:bCs/>
          <w:sz w:val="24"/>
          <w:szCs w:val="24"/>
        </w:rPr>
      </w:pPr>
      <w:r w:rsidRPr="00F607D3">
        <w:rPr>
          <w:rFonts w:ascii="Arial" w:hAnsi="Arial" w:cs="Arial"/>
          <w:bCs/>
          <w:sz w:val="24"/>
          <w:szCs w:val="24"/>
        </w:rPr>
        <w:t>Los países que se unen a la convención se comprometen a elaborar y poner en práctica políticas, leyes y medidas administrativas para asegurar los derechos reconocidos en la convención y abolir las leyes, reglamentos, costumbres y prácticas que constituyen discriminación (Artículo 4).</w:t>
      </w:r>
    </w:p>
    <w:p w:rsidR="00F607D3" w:rsidRDefault="00F607D3" w:rsidP="00F607D3">
      <w:pPr>
        <w:pStyle w:val="Encabezado"/>
        <w:spacing w:line="360" w:lineRule="auto"/>
        <w:ind w:firstLine="567"/>
        <w:jc w:val="both"/>
        <w:rPr>
          <w:rFonts w:ascii="Arial" w:hAnsi="Arial" w:cs="Arial"/>
          <w:bCs/>
          <w:sz w:val="24"/>
          <w:szCs w:val="24"/>
        </w:rPr>
      </w:pPr>
      <w:r w:rsidRPr="00F607D3">
        <w:rPr>
          <w:rFonts w:ascii="Arial" w:hAnsi="Arial" w:cs="Arial"/>
          <w:bCs/>
          <w:sz w:val="24"/>
          <w:szCs w:val="24"/>
        </w:rPr>
        <w:t>Habida cuenta de que es esencial que cambien las percepciones para mejorar la situación de las personas con discapacidad, los países que ratifican la convención deben combatir los estereotipos y prejuicios y promover la conciencia de las capacidades de esas personas (Artículo 8).</w:t>
      </w:r>
    </w:p>
    <w:p w:rsidR="00F607D3" w:rsidRDefault="00F607D3" w:rsidP="00F607D3">
      <w:pPr>
        <w:pStyle w:val="Encabezado"/>
        <w:spacing w:line="360" w:lineRule="auto"/>
        <w:ind w:firstLine="567"/>
        <w:jc w:val="both"/>
        <w:rPr>
          <w:rFonts w:ascii="Arial" w:hAnsi="Arial" w:cs="Arial"/>
          <w:bCs/>
          <w:sz w:val="24"/>
          <w:szCs w:val="24"/>
        </w:rPr>
      </w:pPr>
      <w:r w:rsidRPr="00F607D3">
        <w:rPr>
          <w:rFonts w:ascii="Arial" w:hAnsi="Arial" w:cs="Arial"/>
          <w:bCs/>
          <w:sz w:val="24"/>
          <w:szCs w:val="24"/>
        </w:rPr>
        <w:lastRenderedPageBreak/>
        <w:t>Los países deben garantizar que las personas con discapacidad disfruten del derecho inherente a la vida en un pie de igualdad con otras personas (Artículo 10), asegurar la igualdad de derechos y el adelanto de las mujeres y las niñas con discapacidad (Artículo 6) y proteger a los niños con discapacidad (Artículo 7).</w:t>
      </w:r>
    </w:p>
    <w:p w:rsidR="00F607D3" w:rsidRDefault="00F607D3" w:rsidP="00F607D3">
      <w:pPr>
        <w:pStyle w:val="Encabezado"/>
        <w:spacing w:line="360" w:lineRule="auto"/>
        <w:ind w:firstLine="567"/>
        <w:jc w:val="both"/>
        <w:rPr>
          <w:rFonts w:ascii="Arial" w:hAnsi="Arial" w:cs="Arial"/>
          <w:bCs/>
          <w:sz w:val="24"/>
          <w:szCs w:val="24"/>
        </w:rPr>
      </w:pPr>
      <w:r w:rsidRPr="00F607D3">
        <w:rPr>
          <w:rFonts w:ascii="Arial" w:hAnsi="Arial" w:cs="Arial"/>
          <w:bCs/>
          <w:sz w:val="24"/>
          <w:szCs w:val="24"/>
        </w:rPr>
        <w:t>Los niños con discapacidad tendrán igualdad de derechos, no serán separados de sus padres contra su voluntad, excepto cuando las autoridades determinen que ello es en el interés superior del niño, y en ningún caso serán separados de sus padres debido a una discapacidad del niño o de los padres (Artículo 23).</w:t>
      </w:r>
    </w:p>
    <w:p w:rsidR="00F607D3" w:rsidRDefault="00F607D3" w:rsidP="00F607D3">
      <w:pPr>
        <w:pStyle w:val="Encabezado"/>
        <w:spacing w:line="360" w:lineRule="auto"/>
        <w:ind w:firstLine="567"/>
        <w:jc w:val="both"/>
        <w:rPr>
          <w:rFonts w:ascii="Arial" w:hAnsi="Arial" w:cs="Arial"/>
          <w:bCs/>
          <w:sz w:val="24"/>
          <w:szCs w:val="24"/>
        </w:rPr>
      </w:pPr>
      <w:r w:rsidRPr="00F607D3">
        <w:rPr>
          <w:rFonts w:ascii="Arial" w:hAnsi="Arial" w:cs="Arial"/>
          <w:bCs/>
          <w:sz w:val="24"/>
          <w:szCs w:val="24"/>
        </w:rPr>
        <w:t>Los países deben reconocer que todas las personas son iguales ante la ley, prohibir la discriminación basada en las discapacidades y garantizar igual protección de la ley. (Artículo 5).</w:t>
      </w:r>
    </w:p>
    <w:p w:rsidR="00F607D3" w:rsidRDefault="00F607D3" w:rsidP="00F607D3">
      <w:pPr>
        <w:pStyle w:val="Encabezado"/>
        <w:spacing w:line="360" w:lineRule="auto"/>
        <w:ind w:firstLine="567"/>
        <w:jc w:val="both"/>
        <w:rPr>
          <w:rFonts w:ascii="Arial" w:hAnsi="Arial" w:cs="Arial"/>
          <w:bCs/>
          <w:sz w:val="24"/>
          <w:szCs w:val="24"/>
        </w:rPr>
      </w:pPr>
      <w:r w:rsidRPr="00F607D3">
        <w:rPr>
          <w:rFonts w:ascii="Arial" w:hAnsi="Arial" w:cs="Arial"/>
          <w:bCs/>
          <w:sz w:val="24"/>
          <w:szCs w:val="24"/>
        </w:rPr>
        <w:t>Los países deben asegurar la igualdad de derechos a poseer y heredar propiedad, controlar los asuntos financieros y tener igualdad de acceso a los préstamos bancarios, el crédito y las hipotecas (Artículo 12).</w:t>
      </w:r>
    </w:p>
    <w:p w:rsidR="00F607D3" w:rsidRDefault="00F607D3" w:rsidP="00F607D3">
      <w:pPr>
        <w:pStyle w:val="Encabezado"/>
        <w:spacing w:line="360" w:lineRule="auto"/>
        <w:ind w:firstLine="567"/>
        <w:jc w:val="both"/>
        <w:rPr>
          <w:rFonts w:ascii="Arial" w:hAnsi="Arial" w:cs="Arial"/>
          <w:bCs/>
          <w:sz w:val="24"/>
          <w:szCs w:val="24"/>
        </w:rPr>
      </w:pPr>
      <w:r w:rsidRPr="00F607D3">
        <w:rPr>
          <w:rFonts w:ascii="Arial" w:hAnsi="Arial" w:cs="Arial"/>
          <w:bCs/>
          <w:sz w:val="24"/>
          <w:szCs w:val="24"/>
        </w:rPr>
        <w:t xml:space="preserve">Deben garantizar el acceso a la justicia en un pie de igualdad con </w:t>
      </w:r>
      <w:proofErr w:type="gramStart"/>
      <w:r w:rsidRPr="00F607D3">
        <w:rPr>
          <w:rFonts w:ascii="Arial" w:hAnsi="Arial" w:cs="Arial"/>
          <w:bCs/>
          <w:sz w:val="24"/>
          <w:szCs w:val="24"/>
        </w:rPr>
        <w:t>otros</w:t>
      </w:r>
      <w:proofErr w:type="gramEnd"/>
      <w:r w:rsidRPr="00F607D3">
        <w:rPr>
          <w:rFonts w:ascii="Arial" w:hAnsi="Arial" w:cs="Arial"/>
          <w:bCs/>
          <w:sz w:val="24"/>
          <w:szCs w:val="24"/>
        </w:rPr>
        <w:t xml:space="preserve"> (Artículo 13) y asegurar que las personas con discapacidad disfruten del derecho a la libertad y la seguridad y no sean privadas de su libertad ilegal o arbitrariamente (Artículo 14).</w:t>
      </w:r>
    </w:p>
    <w:p w:rsidR="00F607D3" w:rsidRDefault="00F607D3" w:rsidP="00F607D3">
      <w:pPr>
        <w:pStyle w:val="Encabezado"/>
        <w:spacing w:line="360" w:lineRule="auto"/>
        <w:ind w:firstLine="567"/>
        <w:jc w:val="both"/>
        <w:rPr>
          <w:rFonts w:ascii="Arial" w:hAnsi="Arial" w:cs="Arial"/>
          <w:bCs/>
          <w:sz w:val="24"/>
          <w:szCs w:val="24"/>
        </w:rPr>
      </w:pPr>
      <w:r w:rsidRPr="00F607D3">
        <w:rPr>
          <w:rFonts w:ascii="Arial" w:hAnsi="Arial" w:cs="Arial"/>
          <w:bCs/>
          <w:sz w:val="24"/>
          <w:szCs w:val="24"/>
        </w:rPr>
        <w:t>Los países deben proteger la integridad física y mental de las personas con discapacidad (Artículo 17), garantizar que dichas personas no sean sometidas a la tortura, a otros tratos o penas crueles, inhumanos o degradantes o a castigos, y prohibir los experimentos médicos o científicos sin el consentimiento de la persona interesada (Artículo 15).</w:t>
      </w:r>
    </w:p>
    <w:p w:rsidR="00F607D3" w:rsidRDefault="00F607D3" w:rsidP="00F607D3">
      <w:pPr>
        <w:pStyle w:val="Encabezado"/>
        <w:spacing w:line="360" w:lineRule="auto"/>
        <w:ind w:firstLine="567"/>
        <w:jc w:val="both"/>
        <w:rPr>
          <w:rFonts w:ascii="Arial" w:hAnsi="Arial" w:cs="Arial"/>
          <w:bCs/>
          <w:sz w:val="24"/>
          <w:szCs w:val="24"/>
        </w:rPr>
      </w:pPr>
      <w:r w:rsidRPr="00F607D3">
        <w:rPr>
          <w:rFonts w:ascii="Arial" w:hAnsi="Arial" w:cs="Arial"/>
          <w:bCs/>
          <w:sz w:val="24"/>
          <w:szCs w:val="24"/>
        </w:rPr>
        <w:t>Las leyes y medidas administrativas deben garantizar el derecho a no ser explotado o sometido a violencia o abusos. En caso de abuso, los países deben promover la recuperación física y psicológica, la rehabilitación y la reintegración de la víctima e investigar el abuso (Artículo 16).</w:t>
      </w:r>
    </w:p>
    <w:p w:rsidR="00F607D3" w:rsidRDefault="00F607D3" w:rsidP="00F607D3">
      <w:pPr>
        <w:pStyle w:val="Encabezado"/>
        <w:spacing w:line="360" w:lineRule="auto"/>
        <w:ind w:firstLine="567"/>
        <w:jc w:val="both"/>
        <w:rPr>
          <w:rFonts w:ascii="Arial" w:hAnsi="Arial" w:cs="Arial"/>
          <w:bCs/>
          <w:sz w:val="24"/>
          <w:szCs w:val="24"/>
        </w:rPr>
      </w:pPr>
      <w:r w:rsidRPr="00F607D3">
        <w:rPr>
          <w:rFonts w:ascii="Arial" w:hAnsi="Arial" w:cs="Arial"/>
          <w:bCs/>
          <w:sz w:val="24"/>
          <w:szCs w:val="24"/>
        </w:rPr>
        <w:t xml:space="preserve">Las personas con discapacidad no deben ser objeto de injerencia arbitraria o ilegal en la vida privada, la familia, el hogar, la correspondencia o la comunicación. </w:t>
      </w:r>
      <w:r w:rsidRPr="00F607D3">
        <w:rPr>
          <w:rFonts w:ascii="Arial" w:hAnsi="Arial" w:cs="Arial"/>
          <w:bCs/>
          <w:sz w:val="24"/>
          <w:szCs w:val="24"/>
        </w:rPr>
        <w:lastRenderedPageBreak/>
        <w:t>Debe protegerse la confidencialidad de su información personal y en materia de salud (Artículo 22).</w:t>
      </w:r>
    </w:p>
    <w:p w:rsidR="00F607D3" w:rsidRDefault="00F607D3" w:rsidP="00F607D3">
      <w:pPr>
        <w:pStyle w:val="Encabezado"/>
        <w:spacing w:line="360" w:lineRule="auto"/>
        <w:ind w:firstLine="567"/>
        <w:jc w:val="both"/>
        <w:rPr>
          <w:rFonts w:ascii="Arial" w:hAnsi="Arial" w:cs="Arial"/>
          <w:bCs/>
          <w:sz w:val="24"/>
          <w:szCs w:val="24"/>
        </w:rPr>
      </w:pPr>
      <w:r w:rsidRPr="00F607D3">
        <w:rPr>
          <w:rFonts w:ascii="Arial" w:hAnsi="Arial" w:cs="Arial"/>
          <w:bCs/>
          <w:sz w:val="24"/>
          <w:szCs w:val="24"/>
        </w:rPr>
        <w:t>En cuanto a la cuestión fundamental de la accesibilidad (Artículo 9), la convención requiere que los países identifiquen y eliminen los obstáculos y las barreras y aseguren que las personas con discapacidad puedan tener acceso a su entorno, al transporte, las instalaciones y los servicios públicos, y tecnologías de la información y las comunicaciones.</w:t>
      </w:r>
    </w:p>
    <w:p w:rsidR="00F607D3" w:rsidRDefault="00F607D3" w:rsidP="00F607D3">
      <w:pPr>
        <w:pStyle w:val="Encabezado"/>
        <w:spacing w:line="360" w:lineRule="auto"/>
        <w:ind w:firstLine="567"/>
        <w:jc w:val="both"/>
        <w:rPr>
          <w:rFonts w:ascii="Arial" w:hAnsi="Arial" w:cs="Arial"/>
          <w:bCs/>
          <w:sz w:val="24"/>
          <w:szCs w:val="24"/>
        </w:rPr>
      </w:pPr>
      <w:r w:rsidRPr="00F607D3">
        <w:rPr>
          <w:rFonts w:ascii="Arial" w:hAnsi="Arial" w:cs="Arial"/>
          <w:bCs/>
          <w:sz w:val="24"/>
          <w:szCs w:val="24"/>
        </w:rPr>
        <w:t>Las personas con discapacidad deben tener la opción de vivir en forma independiente, ser incluidas en la comunidad, elegir dónde y con quién vivir y tener acceso a servicios de apoyo en el hogar, en residencias y en la comunidad (Artículo 19). Debe promoverse la movilidad personal y la independencia, facilitando la movilidad personal asequible, la capacitación al respecto y el acceso a ayudas para la movilidad, aparatos, tecnologías de asistencia y asistencia personal (Artículo 20).</w:t>
      </w:r>
    </w:p>
    <w:p w:rsidR="00F607D3" w:rsidRDefault="00F607D3" w:rsidP="00F607D3">
      <w:pPr>
        <w:pStyle w:val="Encabezado"/>
        <w:spacing w:line="360" w:lineRule="auto"/>
        <w:ind w:firstLine="567"/>
        <w:jc w:val="both"/>
        <w:rPr>
          <w:rFonts w:ascii="Arial" w:hAnsi="Arial" w:cs="Arial"/>
          <w:bCs/>
          <w:sz w:val="24"/>
          <w:szCs w:val="24"/>
        </w:rPr>
      </w:pPr>
      <w:r w:rsidRPr="00F607D3">
        <w:rPr>
          <w:rFonts w:ascii="Arial" w:hAnsi="Arial" w:cs="Arial"/>
          <w:bCs/>
          <w:sz w:val="24"/>
          <w:szCs w:val="24"/>
        </w:rPr>
        <w:t>Los países reconocen el derecho a un nivel de vida y de protección social adecuado, incluso viviendas, servicios y asistencia públicos en lo que respecta a las necesidades relacionadas con las discapacidades, y asistencia para el pago de los gastos conexos en caso de pobreza (Artículo 28).</w:t>
      </w:r>
    </w:p>
    <w:p w:rsidR="00F607D3" w:rsidRDefault="00F607D3" w:rsidP="00F607D3">
      <w:pPr>
        <w:pStyle w:val="Encabezado"/>
        <w:spacing w:line="360" w:lineRule="auto"/>
        <w:ind w:firstLine="567"/>
        <w:jc w:val="both"/>
        <w:rPr>
          <w:rFonts w:ascii="Arial" w:hAnsi="Arial" w:cs="Arial"/>
          <w:bCs/>
          <w:sz w:val="24"/>
          <w:szCs w:val="24"/>
        </w:rPr>
      </w:pPr>
      <w:r w:rsidRPr="00F607D3">
        <w:rPr>
          <w:rFonts w:ascii="Arial" w:hAnsi="Arial" w:cs="Arial"/>
          <w:bCs/>
          <w:sz w:val="24"/>
          <w:szCs w:val="24"/>
        </w:rPr>
        <w:t>Los países deben promover el acceso a la información, proporcionando la información prevista para el público en general en formatos y tecnologías accesibles, facilitando el uso del Braille, el lenguaje por señas y otras formas de comunicación y alentando a los medios de comunicación y a los proveedores de Internet a ofrecer información en línea en formatos accesibles (Artículo 21).</w:t>
      </w:r>
    </w:p>
    <w:p w:rsidR="00F607D3" w:rsidRDefault="00F607D3" w:rsidP="00F607D3">
      <w:pPr>
        <w:pStyle w:val="Encabezado"/>
        <w:spacing w:line="360" w:lineRule="auto"/>
        <w:ind w:firstLine="567"/>
        <w:jc w:val="both"/>
        <w:rPr>
          <w:rFonts w:ascii="Arial" w:hAnsi="Arial" w:cs="Arial"/>
          <w:bCs/>
          <w:sz w:val="24"/>
          <w:szCs w:val="24"/>
        </w:rPr>
      </w:pPr>
      <w:r w:rsidRPr="00F607D3">
        <w:rPr>
          <w:rFonts w:ascii="Arial" w:hAnsi="Arial" w:cs="Arial"/>
          <w:bCs/>
          <w:sz w:val="24"/>
          <w:szCs w:val="24"/>
        </w:rPr>
        <w:t>Es menester eliminar la discriminación relacionada con el matrimonio, la familia y las relaciones personales. Las personas con discapacidad disfrutarán de igualdad de oportunidades de tener relaciones sexuales e íntimas, experimentar la procreación, contraer matrimonio y fundar una familia, decidir el número y el espaciamiento de sus hijos, tener acceso a educación y medios en materia reproductiva y de planificación de la familia, y disfrutar de igualdad de derechos y responsabilidades con respecto a la tutela, el pupilaje, el régimen de fideicomiso y la adopción de niños (Artículo 23).</w:t>
      </w:r>
    </w:p>
    <w:p w:rsidR="00F607D3" w:rsidRDefault="00F607D3" w:rsidP="00F607D3">
      <w:pPr>
        <w:pStyle w:val="Encabezado"/>
        <w:spacing w:line="360" w:lineRule="auto"/>
        <w:ind w:firstLine="567"/>
        <w:jc w:val="both"/>
        <w:rPr>
          <w:rFonts w:ascii="Arial" w:hAnsi="Arial" w:cs="Arial"/>
          <w:bCs/>
          <w:sz w:val="24"/>
          <w:szCs w:val="24"/>
        </w:rPr>
      </w:pPr>
      <w:r w:rsidRPr="00F607D3">
        <w:rPr>
          <w:rFonts w:ascii="Arial" w:hAnsi="Arial" w:cs="Arial"/>
          <w:bCs/>
          <w:sz w:val="24"/>
          <w:szCs w:val="24"/>
        </w:rPr>
        <w:lastRenderedPageBreak/>
        <w:t>Los Estados deben asegurar la igualdad de acceso a la educación primaria y secundaria, la formación profesional, la enseñanza de adultos y el aprendizaje permanente. La educación debe emplear los materiales, las técnicas educacionales y las formas de comunicación adecuados. Los alumnos que las necesiten deben recibir las medidas de apoyo pertinentes, y los alumnos ciegos o sordos deben recibir su educación en las formas más apropiadas de comunicación, de maestros con fluidez en el lenguaje por señas y el Braille. La educación de las personas con discapacidad debe promover su participación en la sociedad, su sentido de dignidad y valor personal y el desarrollo de todo su potencial en lo que se refiere a la personalidad, los talentos y la creatividad (Artículo 24).</w:t>
      </w:r>
    </w:p>
    <w:p w:rsidR="00F607D3" w:rsidRDefault="00F607D3" w:rsidP="00F607D3">
      <w:pPr>
        <w:pStyle w:val="Encabezado"/>
        <w:spacing w:line="360" w:lineRule="auto"/>
        <w:ind w:firstLine="567"/>
        <w:jc w:val="both"/>
        <w:rPr>
          <w:rFonts w:ascii="Arial" w:hAnsi="Arial" w:cs="Arial"/>
          <w:bCs/>
          <w:sz w:val="24"/>
          <w:szCs w:val="24"/>
        </w:rPr>
      </w:pPr>
      <w:r w:rsidRPr="00F607D3">
        <w:rPr>
          <w:rFonts w:ascii="Arial" w:hAnsi="Arial" w:cs="Arial"/>
          <w:bCs/>
          <w:sz w:val="24"/>
          <w:szCs w:val="24"/>
        </w:rPr>
        <w:t xml:space="preserve">Las personas con discapacidad tienen el derecho al más alto nivel posible de salud sin discriminación debido a su discapacidad. Deben recibir la misma gama, calidad y nivel de servicios de salud gratuitos o asequibles que se proporcionan a otras personas, recibir los servicios de salud que necesiten debido a </w:t>
      </w:r>
      <w:proofErr w:type="gramStart"/>
      <w:r w:rsidRPr="00F607D3">
        <w:rPr>
          <w:rFonts w:ascii="Arial" w:hAnsi="Arial" w:cs="Arial"/>
          <w:bCs/>
          <w:sz w:val="24"/>
          <w:szCs w:val="24"/>
        </w:rPr>
        <w:t>sus discapacidad</w:t>
      </w:r>
      <w:proofErr w:type="gramEnd"/>
      <w:r w:rsidRPr="00F607D3">
        <w:rPr>
          <w:rFonts w:ascii="Arial" w:hAnsi="Arial" w:cs="Arial"/>
          <w:bCs/>
          <w:sz w:val="24"/>
          <w:szCs w:val="24"/>
        </w:rPr>
        <w:t>, y no ser discriminadas en el suministro de seguro de salud (Artículo 25).</w:t>
      </w:r>
    </w:p>
    <w:p w:rsidR="00F607D3" w:rsidRDefault="00F607D3" w:rsidP="00F607D3">
      <w:pPr>
        <w:pStyle w:val="Encabezado"/>
        <w:spacing w:line="360" w:lineRule="auto"/>
        <w:ind w:firstLine="567"/>
        <w:jc w:val="both"/>
        <w:rPr>
          <w:rFonts w:ascii="Arial" w:hAnsi="Arial" w:cs="Arial"/>
          <w:bCs/>
          <w:sz w:val="24"/>
          <w:szCs w:val="24"/>
        </w:rPr>
      </w:pPr>
      <w:r w:rsidRPr="00F607D3">
        <w:rPr>
          <w:rFonts w:ascii="Arial" w:hAnsi="Arial" w:cs="Arial"/>
          <w:bCs/>
          <w:sz w:val="24"/>
          <w:szCs w:val="24"/>
        </w:rPr>
        <w:t>Para que las personas con discapacidad logren la máxima independencia y capacidad, los países deben proporcionar servicios amplios de habilitación y rehabilitación en las esferas de la salud, el empleo y la educación (Artículo 26).</w:t>
      </w:r>
    </w:p>
    <w:p w:rsidR="00F607D3" w:rsidRDefault="00F607D3" w:rsidP="00F607D3">
      <w:pPr>
        <w:pStyle w:val="Encabezado"/>
        <w:spacing w:line="360" w:lineRule="auto"/>
        <w:ind w:firstLine="567"/>
        <w:jc w:val="both"/>
        <w:rPr>
          <w:rFonts w:ascii="Arial" w:hAnsi="Arial" w:cs="Arial"/>
          <w:bCs/>
          <w:sz w:val="24"/>
          <w:szCs w:val="24"/>
        </w:rPr>
      </w:pPr>
      <w:r w:rsidRPr="00F607D3">
        <w:rPr>
          <w:rFonts w:ascii="Arial" w:hAnsi="Arial" w:cs="Arial"/>
          <w:bCs/>
          <w:sz w:val="24"/>
          <w:szCs w:val="24"/>
        </w:rPr>
        <w:t>Las personas con discapacidad tienen igualdad de derechos a trabajar y a ganarse la vida. Los países deben prohibir la discriminación en cuestiones relacionadas con el empleo, promover el empleo por cuenta propia, la capacidad empresarial y el inicio del negocio propio, emplear a personas con discapacidad en el sector público, promover su empleo en el sector privado y asegurar que se proporcione una comodidad razonable en el lugar de trabajo (Artículo 27).</w:t>
      </w:r>
      <w:r w:rsidRPr="00F607D3">
        <w:rPr>
          <w:rFonts w:ascii="Arial" w:hAnsi="Arial" w:cs="Arial"/>
          <w:bCs/>
          <w:sz w:val="24"/>
          <w:szCs w:val="24"/>
        </w:rPr>
        <w:br/>
        <w:t>Los países deben garantizar la igualdad de participación en la vida política y pública, incluso el derecho al voto, a ser candidato a elecciones y a ocupar puestos públicos (Artículo 29).</w:t>
      </w:r>
    </w:p>
    <w:p w:rsidR="00F607D3" w:rsidRDefault="00F607D3" w:rsidP="00F607D3">
      <w:pPr>
        <w:pStyle w:val="Encabezado"/>
        <w:spacing w:line="360" w:lineRule="auto"/>
        <w:ind w:firstLine="567"/>
        <w:jc w:val="both"/>
        <w:rPr>
          <w:rFonts w:ascii="Arial" w:hAnsi="Arial" w:cs="Arial"/>
          <w:bCs/>
          <w:sz w:val="24"/>
          <w:szCs w:val="24"/>
        </w:rPr>
      </w:pPr>
      <w:r w:rsidRPr="00F607D3">
        <w:rPr>
          <w:rFonts w:ascii="Arial" w:hAnsi="Arial" w:cs="Arial"/>
          <w:bCs/>
          <w:sz w:val="24"/>
          <w:szCs w:val="24"/>
        </w:rPr>
        <w:t xml:space="preserve">Los países deben promover la participación en la vida cultural, el recreo, el tiempo libre y los deportes, asegurando el suministro de programas de televisión, </w:t>
      </w:r>
      <w:r w:rsidRPr="00F607D3">
        <w:rPr>
          <w:rFonts w:ascii="Arial" w:hAnsi="Arial" w:cs="Arial"/>
          <w:bCs/>
          <w:sz w:val="24"/>
          <w:szCs w:val="24"/>
        </w:rPr>
        <w:lastRenderedPageBreak/>
        <w:t>películas, material teatral y cultural en formatos accesibles, haciendo accesibles los teatros, los museos, los cines y las bibliotecas, y garantizando que las personas con discapacidad tengan oportunidad de desarrollar y utilizar su capacidad creativa no sólo en su propio beneficio sino también para enriquecimiento de la sociedad. Los países deben garantizar su participación en las actividades deportivas generales y específicas (Artículo 30).</w:t>
      </w:r>
      <w:r w:rsidRPr="00F607D3">
        <w:rPr>
          <w:rFonts w:ascii="Arial" w:hAnsi="Arial" w:cs="Arial"/>
          <w:bCs/>
          <w:sz w:val="24"/>
          <w:szCs w:val="24"/>
        </w:rPr>
        <w:br/>
      </w:r>
      <w:r>
        <w:rPr>
          <w:rFonts w:ascii="Arial" w:hAnsi="Arial" w:cs="Arial"/>
          <w:bCs/>
          <w:sz w:val="24"/>
          <w:szCs w:val="24"/>
        </w:rPr>
        <w:t>L</w:t>
      </w:r>
      <w:r w:rsidRPr="00F607D3">
        <w:rPr>
          <w:rFonts w:ascii="Arial" w:hAnsi="Arial" w:cs="Arial"/>
          <w:bCs/>
          <w:sz w:val="24"/>
          <w:szCs w:val="24"/>
        </w:rPr>
        <w:t>os países deben proporcionar asistencia para el desarrollo para apoyar los esfuerzos de los países en desarrollo para poner en práctica la convención (Artículo 32).</w:t>
      </w:r>
    </w:p>
    <w:p w:rsidR="00F607D3" w:rsidRDefault="00F607D3" w:rsidP="00F607D3">
      <w:pPr>
        <w:pStyle w:val="Encabezado"/>
        <w:spacing w:line="360" w:lineRule="auto"/>
        <w:ind w:firstLine="567"/>
        <w:jc w:val="both"/>
        <w:rPr>
          <w:rFonts w:ascii="Arial" w:hAnsi="Arial" w:cs="Arial"/>
          <w:bCs/>
          <w:sz w:val="24"/>
          <w:szCs w:val="24"/>
        </w:rPr>
      </w:pPr>
      <w:r w:rsidRPr="00F607D3">
        <w:rPr>
          <w:rFonts w:ascii="Arial" w:hAnsi="Arial" w:cs="Arial"/>
          <w:bCs/>
          <w:sz w:val="24"/>
          <w:szCs w:val="24"/>
        </w:rPr>
        <w:t>Con objeto de asegurar la aplicación y la vigilancia de la convención, los países deben designar un centro de coordinación local en el gobierno y crear un mecanismo nacional con ese fin (Artículo 33).</w:t>
      </w:r>
    </w:p>
    <w:p w:rsidR="00F607D3" w:rsidRDefault="00F607D3" w:rsidP="00F607D3">
      <w:pPr>
        <w:pStyle w:val="Encabezado"/>
        <w:spacing w:line="360" w:lineRule="auto"/>
        <w:ind w:firstLine="567"/>
        <w:jc w:val="both"/>
        <w:rPr>
          <w:rFonts w:ascii="Arial" w:hAnsi="Arial" w:cs="Arial"/>
          <w:bCs/>
          <w:sz w:val="24"/>
          <w:szCs w:val="24"/>
        </w:rPr>
      </w:pPr>
      <w:r w:rsidRPr="00F607D3">
        <w:rPr>
          <w:rFonts w:ascii="Arial" w:hAnsi="Arial" w:cs="Arial"/>
          <w:bCs/>
          <w:sz w:val="24"/>
          <w:szCs w:val="24"/>
        </w:rPr>
        <w:t>Un Comité sobre los Derechos de las Personas con Discapacidad, compuesto de expertos independientes, recibirá informes periódicos de los Estados Partes sobre las medidas que estos hayan adoptado para cumplir sus obligaciones conforme a la convención (Artículo 34-39).</w:t>
      </w:r>
    </w:p>
    <w:p w:rsidR="00A279ED" w:rsidRDefault="00F607D3" w:rsidP="00F607D3">
      <w:pPr>
        <w:pStyle w:val="Encabezado"/>
        <w:spacing w:line="360" w:lineRule="auto"/>
        <w:ind w:firstLine="567"/>
        <w:jc w:val="both"/>
        <w:rPr>
          <w:rFonts w:ascii="Arial" w:hAnsi="Arial" w:cs="Arial"/>
          <w:bCs/>
          <w:sz w:val="24"/>
          <w:szCs w:val="24"/>
        </w:rPr>
      </w:pPr>
      <w:r w:rsidRPr="00F607D3">
        <w:rPr>
          <w:rFonts w:ascii="Arial" w:hAnsi="Arial" w:cs="Arial"/>
          <w:bCs/>
          <w:sz w:val="24"/>
          <w:szCs w:val="24"/>
        </w:rPr>
        <w:t>Un Protocolo Facultativo permite a personas o grupos de personas presentar peticiones al Comité una vez que esos hayan agotado todos los recursos internos disponibles.</w:t>
      </w:r>
    </w:p>
    <w:p w:rsidR="00F607D3" w:rsidRDefault="00F607D3" w:rsidP="00F607D3">
      <w:pPr>
        <w:pStyle w:val="Encabezado"/>
        <w:spacing w:line="360" w:lineRule="auto"/>
        <w:ind w:firstLine="567"/>
        <w:jc w:val="both"/>
        <w:rPr>
          <w:rFonts w:ascii="Arial" w:hAnsi="Arial" w:cs="Arial"/>
          <w:bCs/>
          <w:sz w:val="24"/>
          <w:szCs w:val="24"/>
        </w:rPr>
      </w:pPr>
    </w:p>
    <w:p w:rsidR="00A274F5" w:rsidRDefault="00A274F5" w:rsidP="009319DE">
      <w:pPr>
        <w:pStyle w:val="Encabezado"/>
        <w:numPr>
          <w:ilvl w:val="1"/>
          <w:numId w:val="17"/>
        </w:numPr>
        <w:tabs>
          <w:tab w:val="clear" w:pos="4419"/>
          <w:tab w:val="clear" w:pos="8838"/>
        </w:tabs>
        <w:ind w:left="851" w:hanging="425"/>
        <w:jc w:val="both"/>
        <w:rPr>
          <w:rFonts w:ascii="Arial" w:hAnsi="Arial"/>
          <w:b/>
          <w:sz w:val="24"/>
          <w:szCs w:val="24"/>
        </w:rPr>
      </w:pPr>
      <w:r>
        <w:rPr>
          <w:rFonts w:ascii="Arial" w:hAnsi="Arial"/>
          <w:b/>
          <w:sz w:val="24"/>
          <w:szCs w:val="24"/>
        </w:rPr>
        <w:t>Diversidades sexuales</w:t>
      </w:r>
    </w:p>
    <w:p w:rsidR="00A274F5" w:rsidRDefault="00A274F5" w:rsidP="00A274F5">
      <w:pPr>
        <w:pStyle w:val="Prrafodelista"/>
        <w:rPr>
          <w:rFonts w:ascii="Arial" w:hAnsi="Arial"/>
          <w:b/>
          <w:sz w:val="24"/>
          <w:szCs w:val="24"/>
        </w:rPr>
      </w:pPr>
    </w:p>
    <w:p w:rsidR="004E6FB6" w:rsidRPr="004E6FB6" w:rsidRDefault="004E6FB6" w:rsidP="004E6FB6">
      <w:pPr>
        <w:pStyle w:val="Encabezado"/>
        <w:spacing w:line="360" w:lineRule="auto"/>
        <w:ind w:firstLine="567"/>
        <w:jc w:val="both"/>
        <w:rPr>
          <w:rFonts w:ascii="Arial" w:hAnsi="Arial" w:cs="Arial"/>
          <w:bCs/>
          <w:sz w:val="24"/>
          <w:szCs w:val="24"/>
        </w:rPr>
      </w:pPr>
      <w:r w:rsidRPr="004E6FB6">
        <w:rPr>
          <w:rFonts w:ascii="Arial" w:hAnsi="Arial" w:cs="Arial"/>
          <w:bCs/>
          <w:sz w:val="24"/>
          <w:szCs w:val="24"/>
        </w:rPr>
        <w:t>Una de las características de los Derechos Humanos es que son universales, lo que significa que los poseemos todos y todas sin importar género, estado de salud, orientación sexual, discapacidad, religión, lengua, etc.</w:t>
      </w:r>
    </w:p>
    <w:p w:rsidR="004E6FB6" w:rsidRPr="004E6FB6" w:rsidRDefault="004E6FB6" w:rsidP="004E6FB6">
      <w:pPr>
        <w:pStyle w:val="Encabezado"/>
        <w:spacing w:line="360" w:lineRule="auto"/>
        <w:ind w:firstLine="567"/>
        <w:jc w:val="both"/>
        <w:rPr>
          <w:rFonts w:ascii="Arial" w:hAnsi="Arial" w:cs="Arial"/>
          <w:bCs/>
          <w:sz w:val="24"/>
          <w:szCs w:val="24"/>
        </w:rPr>
      </w:pPr>
      <w:r w:rsidRPr="004E6FB6">
        <w:rPr>
          <w:rFonts w:ascii="Arial" w:hAnsi="Arial" w:cs="Arial"/>
          <w:bCs/>
          <w:sz w:val="24"/>
          <w:szCs w:val="24"/>
        </w:rPr>
        <w:t>La </w:t>
      </w:r>
      <w:r w:rsidRPr="004E6FB6">
        <w:rPr>
          <w:rFonts w:ascii="Arial" w:hAnsi="Arial"/>
          <w:b/>
          <w:sz w:val="24"/>
          <w:szCs w:val="24"/>
        </w:rPr>
        <w:t>diversidad sexual</w:t>
      </w:r>
      <w:r w:rsidRPr="004E6FB6">
        <w:rPr>
          <w:rFonts w:ascii="Arial" w:hAnsi="Arial" w:cs="Arial"/>
          <w:bCs/>
          <w:sz w:val="24"/>
          <w:szCs w:val="24"/>
        </w:rPr>
        <w:t> es toda la gama de orientaciones sexuales e identidades de género que forma parte de la vida cotidiana de los seres humanos.</w:t>
      </w:r>
    </w:p>
    <w:p w:rsidR="00005894" w:rsidRDefault="00005894" w:rsidP="004E6FB6">
      <w:pPr>
        <w:pStyle w:val="Encabezado"/>
        <w:spacing w:line="360" w:lineRule="auto"/>
        <w:ind w:firstLine="567"/>
        <w:jc w:val="both"/>
        <w:rPr>
          <w:rFonts w:ascii="Arial" w:hAnsi="Arial" w:cs="Arial"/>
          <w:bCs/>
          <w:sz w:val="24"/>
          <w:szCs w:val="24"/>
        </w:rPr>
      </w:pPr>
    </w:p>
    <w:p w:rsidR="004E6FB6" w:rsidRPr="004E6FB6" w:rsidRDefault="004E6FB6" w:rsidP="004E6FB6">
      <w:pPr>
        <w:pStyle w:val="Encabezado"/>
        <w:spacing w:line="360" w:lineRule="auto"/>
        <w:ind w:firstLine="567"/>
        <w:jc w:val="both"/>
        <w:rPr>
          <w:rFonts w:ascii="Arial" w:hAnsi="Arial" w:cs="Arial"/>
          <w:bCs/>
          <w:sz w:val="24"/>
          <w:szCs w:val="24"/>
        </w:rPr>
      </w:pPr>
      <w:r w:rsidRPr="004E6FB6">
        <w:rPr>
          <w:rFonts w:ascii="Arial" w:hAnsi="Arial" w:cs="Arial"/>
          <w:bCs/>
          <w:sz w:val="24"/>
          <w:szCs w:val="24"/>
        </w:rPr>
        <w:t>Se representan con las siglas LGBTTT</w:t>
      </w:r>
      <w:r w:rsidR="00005894">
        <w:rPr>
          <w:rFonts w:ascii="Arial" w:hAnsi="Arial" w:cs="Arial"/>
          <w:bCs/>
          <w:sz w:val="24"/>
          <w:szCs w:val="24"/>
        </w:rPr>
        <w:t>:</w:t>
      </w:r>
    </w:p>
    <w:p w:rsidR="004E6FB6" w:rsidRPr="004E6FB6" w:rsidRDefault="004E6FB6" w:rsidP="009319DE">
      <w:pPr>
        <w:pStyle w:val="Encabezado"/>
        <w:numPr>
          <w:ilvl w:val="0"/>
          <w:numId w:val="24"/>
        </w:numPr>
        <w:spacing w:line="360" w:lineRule="auto"/>
        <w:jc w:val="both"/>
        <w:rPr>
          <w:rFonts w:ascii="Arial" w:hAnsi="Arial" w:cs="Arial"/>
          <w:bCs/>
          <w:sz w:val="24"/>
          <w:szCs w:val="24"/>
        </w:rPr>
      </w:pPr>
      <w:r w:rsidRPr="004E6FB6">
        <w:rPr>
          <w:rFonts w:ascii="Arial" w:hAnsi="Arial"/>
          <w:b/>
          <w:sz w:val="24"/>
          <w:szCs w:val="24"/>
        </w:rPr>
        <w:t>L</w:t>
      </w:r>
      <w:r w:rsidRPr="004E6FB6">
        <w:rPr>
          <w:rFonts w:ascii="Arial" w:hAnsi="Arial" w:cs="Arial"/>
          <w:bCs/>
          <w:sz w:val="24"/>
          <w:szCs w:val="24"/>
        </w:rPr>
        <w:t>esbianas: mujeres con atracción sexo-afectiva a mujeres</w:t>
      </w:r>
      <w:r w:rsidR="00005894">
        <w:rPr>
          <w:rFonts w:ascii="Arial" w:hAnsi="Arial" w:cs="Arial"/>
          <w:bCs/>
          <w:sz w:val="24"/>
          <w:szCs w:val="24"/>
        </w:rPr>
        <w:t>.</w:t>
      </w:r>
    </w:p>
    <w:p w:rsidR="004E6FB6" w:rsidRPr="004E6FB6" w:rsidRDefault="004E6FB6" w:rsidP="009319DE">
      <w:pPr>
        <w:pStyle w:val="Encabezado"/>
        <w:numPr>
          <w:ilvl w:val="0"/>
          <w:numId w:val="24"/>
        </w:numPr>
        <w:spacing w:line="360" w:lineRule="auto"/>
        <w:jc w:val="both"/>
        <w:rPr>
          <w:rFonts w:ascii="Arial" w:hAnsi="Arial" w:cs="Arial"/>
          <w:bCs/>
          <w:sz w:val="24"/>
          <w:szCs w:val="24"/>
        </w:rPr>
      </w:pPr>
      <w:proofErr w:type="spellStart"/>
      <w:r w:rsidRPr="004E6FB6">
        <w:rPr>
          <w:rFonts w:ascii="Arial" w:hAnsi="Arial"/>
          <w:b/>
          <w:sz w:val="24"/>
          <w:szCs w:val="24"/>
        </w:rPr>
        <w:t>G</w:t>
      </w:r>
      <w:r w:rsidRPr="004E6FB6">
        <w:rPr>
          <w:rFonts w:ascii="Arial" w:hAnsi="Arial" w:cs="Arial"/>
          <w:bCs/>
          <w:sz w:val="24"/>
          <w:szCs w:val="24"/>
        </w:rPr>
        <w:t>ays</w:t>
      </w:r>
      <w:proofErr w:type="spellEnd"/>
      <w:r w:rsidRPr="004E6FB6">
        <w:rPr>
          <w:rFonts w:ascii="Arial" w:hAnsi="Arial" w:cs="Arial"/>
          <w:bCs/>
          <w:sz w:val="24"/>
          <w:szCs w:val="24"/>
        </w:rPr>
        <w:t>: hombres con atracción sexo-afectiva a hombres.</w:t>
      </w:r>
    </w:p>
    <w:p w:rsidR="004E6FB6" w:rsidRPr="004E6FB6" w:rsidRDefault="004E6FB6" w:rsidP="009319DE">
      <w:pPr>
        <w:pStyle w:val="Encabezado"/>
        <w:numPr>
          <w:ilvl w:val="0"/>
          <w:numId w:val="24"/>
        </w:numPr>
        <w:spacing w:line="360" w:lineRule="auto"/>
        <w:jc w:val="both"/>
        <w:rPr>
          <w:rFonts w:ascii="Arial" w:hAnsi="Arial" w:cs="Arial"/>
          <w:bCs/>
          <w:sz w:val="24"/>
          <w:szCs w:val="24"/>
        </w:rPr>
      </w:pPr>
      <w:r w:rsidRPr="004E6FB6">
        <w:rPr>
          <w:rFonts w:ascii="Arial" w:hAnsi="Arial"/>
          <w:b/>
          <w:sz w:val="24"/>
          <w:szCs w:val="24"/>
        </w:rPr>
        <w:lastRenderedPageBreak/>
        <w:t>B</w:t>
      </w:r>
      <w:r w:rsidRPr="004E6FB6">
        <w:rPr>
          <w:rFonts w:ascii="Arial" w:hAnsi="Arial" w:cs="Arial"/>
          <w:bCs/>
          <w:sz w:val="24"/>
          <w:szCs w:val="24"/>
        </w:rPr>
        <w:t>isexuales: personas con atracción sexo-afectiva hacia hombres y mujeres.</w:t>
      </w:r>
    </w:p>
    <w:p w:rsidR="004E6FB6" w:rsidRPr="004E6FB6" w:rsidRDefault="004E6FB6" w:rsidP="009319DE">
      <w:pPr>
        <w:pStyle w:val="Encabezado"/>
        <w:numPr>
          <w:ilvl w:val="0"/>
          <w:numId w:val="24"/>
        </w:numPr>
        <w:spacing w:line="360" w:lineRule="auto"/>
        <w:jc w:val="both"/>
        <w:rPr>
          <w:rFonts w:ascii="Arial" w:hAnsi="Arial" w:cs="Arial"/>
          <w:bCs/>
          <w:sz w:val="24"/>
          <w:szCs w:val="24"/>
        </w:rPr>
      </w:pPr>
      <w:proofErr w:type="spellStart"/>
      <w:r w:rsidRPr="004E6FB6">
        <w:rPr>
          <w:rFonts w:ascii="Arial" w:hAnsi="Arial"/>
          <w:b/>
          <w:sz w:val="24"/>
          <w:szCs w:val="24"/>
        </w:rPr>
        <w:t>T</w:t>
      </w:r>
      <w:r w:rsidRPr="004E6FB6">
        <w:rPr>
          <w:rFonts w:ascii="Arial" w:hAnsi="Arial" w:cs="Arial"/>
          <w:bCs/>
          <w:sz w:val="24"/>
          <w:szCs w:val="24"/>
        </w:rPr>
        <w:t>ransgéneros</w:t>
      </w:r>
      <w:proofErr w:type="spellEnd"/>
      <w:r w:rsidRPr="004E6FB6">
        <w:rPr>
          <w:rFonts w:ascii="Arial" w:hAnsi="Arial" w:cs="Arial"/>
          <w:bCs/>
          <w:sz w:val="24"/>
          <w:szCs w:val="24"/>
        </w:rPr>
        <w:t>: personas que cambian de rol de género asignado socialmente</w:t>
      </w:r>
      <w:r w:rsidR="00005894">
        <w:rPr>
          <w:rFonts w:ascii="Arial" w:hAnsi="Arial" w:cs="Arial"/>
          <w:bCs/>
          <w:sz w:val="24"/>
          <w:szCs w:val="24"/>
        </w:rPr>
        <w:t>.</w:t>
      </w:r>
    </w:p>
    <w:p w:rsidR="004E6FB6" w:rsidRPr="004E6FB6" w:rsidRDefault="004E6FB6" w:rsidP="009319DE">
      <w:pPr>
        <w:pStyle w:val="Encabezado"/>
        <w:numPr>
          <w:ilvl w:val="0"/>
          <w:numId w:val="24"/>
        </w:numPr>
        <w:spacing w:line="360" w:lineRule="auto"/>
        <w:jc w:val="both"/>
        <w:rPr>
          <w:rFonts w:ascii="Arial" w:hAnsi="Arial" w:cs="Arial"/>
          <w:bCs/>
          <w:sz w:val="24"/>
          <w:szCs w:val="24"/>
        </w:rPr>
      </w:pPr>
      <w:r w:rsidRPr="004E6FB6">
        <w:rPr>
          <w:rFonts w:ascii="Arial" w:hAnsi="Arial"/>
          <w:b/>
          <w:sz w:val="24"/>
          <w:szCs w:val="24"/>
        </w:rPr>
        <w:t>T</w:t>
      </w:r>
      <w:r w:rsidRPr="004E6FB6">
        <w:rPr>
          <w:rFonts w:ascii="Arial" w:hAnsi="Arial" w:cs="Arial"/>
          <w:bCs/>
          <w:sz w:val="24"/>
          <w:szCs w:val="24"/>
        </w:rPr>
        <w:t>ravestis: personas que adoptan la vestimenta e identidad del otro género de manera temporal.</w:t>
      </w:r>
    </w:p>
    <w:p w:rsidR="004E6FB6" w:rsidRPr="004E6FB6" w:rsidRDefault="004E6FB6" w:rsidP="009319DE">
      <w:pPr>
        <w:pStyle w:val="Encabezado"/>
        <w:numPr>
          <w:ilvl w:val="0"/>
          <w:numId w:val="24"/>
        </w:numPr>
        <w:spacing w:line="360" w:lineRule="auto"/>
        <w:jc w:val="both"/>
        <w:rPr>
          <w:rFonts w:ascii="Arial" w:hAnsi="Arial" w:cs="Arial"/>
          <w:bCs/>
          <w:sz w:val="24"/>
          <w:szCs w:val="24"/>
        </w:rPr>
      </w:pPr>
      <w:r w:rsidRPr="004E6FB6">
        <w:rPr>
          <w:rFonts w:ascii="Arial" w:hAnsi="Arial"/>
          <w:b/>
          <w:sz w:val="24"/>
          <w:szCs w:val="24"/>
        </w:rPr>
        <w:t>T</w:t>
      </w:r>
      <w:r w:rsidRPr="004E6FB6">
        <w:rPr>
          <w:rFonts w:ascii="Arial" w:hAnsi="Arial" w:cs="Arial"/>
          <w:bCs/>
          <w:sz w:val="24"/>
          <w:szCs w:val="24"/>
        </w:rPr>
        <w:t>ransexuales: personas que se realizan alguna modificación  corporal con el objetivo de asemejarse al otro sexo.</w:t>
      </w:r>
    </w:p>
    <w:p w:rsidR="00005894" w:rsidRDefault="00005894" w:rsidP="004E6FB6">
      <w:pPr>
        <w:pStyle w:val="Encabezado"/>
        <w:spacing w:line="360" w:lineRule="auto"/>
        <w:ind w:firstLine="567"/>
        <w:jc w:val="both"/>
        <w:rPr>
          <w:rFonts w:ascii="Arial" w:hAnsi="Arial" w:cs="Arial"/>
          <w:bCs/>
          <w:sz w:val="24"/>
          <w:szCs w:val="24"/>
        </w:rPr>
      </w:pPr>
    </w:p>
    <w:p w:rsidR="004E6FB6" w:rsidRPr="004E6FB6" w:rsidRDefault="004E6FB6" w:rsidP="004E6FB6">
      <w:pPr>
        <w:pStyle w:val="Encabezado"/>
        <w:spacing w:line="360" w:lineRule="auto"/>
        <w:ind w:firstLine="567"/>
        <w:jc w:val="both"/>
        <w:rPr>
          <w:rFonts w:ascii="Arial" w:hAnsi="Arial" w:cs="Arial"/>
          <w:bCs/>
          <w:sz w:val="24"/>
          <w:szCs w:val="24"/>
        </w:rPr>
      </w:pPr>
      <w:r w:rsidRPr="004E6FB6">
        <w:rPr>
          <w:rFonts w:ascii="Arial" w:hAnsi="Arial" w:cs="Arial"/>
          <w:bCs/>
          <w:sz w:val="24"/>
          <w:szCs w:val="24"/>
        </w:rPr>
        <w:t>Las personas con alguna orientación sexual o identidad de género como las anteriores, han sido discriminadas de diversas formas que van desde las más sutiles como la burla, los chistes y la difamación, hasta el grado más extremo evidente como los crímenes por </w:t>
      </w:r>
      <w:r w:rsidRPr="004E6FB6">
        <w:rPr>
          <w:rFonts w:ascii="Arial" w:hAnsi="Arial"/>
          <w:b/>
          <w:sz w:val="24"/>
          <w:szCs w:val="24"/>
        </w:rPr>
        <w:t>homofobia </w:t>
      </w:r>
      <w:r w:rsidRPr="004E6FB6">
        <w:rPr>
          <w:rFonts w:ascii="Arial" w:hAnsi="Arial" w:cs="Arial"/>
          <w:bCs/>
          <w:sz w:val="24"/>
          <w:szCs w:val="24"/>
        </w:rPr>
        <w:t>y </w:t>
      </w:r>
      <w:proofErr w:type="spellStart"/>
      <w:r w:rsidRPr="004E6FB6">
        <w:rPr>
          <w:rFonts w:ascii="Arial" w:hAnsi="Arial"/>
          <w:b/>
          <w:sz w:val="24"/>
          <w:szCs w:val="24"/>
        </w:rPr>
        <w:t>transfobia</w:t>
      </w:r>
      <w:proofErr w:type="spellEnd"/>
      <w:r w:rsidRPr="004E6FB6">
        <w:rPr>
          <w:rFonts w:ascii="Arial" w:hAnsi="Arial" w:cs="Arial"/>
          <w:bCs/>
          <w:sz w:val="24"/>
          <w:szCs w:val="24"/>
        </w:rPr>
        <w:t>.</w:t>
      </w:r>
    </w:p>
    <w:p w:rsidR="004E6FB6" w:rsidRPr="004E6FB6" w:rsidRDefault="004E6FB6" w:rsidP="009319DE">
      <w:pPr>
        <w:pStyle w:val="Encabezado"/>
        <w:numPr>
          <w:ilvl w:val="0"/>
          <w:numId w:val="24"/>
        </w:numPr>
        <w:spacing w:line="360" w:lineRule="auto"/>
        <w:jc w:val="both"/>
        <w:rPr>
          <w:rFonts w:ascii="Arial" w:hAnsi="Arial" w:cs="Arial"/>
          <w:bCs/>
          <w:sz w:val="24"/>
          <w:szCs w:val="24"/>
        </w:rPr>
      </w:pPr>
      <w:r w:rsidRPr="004E6FB6">
        <w:rPr>
          <w:rFonts w:ascii="Arial" w:hAnsi="Arial" w:cs="Arial"/>
          <w:bCs/>
          <w:sz w:val="24"/>
          <w:szCs w:val="24"/>
        </w:rPr>
        <w:t>La </w:t>
      </w:r>
      <w:r w:rsidRPr="00005894">
        <w:rPr>
          <w:rFonts w:ascii="Arial" w:hAnsi="Arial" w:cs="Arial"/>
          <w:bCs/>
          <w:sz w:val="24"/>
          <w:szCs w:val="24"/>
        </w:rPr>
        <w:t>homofobia</w:t>
      </w:r>
      <w:r w:rsidRPr="004E6FB6">
        <w:rPr>
          <w:rFonts w:ascii="Arial" w:hAnsi="Arial" w:cs="Arial"/>
          <w:bCs/>
          <w:sz w:val="24"/>
          <w:szCs w:val="24"/>
        </w:rPr>
        <w:t> es el rechazo, desprecio y discriminación  hacia las personas lesbianas, homosexuales o bisexuales.</w:t>
      </w:r>
    </w:p>
    <w:p w:rsidR="004E6FB6" w:rsidRPr="004E6FB6" w:rsidRDefault="004E6FB6" w:rsidP="009319DE">
      <w:pPr>
        <w:pStyle w:val="Encabezado"/>
        <w:numPr>
          <w:ilvl w:val="0"/>
          <w:numId w:val="24"/>
        </w:numPr>
        <w:spacing w:line="360" w:lineRule="auto"/>
        <w:jc w:val="both"/>
        <w:rPr>
          <w:rFonts w:ascii="Arial" w:hAnsi="Arial" w:cs="Arial"/>
          <w:bCs/>
          <w:sz w:val="24"/>
          <w:szCs w:val="24"/>
        </w:rPr>
      </w:pPr>
      <w:r w:rsidRPr="004E6FB6">
        <w:rPr>
          <w:rFonts w:ascii="Arial" w:hAnsi="Arial" w:cs="Arial"/>
          <w:bCs/>
          <w:sz w:val="24"/>
          <w:szCs w:val="24"/>
        </w:rPr>
        <w:t>La </w:t>
      </w:r>
      <w:proofErr w:type="spellStart"/>
      <w:r w:rsidRPr="00005894">
        <w:rPr>
          <w:rFonts w:ascii="Arial" w:hAnsi="Arial" w:cs="Arial"/>
          <w:bCs/>
          <w:sz w:val="24"/>
          <w:szCs w:val="24"/>
        </w:rPr>
        <w:t>transfobia</w:t>
      </w:r>
      <w:proofErr w:type="spellEnd"/>
      <w:r w:rsidRPr="00005894">
        <w:rPr>
          <w:rFonts w:ascii="Arial" w:hAnsi="Arial" w:cs="Arial"/>
          <w:bCs/>
          <w:sz w:val="24"/>
          <w:szCs w:val="24"/>
        </w:rPr>
        <w:t> </w:t>
      </w:r>
      <w:r w:rsidRPr="004E6FB6">
        <w:rPr>
          <w:rFonts w:ascii="Arial" w:hAnsi="Arial" w:cs="Arial"/>
          <w:bCs/>
          <w:sz w:val="24"/>
          <w:szCs w:val="24"/>
        </w:rPr>
        <w:t xml:space="preserve">es el rechazo, desprecio y discriminación hacia las personas transexuales, </w:t>
      </w:r>
      <w:proofErr w:type="spellStart"/>
      <w:r w:rsidRPr="004E6FB6">
        <w:rPr>
          <w:rFonts w:ascii="Arial" w:hAnsi="Arial" w:cs="Arial"/>
          <w:bCs/>
          <w:sz w:val="24"/>
          <w:szCs w:val="24"/>
        </w:rPr>
        <w:t>transgéneros</w:t>
      </w:r>
      <w:proofErr w:type="spellEnd"/>
      <w:r w:rsidRPr="004E6FB6">
        <w:rPr>
          <w:rFonts w:ascii="Arial" w:hAnsi="Arial" w:cs="Arial"/>
          <w:bCs/>
          <w:sz w:val="24"/>
          <w:szCs w:val="24"/>
        </w:rPr>
        <w:t xml:space="preserve"> o travestis.</w:t>
      </w:r>
    </w:p>
    <w:p w:rsidR="00005894" w:rsidRDefault="00005894" w:rsidP="004E6FB6">
      <w:pPr>
        <w:pStyle w:val="Encabezado"/>
        <w:spacing w:line="360" w:lineRule="auto"/>
        <w:ind w:firstLine="567"/>
        <w:jc w:val="both"/>
        <w:rPr>
          <w:rFonts w:ascii="Arial" w:hAnsi="Arial" w:cs="Arial"/>
          <w:bCs/>
          <w:sz w:val="24"/>
          <w:szCs w:val="24"/>
        </w:rPr>
      </w:pPr>
    </w:p>
    <w:p w:rsidR="004E6FB6" w:rsidRPr="004E6FB6" w:rsidRDefault="004E6FB6" w:rsidP="004E6FB6">
      <w:pPr>
        <w:pStyle w:val="Encabezado"/>
        <w:spacing w:line="360" w:lineRule="auto"/>
        <w:ind w:firstLine="567"/>
        <w:jc w:val="both"/>
        <w:rPr>
          <w:rFonts w:ascii="Arial" w:hAnsi="Arial" w:cs="Arial"/>
          <w:bCs/>
          <w:sz w:val="24"/>
          <w:szCs w:val="24"/>
        </w:rPr>
      </w:pPr>
      <w:r w:rsidRPr="004E6FB6">
        <w:rPr>
          <w:rFonts w:ascii="Arial" w:hAnsi="Arial" w:cs="Arial"/>
          <w:bCs/>
          <w:sz w:val="24"/>
          <w:szCs w:val="24"/>
        </w:rPr>
        <w:t>Nadie puede negarte algún servicio, ofenderte o degradarte por tu</w:t>
      </w:r>
      <w:r w:rsidRPr="004E6FB6">
        <w:rPr>
          <w:rFonts w:ascii="Arial" w:hAnsi="Arial"/>
          <w:b/>
          <w:sz w:val="24"/>
          <w:szCs w:val="24"/>
        </w:rPr>
        <w:t> orientación sexual</w:t>
      </w:r>
      <w:r w:rsidRPr="004E6FB6">
        <w:rPr>
          <w:rFonts w:ascii="Arial" w:hAnsi="Arial" w:cs="Arial"/>
          <w:bCs/>
          <w:sz w:val="24"/>
          <w:szCs w:val="24"/>
        </w:rPr>
        <w:t> o </w:t>
      </w:r>
      <w:r w:rsidRPr="004E6FB6">
        <w:rPr>
          <w:rFonts w:ascii="Arial" w:hAnsi="Arial"/>
          <w:b/>
          <w:sz w:val="24"/>
          <w:szCs w:val="24"/>
        </w:rPr>
        <w:t>identidad de género</w:t>
      </w:r>
      <w:r w:rsidR="001E6521">
        <w:rPr>
          <w:rFonts w:ascii="Arial" w:hAnsi="Arial"/>
          <w:b/>
          <w:sz w:val="24"/>
          <w:szCs w:val="24"/>
        </w:rPr>
        <w:t>.</w:t>
      </w:r>
    </w:p>
    <w:p w:rsidR="00005894" w:rsidRDefault="00005894" w:rsidP="004E6FB6">
      <w:pPr>
        <w:pStyle w:val="Encabezado"/>
        <w:spacing w:line="360" w:lineRule="auto"/>
        <w:ind w:firstLine="567"/>
        <w:jc w:val="both"/>
        <w:rPr>
          <w:rFonts w:ascii="Arial" w:hAnsi="Arial" w:cs="Arial"/>
          <w:bCs/>
          <w:sz w:val="24"/>
          <w:szCs w:val="24"/>
        </w:rPr>
      </w:pPr>
    </w:p>
    <w:p w:rsidR="004E6FB6" w:rsidRPr="00290252" w:rsidRDefault="004E6FB6" w:rsidP="004E6FB6">
      <w:pPr>
        <w:pStyle w:val="Encabezado"/>
        <w:spacing w:line="360" w:lineRule="auto"/>
        <w:ind w:firstLine="567"/>
        <w:jc w:val="both"/>
        <w:rPr>
          <w:rFonts w:ascii="Arial" w:hAnsi="Arial" w:cs="Arial"/>
          <w:b/>
          <w:bCs/>
          <w:sz w:val="24"/>
          <w:szCs w:val="24"/>
        </w:rPr>
      </w:pPr>
      <w:r w:rsidRPr="00290252">
        <w:rPr>
          <w:rFonts w:ascii="Arial" w:hAnsi="Arial" w:cs="Arial"/>
          <w:b/>
          <w:bCs/>
          <w:sz w:val="24"/>
          <w:szCs w:val="24"/>
        </w:rPr>
        <w:t>Algunas formas de discriminación:</w:t>
      </w:r>
    </w:p>
    <w:p w:rsidR="004E6FB6" w:rsidRPr="004E6FB6" w:rsidRDefault="004E6FB6" w:rsidP="004E6FB6">
      <w:pPr>
        <w:pStyle w:val="Encabezado"/>
        <w:spacing w:line="360" w:lineRule="auto"/>
        <w:ind w:firstLine="567"/>
        <w:jc w:val="both"/>
        <w:rPr>
          <w:rFonts w:ascii="Arial" w:hAnsi="Arial" w:cs="Arial"/>
          <w:bCs/>
          <w:sz w:val="24"/>
          <w:szCs w:val="24"/>
        </w:rPr>
      </w:pPr>
      <w:r w:rsidRPr="004E6FB6">
        <w:rPr>
          <w:rFonts w:ascii="Arial" w:hAnsi="Arial" w:cs="Arial"/>
          <w:bCs/>
          <w:sz w:val="24"/>
          <w:szCs w:val="24"/>
        </w:rPr>
        <w:t>La </w:t>
      </w:r>
      <w:r w:rsidRPr="004E6FB6">
        <w:rPr>
          <w:rFonts w:ascii="Arial" w:hAnsi="Arial"/>
          <w:b/>
          <w:sz w:val="24"/>
          <w:szCs w:val="24"/>
        </w:rPr>
        <w:t>burla</w:t>
      </w:r>
      <w:r w:rsidRPr="004E6FB6">
        <w:rPr>
          <w:rFonts w:ascii="Arial" w:hAnsi="Arial" w:cs="Arial"/>
          <w:bCs/>
          <w:sz w:val="24"/>
          <w:szCs w:val="24"/>
        </w:rPr>
        <w:t>, </w:t>
      </w:r>
      <w:r w:rsidRPr="004E6FB6">
        <w:rPr>
          <w:rFonts w:ascii="Arial" w:hAnsi="Arial"/>
          <w:b/>
          <w:sz w:val="24"/>
          <w:szCs w:val="24"/>
        </w:rPr>
        <w:t>marginación</w:t>
      </w:r>
      <w:r w:rsidRPr="004E6FB6">
        <w:rPr>
          <w:rFonts w:ascii="Arial" w:hAnsi="Arial" w:cs="Arial"/>
          <w:bCs/>
          <w:sz w:val="24"/>
          <w:szCs w:val="24"/>
        </w:rPr>
        <w:t>, </w:t>
      </w:r>
      <w:r w:rsidRPr="004E6FB6">
        <w:rPr>
          <w:rFonts w:ascii="Arial" w:hAnsi="Arial"/>
          <w:b/>
          <w:sz w:val="24"/>
          <w:szCs w:val="24"/>
        </w:rPr>
        <w:t>rechazo </w:t>
      </w:r>
      <w:r w:rsidRPr="004E6FB6">
        <w:rPr>
          <w:rFonts w:ascii="Arial" w:hAnsi="Arial" w:cs="Arial"/>
          <w:bCs/>
          <w:sz w:val="24"/>
          <w:szCs w:val="24"/>
        </w:rPr>
        <w:t>y </w:t>
      </w:r>
      <w:r w:rsidRPr="004E6FB6">
        <w:rPr>
          <w:rFonts w:ascii="Arial" w:hAnsi="Arial"/>
          <w:b/>
          <w:sz w:val="24"/>
          <w:szCs w:val="24"/>
        </w:rPr>
        <w:t>mal trato</w:t>
      </w:r>
      <w:r w:rsidRPr="004E6FB6">
        <w:rPr>
          <w:rFonts w:ascii="Arial" w:hAnsi="Arial" w:cs="Arial"/>
          <w:bCs/>
          <w:sz w:val="24"/>
          <w:szCs w:val="24"/>
        </w:rPr>
        <w:t>, así como el condicionar el acceso a servicios y beneficios son ejemplos en la manera como se manifiesta la discriminación hacia las LGBTTT. Lo anterior impide el desenvolvimiento de su vida cotidiana y los coloca en una situación de invisibilidad.</w:t>
      </w:r>
    </w:p>
    <w:p w:rsidR="004E6FB6" w:rsidRPr="004E6FB6" w:rsidRDefault="004E6FB6" w:rsidP="004E6FB6">
      <w:pPr>
        <w:pStyle w:val="Encabezado"/>
        <w:spacing w:line="360" w:lineRule="auto"/>
        <w:ind w:firstLine="567"/>
        <w:jc w:val="both"/>
        <w:rPr>
          <w:rFonts w:ascii="Arial" w:hAnsi="Arial" w:cs="Arial"/>
          <w:bCs/>
          <w:sz w:val="24"/>
          <w:szCs w:val="24"/>
        </w:rPr>
      </w:pPr>
      <w:r w:rsidRPr="004E6FB6">
        <w:rPr>
          <w:rFonts w:ascii="Arial" w:hAnsi="Arial" w:cs="Arial"/>
          <w:bCs/>
          <w:sz w:val="24"/>
          <w:szCs w:val="24"/>
        </w:rPr>
        <w:t>La principal discriminación se manifiesta en el establecimiento de lo que se considera “normal” y lo que erróneamente es visto como una desviación, ocasionando que se obligue a las personas a asistir a un tratamiento psíquico o psiquiátrico con el objetivo de cambiar su orientación sexual.</w:t>
      </w:r>
    </w:p>
    <w:p w:rsidR="004E6FB6" w:rsidRPr="004E6FB6" w:rsidRDefault="004E6FB6" w:rsidP="004E6FB6">
      <w:pPr>
        <w:pStyle w:val="Encabezado"/>
        <w:spacing w:line="360" w:lineRule="auto"/>
        <w:ind w:firstLine="567"/>
        <w:jc w:val="both"/>
        <w:rPr>
          <w:rFonts w:ascii="Arial" w:hAnsi="Arial" w:cs="Arial"/>
          <w:bCs/>
          <w:sz w:val="24"/>
          <w:szCs w:val="24"/>
        </w:rPr>
      </w:pPr>
      <w:r w:rsidRPr="004E6FB6">
        <w:rPr>
          <w:rFonts w:ascii="Arial" w:hAnsi="Arial" w:cs="Arial"/>
          <w:bCs/>
          <w:sz w:val="24"/>
          <w:szCs w:val="24"/>
        </w:rPr>
        <w:lastRenderedPageBreak/>
        <w:t>Otra de la discriminación es la resistencia de algunos tomadores de decisiones para incorporar este tema dentro de la agenda de las políticas públicas y en el combaten a la discriminación.</w:t>
      </w:r>
    </w:p>
    <w:p w:rsidR="00005894" w:rsidRDefault="00005894" w:rsidP="00005894">
      <w:pPr>
        <w:pStyle w:val="Encabezado"/>
        <w:spacing w:line="360" w:lineRule="auto"/>
        <w:ind w:firstLine="567"/>
        <w:jc w:val="both"/>
        <w:rPr>
          <w:rFonts w:ascii="Arial" w:hAnsi="Arial" w:cs="Arial"/>
          <w:bCs/>
          <w:sz w:val="24"/>
          <w:szCs w:val="24"/>
        </w:rPr>
      </w:pPr>
    </w:p>
    <w:p w:rsidR="00DA7CFA" w:rsidRPr="00DA7CFA" w:rsidRDefault="00005894" w:rsidP="00005894">
      <w:pPr>
        <w:pStyle w:val="Encabezado"/>
        <w:spacing w:line="360" w:lineRule="auto"/>
        <w:ind w:firstLine="567"/>
        <w:jc w:val="both"/>
        <w:rPr>
          <w:rFonts w:ascii="Arial" w:hAnsi="Arial" w:cs="Arial"/>
          <w:b/>
          <w:sz w:val="24"/>
          <w:szCs w:val="24"/>
        </w:rPr>
      </w:pPr>
      <w:r w:rsidRPr="00DA7CFA">
        <w:rPr>
          <w:rFonts w:ascii="Arial" w:hAnsi="Arial" w:cs="Arial"/>
          <w:b/>
          <w:sz w:val="24"/>
          <w:szCs w:val="24"/>
        </w:rPr>
        <w:t xml:space="preserve">¿Cuáles son algunas de las formas más comunes de violación de los derechos humanos que afectan a las personas LGBT? </w:t>
      </w:r>
    </w:p>
    <w:p w:rsidR="00005894" w:rsidRPr="00DA7CFA" w:rsidRDefault="00005894" w:rsidP="00005894">
      <w:pPr>
        <w:pStyle w:val="Encabezado"/>
        <w:spacing w:line="360" w:lineRule="auto"/>
        <w:ind w:firstLine="567"/>
        <w:jc w:val="both"/>
        <w:rPr>
          <w:rFonts w:ascii="Arial" w:hAnsi="Arial" w:cs="Arial"/>
          <w:bCs/>
          <w:sz w:val="24"/>
          <w:szCs w:val="24"/>
        </w:rPr>
      </w:pPr>
      <w:r w:rsidRPr="00DA7CFA">
        <w:rPr>
          <w:rFonts w:ascii="Arial" w:hAnsi="Arial" w:cs="Arial"/>
          <w:sz w:val="24"/>
          <w:szCs w:val="24"/>
        </w:rPr>
        <w:t>La Oficina de Derechos Humanos de las Naciones Unidas ha documentado una amplia gama de violaciones de los derechos humanos cometidas contra las personas por motivos de su orientación sexual y su identidad de género. Algunas son como sigue: » Agresiones violentas, que abarcan desde el abuso verbal agresivo y la intimidación sicológica hasta la violencia física, las golpizas, la tortura, el secuestro y los asesinatos selectivos; » Leyes penales discriminatorias, esgrimidas a menudo para hostigar y castigar a las personas LGBT, en particular las leyes que tipifican como delito las relaciones sexuales entre personas del mismo sexo, que violan el derecho a la privacidad y a la no discriminación; » Restricciones discriminatorias a la libertad de expresión y restricciones conexas al ejercicio de los derechos de libertad de expresión, asociación y reunión, en particular leyes que prohíben la difusión de información sobre la homosexualidad so pretexto de restringir la propagación de “propaganda” LGBT; » Trato discriminatorio, que puede ocurrir en una variedad de entornos cotidianos, incluidos lugares de trabajo, escuelas, hogares de familia y hospitales. Sin leyes nacionales que prohíban la discriminación por terceras partes por motivos de orientación sexual e identidad de género, ese trato discriminatorio sigue rampante, lo que deja a los afectados con escasas posibilidades de obtener reparación. En ese contexto, la ausencia de reconocimiento jurídico de las relaciones sexuales entre personas del mismo sexo o de la identidad de género de una persona también puede tener un efecto discriminatorio en muchas personas LGBT.</w:t>
      </w:r>
    </w:p>
    <w:p w:rsidR="00290252" w:rsidRDefault="00290252">
      <w:pPr>
        <w:rPr>
          <w:rFonts w:ascii="Arial" w:hAnsi="Arial" w:cs="Arial"/>
          <w:bCs/>
          <w:sz w:val="24"/>
          <w:szCs w:val="24"/>
        </w:rPr>
      </w:pPr>
      <w:r>
        <w:rPr>
          <w:rFonts w:ascii="Arial" w:hAnsi="Arial" w:cs="Arial"/>
          <w:bCs/>
          <w:sz w:val="24"/>
          <w:szCs w:val="24"/>
        </w:rPr>
        <w:br w:type="page"/>
      </w:r>
    </w:p>
    <w:p w:rsidR="00005894" w:rsidRPr="00DA7CFA" w:rsidRDefault="00005894" w:rsidP="00005894">
      <w:pPr>
        <w:pStyle w:val="Encabezado"/>
        <w:spacing w:line="360" w:lineRule="auto"/>
        <w:ind w:firstLine="567"/>
        <w:jc w:val="both"/>
        <w:rPr>
          <w:rFonts w:ascii="Arial" w:hAnsi="Arial" w:cs="Arial"/>
          <w:bCs/>
          <w:sz w:val="24"/>
          <w:szCs w:val="24"/>
        </w:rPr>
      </w:pPr>
    </w:p>
    <w:p w:rsidR="00005894" w:rsidRDefault="00005894" w:rsidP="00005894">
      <w:pPr>
        <w:pStyle w:val="Encabezado"/>
        <w:spacing w:line="360" w:lineRule="auto"/>
        <w:ind w:firstLine="567"/>
        <w:jc w:val="both"/>
        <w:rPr>
          <w:rFonts w:ascii="Arial" w:hAnsi="Arial" w:cs="Arial"/>
          <w:b/>
          <w:bCs/>
          <w:sz w:val="24"/>
          <w:szCs w:val="24"/>
        </w:rPr>
      </w:pPr>
      <w:r w:rsidRPr="00005894">
        <w:rPr>
          <w:rFonts w:ascii="Arial" w:hAnsi="Arial" w:cs="Arial"/>
          <w:b/>
          <w:bCs/>
          <w:sz w:val="24"/>
          <w:szCs w:val="24"/>
        </w:rPr>
        <w:t xml:space="preserve">¿Qué obligaciones jurídicas incumben a los Estados en lo que respecta a los derechos de las personas LGBT? </w:t>
      </w:r>
    </w:p>
    <w:p w:rsidR="00005894" w:rsidRDefault="00005894" w:rsidP="00005894">
      <w:pPr>
        <w:pStyle w:val="Encabezado"/>
        <w:spacing w:line="360" w:lineRule="auto"/>
        <w:ind w:firstLine="567"/>
        <w:jc w:val="both"/>
        <w:rPr>
          <w:rFonts w:ascii="Arial" w:hAnsi="Arial" w:cs="Arial"/>
          <w:bCs/>
          <w:sz w:val="24"/>
          <w:szCs w:val="24"/>
        </w:rPr>
      </w:pPr>
      <w:r w:rsidRPr="00005894">
        <w:rPr>
          <w:rFonts w:ascii="Arial" w:hAnsi="Arial" w:cs="Arial"/>
          <w:bCs/>
          <w:sz w:val="24"/>
          <w:szCs w:val="24"/>
        </w:rPr>
        <w:t xml:space="preserve">Entre las obligaciones jurídicas básicas que incumben a los Estados en </w:t>
      </w:r>
      <w:proofErr w:type="gramStart"/>
      <w:r w:rsidRPr="00005894">
        <w:rPr>
          <w:rFonts w:ascii="Arial" w:hAnsi="Arial" w:cs="Arial"/>
          <w:bCs/>
          <w:sz w:val="24"/>
          <w:szCs w:val="24"/>
        </w:rPr>
        <w:t>relación</w:t>
      </w:r>
      <w:proofErr w:type="gramEnd"/>
      <w:r w:rsidRPr="00005894">
        <w:rPr>
          <w:rFonts w:ascii="Arial" w:hAnsi="Arial" w:cs="Arial"/>
          <w:bCs/>
          <w:sz w:val="24"/>
          <w:szCs w:val="24"/>
        </w:rPr>
        <w:t xml:space="preserve"> con la protección de los derechos humanos de las personas LGBT se cuentan las siguientes: » Proteger a las personas de la violencia homofóbica y </w:t>
      </w:r>
      <w:proofErr w:type="spellStart"/>
      <w:r w:rsidRPr="00005894">
        <w:rPr>
          <w:rFonts w:ascii="Arial" w:hAnsi="Arial" w:cs="Arial"/>
          <w:bCs/>
          <w:sz w:val="24"/>
          <w:szCs w:val="24"/>
        </w:rPr>
        <w:t>transfóbica</w:t>
      </w:r>
      <w:proofErr w:type="spellEnd"/>
      <w:r w:rsidRPr="00005894">
        <w:rPr>
          <w:rFonts w:ascii="Arial" w:hAnsi="Arial" w:cs="Arial"/>
          <w:bCs/>
          <w:sz w:val="24"/>
          <w:szCs w:val="24"/>
        </w:rPr>
        <w:t xml:space="preserve"> y prevenir la tortura y el trato cruel, inhumano y degradante. Promulgar leyes contra los delitos motivados por el odio que desalienten la violencia contra las personas por motivo de su orientación sexual y establecer sistemas eficaces para denunciar los actos de violencia motivados por el odio, en particular investigando a los responsables de esos actos y llevándolos ante la justicia. Impartir capacitación a los agentes de policía y supervisar los lugares de detención, y habilitar un sistema para que las víctimas puedan ejercer recursos. Además, las leyes y políticas de asilo deberán reconocer que la persecución por razón de orientación sexual puede constituir una base válida para solicitar asilo; » Derogar las leyes que tipifican como delito la homosexualidad, en particular toda legislación que tipifique penalmente la actividad sexual privada y consentida entre adultos. Garantizar que las personas no sean detenidas ni arrestadas por motivos de su orientación sexual o su identidad de género y que no sean sometidas a exámenes físicos degradantes con la intención de determinar su orientación sexual; » Prohibir la discriminación por motivos de orientación sexual y la identidad de género. Promulgar legislación que prohíba la discriminación por razón de orientación sexual e identidad de género. Impartir instrucción y capacitación para prevenir la discriminación y estigmatización de las personas LGBT e intersexuales; » Salvaguardar la libertad de expresión, asociación y reunión pacífica de todas las personas LGBT y velar por que cualesquiera restricciones a esos derechos –incluso en los casos en que esas restricciones tuviesen por objeto cumplir una finalidad legítima y fuesen de un alcance razonable y comedido– no sean discriminatorias por razón de orientación sexual e identidad de género. Promover una cultura de igualdad y diversidad que abarque el respeto de los derechos de las personas LGBT. </w:t>
      </w:r>
    </w:p>
    <w:p w:rsidR="00DA7CFA" w:rsidRPr="00005894" w:rsidRDefault="00DA7CFA" w:rsidP="00005894">
      <w:pPr>
        <w:pStyle w:val="Encabezado"/>
        <w:spacing w:line="360" w:lineRule="auto"/>
        <w:ind w:firstLine="567"/>
        <w:jc w:val="both"/>
        <w:rPr>
          <w:rFonts w:ascii="Arial" w:hAnsi="Arial" w:cs="Arial"/>
          <w:bCs/>
          <w:sz w:val="24"/>
          <w:szCs w:val="24"/>
        </w:rPr>
      </w:pPr>
    </w:p>
    <w:p w:rsidR="00A274F5" w:rsidRDefault="00A274F5" w:rsidP="009319DE">
      <w:pPr>
        <w:pStyle w:val="Encabezado"/>
        <w:numPr>
          <w:ilvl w:val="1"/>
          <w:numId w:val="17"/>
        </w:numPr>
        <w:tabs>
          <w:tab w:val="clear" w:pos="4419"/>
          <w:tab w:val="clear" w:pos="8838"/>
        </w:tabs>
        <w:ind w:left="851" w:hanging="425"/>
        <w:jc w:val="both"/>
        <w:rPr>
          <w:rFonts w:ascii="Arial" w:hAnsi="Arial"/>
          <w:b/>
          <w:sz w:val="24"/>
          <w:szCs w:val="24"/>
        </w:rPr>
      </w:pPr>
      <w:r>
        <w:rPr>
          <w:rFonts w:ascii="Arial" w:hAnsi="Arial"/>
          <w:b/>
          <w:sz w:val="24"/>
          <w:szCs w:val="24"/>
        </w:rPr>
        <w:t>Migrantes y refugiados</w:t>
      </w:r>
    </w:p>
    <w:p w:rsidR="00DA7CFA" w:rsidRDefault="00DA7CFA" w:rsidP="00DA7CFA">
      <w:pPr>
        <w:pStyle w:val="Encabezado"/>
        <w:tabs>
          <w:tab w:val="clear" w:pos="4419"/>
          <w:tab w:val="clear" w:pos="8838"/>
        </w:tabs>
        <w:ind w:left="851"/>
        <w:jc w:val="both"/>
        <w:rPr>
          <w:rFonts w:ascii="Arial" w:hAnsi="Arial"/>
          <w:b/>
          <w:sz w:val="24"/>
          <w:szCs w:val="24"/>
        </w:rPr>
      </w:pPr>
    </w:p>
    <w:p w:rsidR="00503E82" w:rsidRPr="00B45471" w:rsidRDefault="00503E82" w:rsidP="00B45471">
      <w:pPr>
        <w:pStyle w:val="Encabezado"/>
        <w:spacing w:line="360" w:lineRule="auto"/>
        <w:ind w:firstLine="567"/>
        <w:jc w:val="both"/>
        <w:rPr>
          <w:rFonts w:ascii="Arial" w:hAnsi="Arial" w:cs="Arial"/>
          <w:bCs/>
          <w:sz w:val="24"/>
          <w:szCs w:val="24"/>
        </w:rPr>
      </w:pPr>
      <w:r w:rsidRPr="00B45471">
        <w:rPr>
          <w:rFonts w:ascii="Arial" w:hAnsi="Arial" w:cs="Arial"/>
          <w:bCs/>
          <w:sz w:val="24"/>
          <w:szCs w:val="24"/>
        </w:rPr>
        <w:t>Migrante</w:t>
      </w:r>
      <w:r w:rsidR="00B45471">
        <w:rPr>
          <w:rFonts w:ascii="Arial" w:hAnsi="Arial" w:cs="Arial"/>
          <w:bCs/>
          <w:sz w:val="24"/>
          <w:szCs w:val="24"/>
        </w:rPr>
        <w:t xml:space="preserve"> </w:t>
      </w:r>
      <w:r w:rsidRPr="00B45471">
        <w:rPr>
          <w:rFonts w:ascii="Arial" w:hAnsi="Arial" w:cs="Arial"/>
          <w:bCs/>
          <w:sz w:val="24"/>
          <w:szCs w:val="24"/>
        </w:rPr>
        <w:t>es alguien que ha residido en un país extranjero durante más de un año independientemente de las causas de su traslado, voluntario o involuntario, o de los medios utilizados, legales u otros.</w:t>
      </w:r>
    </w:p>
    <w:p w:rsidR="00503E82" w:rsidRPr="00B45471" w:rsidRDefault="00B45471" w:rsidP="00B45471">
      <w:pPr>
        <w:pStyle w:val="Encabezado"/>
        <w:spacing w:line="360" w:lineRule="auto"/>
        <w:ind w:firstLine="567"/>
        <w:jc w:val="both"/>
        <w:rPr>
          <w:rFonts w:ascii="Arial" w:hAnsi="Arial" w:cs="Arial"/>
          <w:bCs/>
          <w:sz w:val="24"/>
          <w:szCs w:val="24"/>
        </w:rPr>
      </w:pPr>
      <w:r>
        <w:rPr>
          <w:rFonts w:ascii="Arial" w:hAnsi="Arial" w:cs="Arial"/>
          <w:bCs/>
          <w:sz w:val="24"/>
          <w:szCs w:val="24"/>
        </w:rPr>
        <w:t>La m</w:t>
      </w:r>
      <w:r w:rsidR="00503E82" w:rsidRPr="00B45471">
        <w:rPr>
          <w:rFonts w:ascii="Arial" w:hAnsi="Arial" w:cs="Arial"/>
          <w:bCs/>
          <w:sz w:val="24"/>
          <w:szCs w:val="24"/>
        </w:rPr>
        <w:t>igración</w:t>
      </w:r>
      <w:r>
        <w:rPr>
          <w:rFonts w:ascii="Arial" w:hAnsi="Arial" w:cs="Arial"/>
          <w:bCs/>
          <w:sz w:val="24"/>
          <w:szCs w:val="24"/>
        </w:rPr>
        <w:t xml:space="preserve"> </w:t>
      </w:r>
      <w:r w:rsidR="00503E82" w:rsidRPr="00B45471">
        <w:rPr>
          <w:rFonts w:ascii="Arial" w:hAnsi="Arial" w:cs="Arial"/>
          <w:bCs/>
          <w:sz w:val="24"/>
          <w:szCs w:val="24"/>
        </w:rPr>
        <w:t>implica un proceso voluntario, por ejemplo, alguien que cruza una frontera en busca de mejores oportunidades económicas.</w:t>
      </w:r>
      <w:r>
        <w:rPr>
          <w:rFonts w:ascii="Arial" w:hAnsi="Arial" w:cs="Arial"/>
          <w:bCs/>
          <w:sz w:val="24"/>
          <w:szCs w:val="24"/>
        </w:rPr>
        <w:t xml:space="preserve"> </w:t>
      </w:r>
      <w:r w:rsidR="00503E82" w:rsidRPr="00B45471">
        <w:rPr>
          <w:rFonts w:ascii="Arial" w:hAnsi="Arial" w:cs="Arial"/>
          <w:bCs/>
          <w:sz w:val="24"/>
          <w:szCs w:val="24"/>
        </w:rPr>
        <w:t>Los migrantes pueden trasladarse para mejorar sus vidas buscando trabajo, o en algunos casos por educación, reunión familiar u otras razones. También pueden trasladarse para aliviar las dificultades que se derivan de desastres naturales, hambruna o pobreza extrema.</w:t>
      </w:r>
    </w:p>
    <w:p w:rsidR="00503E82" w:rsidRPr="00B45471" w:rsidRDefault="00503E82" w:rsidP="00B45471">
      <w:pPr>
        <w:pStyle w:val="Encabezado"/>
        <w:spacing w:line="360" w:lineRule="auto"/>
        <w:ind w:firstLine="567"/>
        <w:jc w:val="both"/>
        <w:rPr>
          <w:rFonts w:ascii="Arial" w:hAnsi="Arial" w:cs="Arial"/>
          <w:bCs/>
          <w:sz w:val="24"/>
          <w:szCs w:val="24"/>
        </w:rPr>
      </w:pPr>
      <w:r w:rsidRPr="00B45471">
        <w:rPr>
          <w:rFonts w:ascii="Arial" w:hAnsi="Arial" w:cs="Arial"/>
          <w:bCs/>
          <w:sz w:val="24"/>
          <w:szCs w:val="24"/>
        </w:rPr>
        <w:t xml:space="preserve">El Agencia de la ONU para los Refugiados (ACNUR) apoya la gestión de la migración que respetan los derechos humanos de todas las personas que se desplazan.   </w:t>
      </w:r>
    </w:p>
    <w:p w:rsidR="00503E82" w:rsidRPr="00B45471" w:rsidRDefault="00B45471" w:rsidP="00B45471">
      <w:pPr>
        <w:pStyle w:val="Encabezado"/>
        <w:spacing w:line="360" w:lineRule="auto"/>
        <w:ind w:firstLine="567"/>
        <w:jc w:val="both"/>
        <w:rPr>
          <w:rFonts w:ascii="Arial" w:hAnsi="Arial" w:cs="Arial"/>
          <w:bCs/>
          <w:sz w:val="24"/>
          <w:szCs w:val="24"/>
        </w:rPr>
      </w:pPr>
      <w:r>
        <w:rPr>
          <w:rFonts w:ascii="Arial" w:hAnsi="Arial" w:cs="Arial"/>
          <w:bCs/>
          <w:sz w:val="24"/>
          <w:szCs w:val="24"/>
        </w:rPr>
        <w:t xml:space="preserve">Por su parte, los </w:t>
      </w:r>
      <w:r w:rsidR="00503E82" w:rsidRPr="00B45471">
        <w:rPr>
          <w:rFonts w:ascii="Arial" w:hAnsi="Arial" w:cs="Arial"/>
          <w:bCs/>
          <w:sz w:val="24"/>
          <w:szCs w:val="24"/>
        </w:rPr>
        <w:t xml:space="preserve">refugiados son personas que están fuera de su país de origen debido a un temor de persecución, a un conflicto, violencia u otras circunstancias que perturben gravemente el orden público, y quienes, en consecuencia, requieren ‘protección internacional’. </w:t>
      </w:r>
    </w:p>
    <w:p w:rsidR="00503E82" w:rsidRPr="00B45471" w:rsidRDefault="00503E82" w:rsidP="00B45471">
      <w:pPr>
        <w:pStyle w:val="Encabezado"/>
        <w:spacing w:line="360" w:lineRule="auto"/>
        <w:ind w:firstLine="567"/>
        <w:jc w:val="both"/>
        <w:rPr>
          <w:rFonts w:ascii="Arial" w:hAnsi="Arial" w:cs="Arial"/>
          <w:bCs/>
          <w:sz w:val="24"/>
          <w:szCs w:val="24"/>
        </w:rPr>
      </w:pPr>
      <w:r w:rsidRPr="00B45471">
        <w:rPr>
          <w:rFonts w:ascii="Arial" w:hAnsi="Arial" w:cs="Arial"/>
          <w:bCs/>
          <w:sz w:val="24"/>
          <w:szCs w:val="24"/>
        </w:rPr>
        <w:t xml:space="preserve">Cruzan las fronteras nacionales para buscar seguridad en los países vecinos, y así poder ser reconocidos internacionalmente como ‘refugiados’ con acceso a la asistencia de los Estados, del ACNUR y las organizaciones pertinentes. </w:t>
      </w:r>
    </w:p>
    <w:p w:rsidR="00503E82" w:rsidRPr="00B45471" w:rsidRDefault="00503E82" w:rsidP="00B45471">
      <w:pPr>
        <w:pStyle w:val="Encabezado"/>
        <w:spacing w:line="360" w:lineRule="auto"/>
        <w:ind w:firstLine="567"/>
        <w:jc w:val="both"/>
        <w:rPr>
          <w:rFonts w:ascii="Arial" w:hAnsi="Arial" w:cs="Arial"/>
          <w:bCs/>
          <w:sz w:val="24"/>
          <w:szCs w:val="24"/>
        </w:rPr>
      </w:pPr>
      <w:r w:rsidRPr="00B45471">
        <w:rPr>
          <w:rFonts w:ascii="Arial" w:hAnsi="Arial" w:cs="Arial"/>
          <w:bCs/>
          <w:sz w:val="24"/>
          <w:szCs w:val="24"/>
        </w:rPr>
        <w:t xml:space="preserve">Para estas personas, la negación del asilo tiene consecuencias potencialmente mortales. </w:t>
      </w:r>
    </w:p>
    <w:p w:rsidR="00503E82" w:rsidRPr="00B45471" w:rsidRDefault="00503E82" w:rsidP="00B45471">
      <w:pPr>
        <w:pStyle w:val="Encabezado"/>
        <w:spacing w:line="360" w:lineRule="auto"/>
        <w:ind w:firstLine="567"/>
        <w:jc w:val="both"/>
        <w:rPr>
          <w:rFonts w:ascii="Arial" w:hAnsi="Arial" w:cs="Arial"/>
          <w:bCs/>
          <w:sz w:val="24"/>
          <w:szCs w:val="24"/>
        </w:rPr>
      </w:pPr>
      <w:r w:rsidRPr="00B45471">
        <w:rPr>
          <w:rFonts w:ascii="Arial" w:hAnsi="Arial" w:cs="Arial"/>
          <w:bCs/>
          <w:sz w:val="24"/>
          <w:szCs w:val="24"/>
        </w:rPr>
        <w:t>El sistema legal específico que protege los derechos de los refugiados se conoce como ‘protección internacional de los refugiados’.</w:t>
      </w:r>
    </w:p>
    <w:p w:rsidR="00503E82" w:rsidRPr="00B45471" w:rsidRDefault="00503E82" w:rsidP="00B45471">
      <w:pPr>
        <w:pStyle w:val="Encabezado"/>
        <w:spacing w:line="360" w:lineRule="auto"/>
        <w:ind w:firstLine="567"/>
        <w:jc w:val="both"/>
        <w:rPr>
          <w:rFonts w:ascii="Arial" w:hAnsi="Arial" w:cs="Arial"/>
          <w:bCs/>
          <w:sz w:val="24"/>
          <w:szCs w:val="24"/>
        </w:rPr>
      </w:pPr>
      <w:r w:rsidRPr="00B45471">
        <w:rPr>
          <w:rFonts w:ascii="Arial" w:hAnsi="Arial" w:cs="Arial"/>
          <w:bCs/>
          <w:sz w:val="24"/>
          <w:szCs w:val="24"/>
        </w:rPr>
        <w:t>El Art. 14 de la Declaración Universal de DD.HH. establece el derecho de toda persona a buscar asilo y a disfrutar de él. </w:t>
      </w:r>
    </w:p>
    <w:p w:rsidR="00503E82" w:rsidRPr="00B45471" w:rsidRDefault="00503E82" w:rsidP="009319DE">
      <w:pPr>
        <w:pStyle w:val="Encabezado"/>
        <w:numPr>
          <w:ilvl w:val="1"/>
          <w:numId w:val="25"/>
        </w:numPr>
        <w:tabs>
          <w:tab w:val="clear" w:pos="1440"/>
          <w:tab w:val="num" w:pos="993"/>
        </w:tabs>
        <w:spacing w:line="360" w:lineRule="auto"/>
        <w:ind w:left="993" w:hanging="426"/>
        <w:rPr>
          <w:rFonts w:ascii="Arial" w:hAnsi="Arial" w:cs="Arial"/>
          <w:bCs/>
          <w:sz w:val="24"/>
          <w:szCs w:val="24"/>
        </w:rPr>
      </w:pPr>
      <w:r w:rsidRPr="00B45471">
        <w:rPr>
          <w:rFonts w:ascii="Arial" w:hAnsi="Arial" w:cs="Arial"/>
          <w:bCs/>
          <w:sz w:val="24"/>
          <w:szCs w:val="24"/>
        </w:rPr>
        <w:t>Convención sobre el Estatuto de los Refugiados de 1951 (la Convención de 1951).</w:t>
      </w:r>
    </w:p>
    <w:p w:rsidR="00503E82" w:rsidRPr="00B45471" w:rsidRDefault="00503E82" w:rsidP="009319DE">
      <w:pPr>
        <w:pStyle w:val="Encabezado"/>
        <w:numPr>
          <w:ilvl w:val="1"/>
          <w:numId w:val="25"/>
        </w:numPr>
        <w:tabs>
          <w:tab w:val="clear" w:pos="1440"/>
          <w:tab w:val="num" w:pos="993"/>
        </w:tabs>
        <w:spacing w:line="360" w:lineRule="auto"/>
        <w:ind w:left="993" w:hanging="426"/>
        <w:jc w:val="both"/>
        <w:rPr>
          <w:rFonts w:ascii="Arial" w:hAnsi="Arial" w:cs="Arial"/>
          <w:bCs/>
          <w:sz w:val="24"/>
          <w:szCs w:val="24"/>
        </w:rPr>
      </w:pPr>
      <w:r w:rsidRPr="00B45471">
        <w:rPr>
          <w:rFonts w:ascii="Arial" w:hAnsi="Arial" w:cs="Arial"/>
          <w:bCs/>
          <w:sz w:val="24"/>
          <w:szCs w:val="24"/>
        </w:rPr>
        <w:lastRenderedPageBreak/>
        <w:t xml:space="preserve">ACNUR es responsable de su aplicación (trabaja con los gobiernos, prestando asesoramiento y apoyo cuando es necesario, para cumplir con sus responsabilidades). </w:t>
      </w:r>
    </w:p>
    <w:p w:rsidR="00B45471" w:rsidRDefault="00B45471" w:rsidP="00DA7CFA">
      <w:pPr>
        <w:pStyle w:val="Encabezado"/>
        <w:spacing w:line="360" w:lineRule="auto"/>
        <w:ind w:firstLine="567"/>
        <w:jc w:val="both"/>
        <w:rPr>
          <w:rFonts w:ascii="Arial" w:hAnsi="Arial" w:cs="Arial"/>
          <w:bCs/>
          <w:sz w:val="24"/>
          <w:szCs w:val="24"/>
        </w:rPr>
      </w:pPr>
    </w:p>
    <w:p w:rsidR="00DA7CFA" w:rsidRPr="00DA7CFA" w:rsidRDefault="00DA7CFA" w:rsidP="00DA7CFA">
      <w:pPr>
        <w:pStyle w:val="Encabezado"/>
        <w:spacing w:line="360" w:lineRule="auto"/>
        <w:ind w:firstLine="567"/>
        <w:jc w:val="both"/>
        <w:rPr>
          <w:rFonts w:ascii="Arial" w:hAnsi="Arial" w:cs="Arial"/>
          <w:bCs/>
          <w:sz w:val="24"/>
          <w:szCs w:val="24"/>
        </w:rPr>
      </w:pPr>
      <w:r w:rsidRPr="00DA7CFA">
        <w:rPr>
          <w:rFonts w:ascii="Arial" w:hAnsi="Arial" w:cs="Arial"/>
          <w:bCs/>
          <w:sz w:val="24"/>
          <w:szCs w:val="24"/>
        </w:rPr>
        <w:t>Se calcula que en la actualidad 244 millones de personas viven fuera de sus países de origen y se sabe que han emigrado por diversos motivos, con los cuales la búsqueda de protección y de oportunidades está entrelazada de manera indisociable.</w:t>
      </w:r>
    </w:p>
    <w:p w:rsidR="00DA7CFA" w:rsidRPr="00DA7CFA" w:rsidRDefault="00DA7CFA" w:rsidP="00DA7CFA">
      <w:pPr>
        <w:pStyle w:val="Encabezado"/>
        <w:spacing w:line="360" w:lineRule="auto"/>
        <w:ind w:firstLine="567"/>
        <w:jc w:val="both"/>
        <w:rPr>
          <w:rFonts w:ascii="Arial" w:hAnsi="Arial" w:cs="Arial"/>
          <w:bCs/>
          <w:sz w:val="24"/>
          <w:szCs w:val="24"/>
        </w:rPr>
      </w:pPr>
      <w:r w:rsidRPr="00DA7CFA">
        <w:rPr>
          <w:rFonts w:ascii="Arial" w:hAnsi="Arial" w:cs="Arial"/>
          <w:bCs/>
          <w:sz w:val="24"/>
          <w:szCs w:val="24"/>
        </w:rPr>
        <w:t>Aunque para algunos individuos la migración sea una experiencia positiva y fortalecedora, resulta cada vez más evidente que la falta de un sistema de coordinación de la migración basado en los derechos humanos de ámbito mundial, regional y nacional está creando una crisis de derechos para los migrantes, tanto en las fronteras como en los países de tránsito y destino.</w:t>
      </w:r>
    </w:p>
    <w:p w:rsidR="00DA7CFA" w:rsidRPr="00DA7CFA" w:rsidRDefault="00DA7CFA" w:rsidP="00DA7CFA">
      <w:pPr>
        <w:pStyle w:val="Encabezado"/>
        <w:spacing w:line="360" w:lineRule="auto"/>
        <w:ind w:firstLine="567"/>
        <w:jc w:val="both"/>
        <w:rPr>
          <w:rFonts w:ascii="Arial" w:hAnsi="Arial" w:cs="Arial"/>
          <w:bCs/>
          <w:sz w:val="24"/>
          <w:szCs w:val="24"/>
        </w:rPr>
      </w:pPr>
      <w:r w:rsidRPr="00DA7CFA">
        <w:rPr>
          <w:rFonts w:ascii="Arial" w:hAnsi="Arial" w:cs="Arial"/>
          <w:bCs/>
          <w:sz w:val="24"/>
          <w:szCs w:val="24"/>
        </w:rPr>
        <w:t>Los migrantes, en particular los que están en situación irregular, suelen vivir y trabajar clandestinamente, con miedo a quejarse, se ven privados de derechos y libertades y son mucho más vulnerables que el resto de la población a la discriminación, la explotación y la marginación.</w:t>
      </w:r>
    </w:p>
    <w:p w:rsidR="00DA7CFA" w:rsidRPr="00DA7CFA" w:rsidRDefault="00DA7CFA" w:rsidP="00DA7CFA">
      <w:pPr>
        <w:pStyle w:val="Encabezado"/>
        <w:spacing w:line="360" w:lineRule="auto"/>
        <w:ind w:firstLine="567"/>
        <w:jc w:val="both"/>
        <w:rPr>
          <w:rFonts w:ascii="Arial" w:hAnsi="Arial" w:cs="Arial"/>
          <w:bCs/>
          <w:sz w:val="24"/>
          <w:szCs w:val="24"/>
        </w:rPr>
      </w:pPr>
      <w:r w:rsidRPr="00DA7CFA">
        <w:rPr>
          <w:rFonts w:ascii="Arial" w:hAnsi="Arial" w:cs="Arial"/>
          <w:bCs/>
          <w:sz w:val="24"/>
          <w:szCs w:val="24"/>
        </w:rPr>
        <w:t>Las vulneraciones de los derechos humanos de los migrantes, que abarcan la negación de acceso a derechos fundamentales, como el derecho a la educación y el derecho a la salud, suelen estar estrechamente vinculadas a leyes y prácticas discriminatorias y a actitudes muy arraigadas de prejuicio y xenofobia en su contra.</w:t>
      </w:r>
    </w:p>
    <w:p w:rsidR="00DA7CFA" w:rsidRPr="00DA7CFA" w:rsidRDefault="00DA7CFA" w:rsidP="00DA7CFA">
      <w:pPr>
        <w:pStyle w:val="Encabezado"/>
        <w:spacing w:line="360" w:lineRule="auto"/>
        <w:ind w:firstLine="567"/>
        <w:jc w:val="both"/>
        <w:rPr>
          <w:rFonts w:ascii="Arial" w:hAnsi="Arial" w:cs="Arial"/>
          <w:bCs/>
          <w:sz w:val="24"/>
          <w:szCs w:val="24"/>
        </w:rPr>
      </w:pPr>
      <w:r w:rsidRPr="00DA7CFA">
        <w:rPr>
          <w:rFonts w:ascii="Arial" w:hAnsi="Arial" w:cs="Arial"/>
          <w:bCs/>
          <w:sz w:val="24"/>
          <w:szCs w:val="24"/>
        </w:rPr>
        <w:t>El ACNUDH defiende y trabaja para promover la protección y el cumplimiento de los derechos humanos de todos los migrantes, cualquiera que sea su condición o circunstancia, con especial atención a las mujeres, los hombres y los niños que se encuentran más marginados y en riesgo de padecer vulneraciones de derechos humanos.</w:t>
      </w:r>
    </w:p>
    <w:p w:rsidR="00DA7CFA" w:rsidRPr="00DA7CFA" w:rsidRDefault="00DA7CFA" w:rsidP="00DA7CFA">
      <w:pPr>
        <w:pStyle w:val="Encabezado"/>
        <w:spacing w:line="360" w:lineRule="auto"/>
        <w:ind w:firstLine="567"/>
        <w:jc w:val="both"/>
        <w:rPr>
          <w:rFonts w:ascii="Arial" w:hAnsi="Arial" w:cs="Arial"/>
          <w:bCs/>
          <w:sz w:val="24"/>
          <w:szCs w:val="24"/>
        </w:rPr>
      </w:pPr>
      <w:r w:rsidRPr="00DA7CFA">
        <w:rPr>
          <w:rFonts w:ascii="Arial" w:hAnsi="Arial" w:cs="Arial"/>
          <w:bCs/>
          <w:sz w:val="24"/>
          <w:szCs w:val="24"/>
        </w:rPr>
        <w:t>El ACNUDH ha creado diversas herramientas para perfeccionar el marco jurídico de protección de migrantes y apoyar a los Estados en el cumplimiento de sus obligaciones en la materia. Los </w:t>
      </w:r>
      <w:hyperlink r:id="rId43" w:history="1">
        <w:r w:rsidRPr="00DA7CFA">
          <w:rPr>
            <w:rFonts w:ascii="Arial" w:hAnsi="Arial" w:cs="Arial"/>
            <w:bCs/>
            <w:sz w:val="24"/>
            <w:szCs w:val="24"/>
          </w:rPr>
          <w:t>Principios y directrices recomendados sobre los derechos humanos en las fronteras internacionales </w:t>
        </w:r>
      </w:hyperlink>
      <w:r w:rsidRPr="00DA7CFA">
        <w:rPr>
          <w:rFonts w:ascii="Arial" w:hAnsi="Arial" w:cs="Arial"/>
          <w:bCs/>
          <w:sz w:val="24"/>
          <w:szCs w:val="24"/>
        </w:rPr>
        <w:t xml:space="preserve">tratan de asegurar que las </w:t>
      </w:r>
      <w:r w:rsidRPr="00DA7CFA">
        <w:rPr>
          <w:rFonts w:ascii="Arial" w:hAnsi="Arial" w:cs="Arial"/>
          <w:bCs/>
          <w:sz w:val="24"/>
          <w:szCs w:val="24"/>
        </w:rPr>
        <w:lastRenderedPageBreak/>
        <w:t>medidas de control de fronteras se aplican de conformidad con el derecho internacional de los derechos humanos y otras normas pertinentes. Un estudio sobre la </w:t>
      </w:r>
      <w:hyperlink r:id="rId44" w:history="1">
        <w:r w:rsidRPr="00DA7CFA">
          <w:rPr>
            <w:rFonts w:ascii="Arial" w:hAnsi="Arial" w:cs="Arial"/>
            <w:bCs/>
            <w:sz w:val="24"/>
            <w:szCs w:val="24"/>
          </w:rPr>
          <w:t>situación de los migrantes en tránsito</w:t>
        </w:r>
      </w:hyperlink>
      <w:r w:rsidR="00B45471">
        <w:rPr>
          <w:rFonts w:ascii="Arial" w:hAnsi="Arial" w:cs="Arial"/>
          <w:bCs/>
          <w:sz w:val="24"/>
          <w:szCs w:val="24"/>
        </w:rPr>
        <w:t xml:space="preserve"> </w:t>
      </w:r>
      <w:r w:rsidRPr="00DA7CFA">
        <w:rPr>
          <w:rFonts w:ascii="Arial" w:hAnsi="Arial" w:cs="Arial"/>
          <w:bCs/>
          <w:sz w:val="24"/>
          <w:szCs w:val="24"/>
        </w:rPr>
        <w:t>contiene recomendaciones cuyo fin es abordar las lagunas esenciales en la protección de esos migrantes. Varias publicaciones sobre </w:t>
      </w:r>
      <w:hyperlink r:id="rId45" w:history="1">
        <w:r w:rsidRPr="00DA7CFA">
          <w:rPr>
            <w:rFonts w:ascii="Arial" w:hAnsi="Arial" w:cs="Arial"/>
            <w:bCs/>
            <w:sz w:val="24"/>
            <w:szCs w:val="24"/>
          </w:rPr>
          <w:t>los derechos económicos, sociales y culturales de los migrantes que están en situación irregular </w:t>
        </w:r>
      </w:hyperlink>
      <w:r w:rsidRPr="00DA7CFA">
        <w:rPr>
          <w:rFonts w:ascii="Arial" w:hAnsi="Arial" w:cs="Arial"/>
          <w:bCs/>
          <w:sz w:val="24"/>
          <w:szCs w:val="24"/>
        </w:rPr>
        <w:t>y sobre la </w:t>
      </w:r>
      <w:hyperlink r:id="rId46" w:history="1">
        <w:r w:rsidRPr="00DA7CFA">
          <w:rPr>
            <w:rFonts w:ascii="Arial" w:hAnsi="Arial" w:cs="Arial"/>
            <w:bCs/>
            <w:sz w:val="24"/>
            <w:szCs w:val="24"/>
          </w:rPr>
          <w:t>promoción y protección de los derechos humanos de los trabajadores del hogar migrantes en situación irregular </w:t>
        </w:r>
      </w:hyperlink>
      <w:r w:rsidRPr="00DA7CFA">
        <w:rPr>
          <w:rFonts w:ascii="Arial" w:hAnsi="Arial" w:cs="Arial"/>
          <w:bCs/>
          <w:sz w:val="24"/>
          <w:szCs w:val="24"/>
        </w:rPr>
        <w:t>ofrecen abundante documentación para ayudar a comprender el alcance y contenido de los derechos humanos de los migrantes en situación irregular y explican detalladamente los obstáculos jurídicos y prácticos al respecto. Consciente de la necesidad de apoyar los puntos de vista de los migrantes, el ACNUDH ha difundido un breve documental, titulado </w:t>
      </w:r>
      <w:hyperlink r:id="rId47" w:history="1">
        <w:r w:rsidRPr="00DA7CFA">
          <w:rPr>
            <w:rFonts w:ascii="Arial" w:hAnsi="Arial" w:cs="Arial"/>
            <w:bCs/>
            <w:sz w:val="24"/>
            <w:szCs w:val="24"/>
          </w:rPr>
          <w:t xml:space="preserve">I Am </w:t>
        </w:r>
        <w:proofErr w:type="spellStart"/>
        <w:r w:rsidRPr="00DA7CFA">
          <w:rPr>
            <w:rFonts w:ascii="Arial" w:hAnsi="Arial" w:cs="Arial"/>
            <w:bCs/>
            <w:sz w:val="24"/>
            <w:szCs w:val="24"/>
          </w:rPr>
          <w:t>Not</w:t>
        </w:r>
        <w:proofErr w:type="spellEnd"/>
        <w:r w:rsidRPr="00DA7CFA">
          <w:rPr>
            <w:rFonts w:ascii="Arial" w:hAnsi="Arial" w:cs="Arial"/>
            <w:bCs/>
            <w:sz w:val="24"/>
            <w:szCs w:val="24"/>
          </w:rPr>
          <w:t xml:space="preserve"> </w:t>
        </w:r>
        <w:proofErr w:type="spellStart"/>
        <w:r w:rsidRPr="00DA7CFA">
          <w:rPr>
            <w:rFonts w:ascii="Arial" w:hAnsi="Arial" w:cs="Arial"/>
            <w:bCs/>
            <w:sz w:val="24"/>
            <w:szCs w:val="24"/>
          </w:rPr>
          <w:t>Here</w:t>
        </w:r>
        <w:proofErr w:type="spellEnd"/>
      </w:hyperlink>
      <w:r w:rsidRPr="00DA7CFA">
        <w:rPr>
          <w:rFonts w:ascii="Arial" w:hAnsi="Arial" w:cs="Arial"/>
          <w:bCs/>
          <w:i/>
          <w:iCs/>
          <w:sz w:val="24"/>
          <w:szCs w:val="24"/>
        </w:rPr>
        <w:t>, </w:t>
      </w:r>
      <w:r w:rsidRPr="00DA7CFA">
        <w:rPr>
          <w:rFonts w:ascii="Arial" w:hAnsi="Arial" w:cs="Arial"/>
          <w:bCs/>
          <w:sz w:val="24"/>
          <w:szCs w:val="24"/>
        </w:rPr>
        <w:t>[No estoy aquí], que pone de relieve la situación de las mujeres indocumentadas que trabajan como empleadas del hogar.</w:t>
      </w:r>
    </w:p>
    <w:p w:rsidR="00643930" w:rsidRDefault="00643930" w:rsidP="00DA7CFA">
      <w:pPr>
        <w:pStyle w:val="Encabezado"/>
        <w:spacing w:line="360" w:lineRule="auto"/>
        <w:ind w:firstLine="567"/>
        <w:jc w:val="both"/>
        <w:rPr>
          <w:rFonts w:ascii="Arial" w:hAnsi="Arial" w:cs="Arial"/>
          <w:b/>
          <w:sz w:val="24"/>
          <w:szCs w:val="24"/>
        </w:rPr>
      </w:pPr>
    </w:p>
    <w:p w:rsidR="00643930" w:rsidRDefault="00DA7CFA" w:rsidP="00643930">
      <w:pPr>
        <w:pStyle w:val="Encabezado"/>
        <w:spacing w:line="360" w:lineRule="auto"/>
        <w:ind w:firstLine="567"/>
        <w:jc w:val="both"/>
        <w:rPr>
          <w:rFonts w:ascii="Arial" w:hAnsi="Arial" w:cs="Arial"/>
          <w:b/>
          <w:sz w:val="24"/>
          <w:szCs w:val="24"/>
        </w:rPr>
      </w:pPr>
      <w:r w:rsidRPr="00DA7CFA">
        <w:rPr>
          <w:rFonts w:ascii="Arial" w:hAnsi="Arial" w:cs="Arial"/>
          <w:b/>
          <w:sz w:val="24"/>
          <w:szCs w:val="24"/>
        </w:rPr>
        <w:t>Una estrategia migratoria basada en los derechos humanos</w:t>
      </w:r>
    </w:p>
    <w:p w:rsidR="00DA7CFA" w:rsidRDefault="00DA7CFA" w:rsidP="00643930">
      <w:pPr>
        <w:pStyle w:val="Encabezado"/>
        <w:spacing w:line="360" w:lineRule="auto"/>
        <w:ind w:firstLine="567"/>
        <w:jc w:val="both"/>
        <w:rPr>
          <w:rFonts w:ascii="Arial" w:hAnsi="Arial" w:cs="Arial"/>
          <w:bCs/>
          <w:sz w:val="24"/>
          <w:szCs w:val="24"/>
        </w:rPr>
      </w:pPr>
      <w:r w:rsidRPr="00DA7CFA">
        <w:rPr>
          <w:rFonts w:ascii="Arial" w:hAnsi="Arial" w:cs="Arial"/>
          <w:bCs/>
          <w:sz w:val="24"/>
          <w:szCs w:val="24"/>
        </w:rPr>
        <w:t xml:space="preserve">Una estrategia migratoria basada en los derechos humanos sitúa al migrante en el centro de las medidas políticas y de coordinación de la migración y presta especial atención a la situación de los grupos de migrantes marginados y desfavorecidos. Un enfoque así también velará por que se incluya a los migrantes en las estrategias y los planes de </w:t>
      </w:r>
      <w:r w:rsidR="00B45471" w:rsidRPr="00DA7CFA">
        <w:rPr>
          <w:rFonts w:ascii="Arial" w:hAnsi="Arial" w:cs="Arial"/>
          <w:bCs/>
          <w:sz w:val="24"/>
          <w:szCs w:val="24"/>
        </w:rPr>
        <w:t>acción nacional pertinente</w:t>
      </w:r>
      <w:r w:rsidRPr="00DA7CFA">
        <w:rPr>
          <w:rFonts w:ascii="Arial" w:hAnsi="Arial" w:cs="Arial"/>
          <w:bCs/>
          <w:sz w:val="24"/>
          <w:szCs w:val="24"/>
        </w:rPr>
        <w:t>, tales como los relativos a la oferta de vivienda pública o las estrategias nacionales para combatir el racismo y la xenofobia.</w:t>
      </w:r>
    </w:p>
    <w:p w:rsidR="00DA7CFA" w:rsidRPr="00DA7CFA" w:rsidRDefault="00DA7CFA" w:rsidP="00DA7CFA">
      <w:pPr>
        <w:pStyle w:val="Encabezado"/>
        <w:spacing w:line="360" w:lineRule="auto"/>
        <w:ind w:firstLine="567"/>
        <w:jc w:val="both"/>
        <w:rPr>
          <w:rFonts w:ascii="Arial" w:hAnsi="Arial" w:cs="Arial"/>
          <w:bCs/>
          <w:sz w:val="24"/>
          <w:szCs w:val="24"/>
        </w:rPr>
      </w:pPr>
      <w:r w:rsidRPr="00DA7CFA">
        <w:rPr>
          <w:rFonts w:ascii="Arial" w:hAnsi="Arial" w:cs="Arial"/>
          <w:bCs/>
          <w:sz w:val="24"/>
          <w:szCs w:val="24"/>
        </w:rPr>
        <w:t>Los mecanismos de derechos humanos, tales como el  </w:t>
      </w:r>
      <w:hyperlink r:id="rId48" w:tooltip="Relator Especial sobre los derechos humanos de los migrantes" w:history="1">
        <w:r w:rsidRPr="00DA7CFA">
          <w:rPr>
            <w:rFonts w:ascii="Arial" w:hAnsi="Arial" w:cs="Arial"/>
            <w:bCs/>
            <w:sz w:val="24"/>
            <w:szCs w:val="24"/>
          </w:rPr>
          <w:t>Relator Especial sobre los derechos humanos de los migrantes</w:t>
        </w:r>
      </w:hyperlink>
      <w:r w:rsidRPr="00DA7CFA">
        <w:rPr>
          <w:rFonts w:ascii="Arial" w:hAnsi="Arial" w:cs="Arial"/>
          <w:bCs/>
          <w:sz w:val="24"/>
          <w:szCs w:val="24"/>
        </w:rPr>
        <w:t> y el  </w:t>
      </w:r>
      <w:hyperlink r:id="rId49" w:tooltip="Comité sobre los derechos de los trabajadores migratorios" w:history="1">
        <w:r w:rsidRPr="00DA7CFA">
          <w:rPr>
            <w:rFonts w:ascii="Arial" w:hAnsi="Arial" w:cs="Arial"/>
            <w:bCs/>
            <w:sz w:val="24"/>
            <w:szCs w:val="24"/>
          </w:rPr>
          <w:t>Comité sobre los derechos de los trabajadores migratorios</w:t>
        </w:r>
      </w:hyperlink>
      <w:r w:rsidRPr="00DA7CFA">
        <w:rPr>
          <w:rFonts w:ascii="Arial" w:hAnsi="Arial" w:cs="Arial"/>
          <w:bCs/>
          <w:sz w:val="24"/>
          <w:szCs w:val="24"/>
        </w:rPr>
        <w:t>, han declarado de manera inequívoca que, si bien los países tienen el derecho soberano de decidir las condiciones de entrada y residencia en sus territorios, también tienen la obligación de respetar, proteger y cumplir con los derechos humanos de todas las personas que estén bajo su jurisdicción.</w:t>
      </w:r>
    </w:p>
    <w:sectPr w:rsidR="00DA7CFA" w:rsidRPr="00DA7CFA" w:rsidSect="00374AEB">
      <w:headerReference w:type="default" r:id="rId50"/>
      <w:footerReference w:type="default" r:id="rId51"/>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19DE" w:rsidRDefault="009319DE" w:rsidP="00E55CE0">
      <w:pPr>
        <w:spacing w:after="0" w:line="240" w:lineRule="auto"/>
      </w:pPr>
      <w:r>
        <w:separator/>
      </w:r>
    </w:p>
  </w:endnote>
  <w:endnote w:type="continuationSeparator" w:id="0">
    <w:p w:rsidR="009319DE" w:rsidRDefault="009319DE" w:rsidP="00E55C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0560943"/>
      <w:docPartObj>
        <w:docPartGallery w:val="Page Numbers (Bottom of Page)"/>
        <w:docPartUnique/>
      </w:docPartObj>
    </w:sdtPr>
    <w:sdtContent>
      <w:p w:rsidR="00503E82" w:rsidRDefault="00503E82">
        <w:pPr>
          <w:pStyle w:val="Piedepgina"/>
          <w:jc w:val="right"/>
        </w:pPr>
        <w:fldSimple w:instr=" PAGE   \* MERGEFORMAT ">
          <w:r w:rsidR="00290252">
            <w:rPr>
              <w:noProof/>
            </w:rPr>
            <w:t>40</w:t>
          </w:r>
        </w:fldSimple>
      </w:p>
    </w:sdtContent>
  </w:sdt>
  <w:p w:rsidR="00503E82" w:rsidRDefault="00503E8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19DE" w:rsidRDefault="009319DE" w:rsidP="00E55CE0">
      <w:pPr>
        <w:spacing w:after="0" w:line="240" w:lineRule="auto"/>
      </w:pPr>
      <w:r>
        <w:separator/>
      </w:r>
    </w:p>
  </w:footnote>
  <w:footnote w:type="continuationSeparator" w:id="0">
    <w:p w:rsidR="009319DE" w:rsidRDefault="009319DE" w:rsidP="00E55CE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E82" w:rsidRDefault="00503E82" w:rsidP="00E55CE0">
    <w:pPr>
      <w:pStyle w:val="Encabezado"/>
      <w:rPr>
        <w:rFonts w:ascii="Arial" w:hAnsi="Arial" w:cs="Arial"/>
        <w:b/>
        <w:sz w:val="20"/>
        <w:szCs w:val="20"/>
      </w:rPr>
    </w:pPr>
    <w:r w:rsidRPr="0043680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23.15pt;margin-top:-13.35pt;width:67.65pt;height:62.3pt;z-index:251660288;visibility:visible;mso-wrap-edited:f" fillcolor="#0c9">
          <v:fill opacity=".5"/>
          <v:imagedata r:id="rId1" o:title="" chromakey="white"/>
        </v:shape>
        <o:OLEObject Type="Embed" ProgID="Word.Picture.8" ShapeID="_x0000_s1025" DrawAspect="Content" ObjectID="_1591430457" r:id="rId2"/>
      </w:pict>
    </w:r>
    <w:r>
      <w:rPr>
        <w:rFonts w:ascii="Arial" w:hAnsi="Arial" w:cs="Arial"/>
        <w:b/>
        <w:sz w:val="20"/>
        <w:szCs w:val="20"/>
      </w:rPr>
      <w:t xml:space="preserve">               ESCUELA NAVAL  ARTURO PRAT</w:t>
    </w:r>
  </w:p>
  <w:p w:rsidR="00503E82" w:rsidRDefault="00503E82" w:rsidP="00E55CE0">
    <w:pPr>
      <w:pStyle w:val="Encabezado"/>
      <w:rPr>
        <w:rFonts w:ascii="Arial" w:hAnsi="Arial" w:cs="Arial"/>
        <w:b/>
        <w:sz w:val="20"/>
        <w:szCs w:val="20"/>
      </w:rPr>
    </w:pPr>
    <w:r>
      <w:rPr>
        <w:rFonts w:ascii="Arial" w:hAnsi="Arial" w:cs="Arial"/>
        <w:b/>
        <w:sz w:val="20"/>
        <w:szCs w:val="20"/>
      </w:rPr>
      <w:t xml:space="preserve">               CÁTEDRA DE DERECHO</w:t>
    </w:r>
  </w:p>
  <w:p w:rsidR="00503E82" w:rsidRDefault="00503E82" w:rsidP="00E55CE0">
    <w:pPr>
      <w:pStyle w:val="Encabezado"/>
      <w:rPr>
        <w:rFonts w:ascii="Arial" w:hAnsi="Arial" w:cs="Arial"/>
        <w:b/>
        <w:sz w:val="20"/>
        <w:szCs w:val="20"/>
      </w:rPr>
    </w:pPr>
    <w:r>
      <w:rPr>
        <w:rFonts w:ascii="Arial" w:hAnsi="Arial" w:cs="Arial"/>
        <w:b/>
        <w:sz w:val="20"/>
        <w:szCs w:val="20"/>
      </w:rPr>
      <w:t xml:space="preserve">               ED</w:t>
    </w:r>
    <w:r w:rsidR="00795ACA">
      <w:rPr>
        <w:rFonts w:ascii="Arial" w:hAnsi="Arial" w:cs="Arial"/>
        <w:b/>
        <w:sz w:val="20"/>
        <w:szCs w:val="20"/>
      </w:rPr>
      <w:t>UCACIÓN</w:t>
    </w:r>
    <w:r>
      <w:rPr>
        <w:rFonts w:ascii="Arial" w:hAnsi="Arial" w:cs="Arial"/>
        <w:b/>
        <w:sz w:val="20"/>
        <w:szCs w:val="20"/>
      </w:rPr>
      <w:t xml:space="preserve"> CÍVICA</w:t>
    </w:r>
  </w:p>
  <w:p w:rsidR="00503E82" w:rsidRDefault="00503E82">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84DC2"/>
    <w:multiLevelType w:val="multilevel"/>
    <w:tmpl w:val="8A182E4E"/>
    <w:lvl w:ilvl="0">
      <w:start w:val="1"/>
      <w:numFmt w:val="upperRoman"/>
      <w:lvlText w:val="%1.- "/>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
    <w:nsid w:val="07F85E90"/>
    <w:multiLevelType w:val="hybridMultilevel"/>
    <w:tmpl w:val="0E8441A6"/>
    <w:lvl w:ilvl="0" w:tplc="D5D86CD2">
      <w:start w:val="1"/>
      <w:numFmt w:val="bullet"/>
      <w:lvlText w:val="•"/>
      <w:lvlJc w:val="left"/>
      <w:pPr>
        <w:tabs>
          <w:tab w:val="num" w:pos="720"/>
        </w:tabs>
        <w:ind w:left="720" w:hanging="360"/>
      </w:pPr>
      <w:rPr>
        <w:rFonts w:ascii="Arial" w:hAnsi="Arial" w:hint="default"/>
      </w:rPr>
    </w:lvl>
    <w:lvl w:ilvl="1" w:tplc="1034FAC6" w:tentative="1">
      <w:start w:val="1"/>
      <w:numFmt w:val="bullet"/>
      <w:lvlText w:val="•"/>
      <w:lvlJc w:val="left"/>
      <w:pPr>
        <w:tabs>
          <w:tab w:val="num" w:pos="1440"/>
        </w:tabs>
        <w:ind w:left="1440" w:hanging="360"/>
      </w:pPr>
      <w:rPr>
        <w:rFonts w:ascii="Arial" w:hAnsi="Arial" w:hint="default"/>
      </w:rPr>
    </w:lvl>
    <w:lvl w:ilvl="2" w:tplc="1C0683C6" w:tentative="1">
      <w:start w:val="1"/>
      <w:numFmt w:val="bullet"/>
      <w:lvlText w:val="•"/>
      <w:lvlJc w:val="left"/>
      <w:pPr>
        <w:tabs>
          <w:tab w:val="num" w:pos="2160"/>
        </w:tabs>
        <w:ind w:left="2160" w:hanging="360"/>
      </w:pPr>
      <w:rPr>
        <w:rFonts w:ascii="Arial" w:hAnsi="Arial" w:hint="default"/>
      </w:rPr>
    </w:lvl>
    <w:lvl w:ilvl="3" w:tplc="B67C5E38" w:tentative="1">
      <w:start w:val="1"/>
      <w:numFmt w:val="bullet"/>
      <w:lvlText w:val="•"/>
      <w:lvlJc w:val="left"/>
      <w:pPr>
        <w:tabs>
          <w:tab w:val="num" w:pos="2880"/>
        </w:tabs>
        <w:ind w:left="2880" w:hanging="360"/>
      </w:pPr>
      <w:rPr>
        <w:rFonts w:ascii="Arial" w:hAnsi="Arial" w:hint="default"/>
      </w:rPr>
    </w:lvl>
    <w:lvl w:ilvl="4" w:tplc="F43A1D8E" w:tentative="1">
      <w:start w:val="1"/>
      <w:numFmt w:val="bullet"/>
      <w:lvlText w:val="•"/>
      <w:lvlJc w:val="left"/>
      <w:pPr>
        <w:tabs>
          <w:tab w:val="num" w:pos="3600"/>
        </w:tabs>
        <w:ind w:left="3600" w:hanging="360"/>
      </w:pPr>
      <w:rPr>
        <w:rFonts w:ascii="Arial" w:hAnsi="Arial" w:hint="default"/>
      </w:rPr>
    </w:lvl>
    <w:lvl w:ilvl="5" w:tplc="30B88150" w:tentative="1">
      <w:start w:val="1"/>
      <w:numFmt w:val="bullet"/>
      <w:lvlText w:val="•"/>
      <w:lvlJc w:val="left"/>
      <w:pPr>
        <w:tabs>
          <w:tab w:val="num" w:pos="4320"/>
        </w:tabs>
        <w:ind w:left="4320" w:hanging="360"/>
      </w:pPr>
      <w:rPr>
        <w:rFonts w:ascii="Arial" w:hAnsi="Arial" w:hint="default"/>
      </w:rPr>
    </w:lvl>
    <w:lvl w:ilvl="6" w:tplc="53AE9C60" w:tentative="1">
      <w:start w:val="1"/>
      <w:numFmt w:val="bullet"/>
      <w:lvlText w:val="•"/>
      <w:lvlJc w:val="left"/>
      <w:pPr>
        <w:tabs>
          <w:tab w:val="num" w:pos="5040"/>
        </w:tabs>
        <w:ind w:left="5040" w:hanging="360"/>
      </w:pPr>
      <w:rPr>
        <w:rFonts w:ascii="Arial" w:hAnsi="Arial" w:hint="default"/>
      </w:rPr>
    </w:lvl>
    <w:lvl w:ilvl="7" w:tplc="9710D8EC" w:tentative="1">
      <w:start w:val="1"/>
      <w:numFmt w:val="bullet"/>
      <w:lvlText w:val="•"/>
      <w:lvlJc w:val="left"/>
      <w:pPr>
        <w:tabs>
          <w:tab w:val="num" w:pos="5760"/>
        </w:tabs>
        <w:ind w:left="5760" w:hanging="360"/>
      </w:pPr>
      <w:rPr>
        <w:rFonts w:ascii="Arial" w:hAnsi="Arial" w:hint="default"/>
      </w:rPr>
    </w:lvl>
    <w:lvl w:ilvl="8" w:tplc="8884B846" w:tentative="1">
      <w:start w:val="1"/>
      <w:numFmt w:val="bullet"/>
      <w:lvlText w:val="•"/>
      <w:lvlJc w:val="left"/>
      <w:pPr>
        <w:tabs>
          <w:tab w:val="num" w:pos="6480"/>
        </w:tabs>
        <w:ind w:left="6480" w:hanging="360"/>
      </w:pPr>
      <w:rPr>
        <w:rFonts w:ascii="Arial" w:hAnsi="Arial" w:hint="default"/>
      </w:rPr>
    </w:lvl>
  </w:abstractNum>
  <w:abstractNum w:abstractNumId="2">
    <w:nsid w:val="0A1C7AB6"/>
    <w:multiLevelType w:val="multilevel"/>
    <w:tmpl w:val="B06A5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143A17"/>
    <w:multiLevelType w:val="multilevel"/>
    <w:tmpl w:val="8236F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ED0DF6"/>
    <w:multiLevelType w:val="hybridMultilevel"/>
    <w:tmpl w:val="77628124"/>
    <w:lvl w:ilvl="0" w:tplc="D44AA5B8">
      <w:start w:val="1"/>
      <w:numFmt w:val="bullet"/>
      <w:lvlText w:val="–"/>
      <w:lvlJc w:val="left"/>
      <w:pPr>
        <w:tabs>
          <w:tab w:val="num" w:pos="720"/>
        </w:tabs>
        <w:ind w:left="720" w:hanging="360"/>
      </w:pPr>
      <w:rPr>
        <w:rFonts w:ascii="Arial" w:hAnsi="Arial" w:hint="default"/>
      </w:rPr>
    </w:lvl>
    <w:lvl w:ilvl="1" w:tplc="0E1810E8">
      <w:start w:val="1"/>
      <w:numFmt w:val="bullet"/>
      <w:lvlText w:val="–"/>
      <w:lvlJc w:val="left"/>
      <w:pPr>
        <w:tabs>
          <w:tab w:val="num" w:pos="1440"/>
        </w:tabs>
        <w:ind w:left="1440" w:hanging="360"/>
      </w:pPr>
      <w:rPr>
        <w:rFonts w:ascii="Arial" w:hAnsi="Arial" w:hint="default"/>
      </w:rPr>
    </w:lvl>
    <w:lvl w:ilvl="2" w:tplc="F49CB726" w:tentative="1">
      <w:start w:val="1"/>
      <w:numFmt w:val="bullet"/>
      <w:lvlText w:val="–"/>
      <w:lvlJc w:val="left"/>
      <w:pPr>
        <w:tabs>
          <w:tab w:val="num" w:pos="2160"/>
        </w:tabs>
        <w:ind w:left="2160" w:hanging="360"/>
      </w:pPr>
      <w:rPr>
        <w:rFonts w:ascii="Arial" w:hAnsi="Arial" w:hint="default"/>
      </w:rPr>
    </w:lvl>
    <w:lvl w:ilvl="3" w:tplc="BDD401E4" w:tentative="1">
      <w:start w:val="1"/>
      <w:numFmt w:val="bullet"/>
      <w:lvlText w:val="–"/>
      <w:lvlJc w:val="left"/>
      <w:pPr>
        <w:tabs>
          <w:tab w:val="num" w:pos="2880"/>
        </w:tabs>
        <w:ind w:left="2880" w:hanging="360"/>
      </w:pPr>
      <w:rPr>
        <w:rFonts w:ascii="Arial" w:hAnsi="Arial" w:hint="default"/>
      </w:rPr>
    </w:lvl>
    <w:lvl w:ilvl="4" w:tplc="DA4C3D16" w:tentative="1">
      <w:start w:val="1"/>
      <w:numFmt w:val="bullet"/>
      <w:lvlText w:val="–"/>
      <w:lvlJc w:val="left"/>
      <w:pPr>
        <w:tabs>
          <w:tab w:val="num" w:pos="3600"/>
        </w:tabs>
        <w:ind w:left="3600" w:hanging="360"/>
      </w:pPr>
      <w:rPr>
        <w:rFonts w:ascii="Arial" w:hAnsi="Arial" w:hint="default"/>
      </w:rPr>
    </w:lvl>
    <w:lvl w:ilvl="5" w:tplc="E2962218" w:tentative="1">
      <w:start w:val="1"/>
      <w:numFmt w:val="bullet"/>
      <w:lvlText w:val="–"/>
      <w:lvlJc w:val="left"/>
      <w:pPr>
        <w:tabs>
          <w:tab w:val="num" w:pos="4320"/>
        </w:tabs>
        <w:ind w:left="4320" w:hanging="360"/>
      </w:pPr>
      <w:rPr>
        <w:rFonts w:ascii="Arial" w:hAnsi="Arial" w:hint="default"/>
      </w:rPr>
    </w:lvl>
    <w:lvl w:ilvl="6" w:tplc="344E1D70" w:tentative="1">
      <w:start w:val="1"/>
      <w:numFmt w:val="bullet"/>
      <w:lvlText w:val="–"/>
      <w:lvlJc w:val="left"/>
      <w:pPr>
        <w:tabs>
          <w:tab w:val="num" w:pos="5040"/>
        </w:tabs>
        <w:ind w:left="5040" w:hanging="360"/>
      </w:pPr>
      <w:rPr>
        <w:rFonts w:ascii="Arial" w:hAnsi="Arial" w:hint="default"/>
      </w:rPr>
    </w:lvl>
    <w:lvl w:ilvl="7" w:tplc="B0A420D4" w:tentative="1">
      <w:start w:val="1"/>
      <w:numFmt w:val="bullet"/>
      <w:lvlText w:val="–"/>
      <w:lvlJc w:val="left"/>
      <w:pPr>
        <w:tabs>
          <w:tab w:val="num" w:pos="5760"/>
        </w:tabs>
        <w:ind w:left="5760" w:hanging="360"/>
      </w:pPr>
      <w:rPr>
        <w:rFonts w:ascii="Arial" w:hAnsi="Arial" w:hint="default"/>
      </w:rPr>
    </w:lvl>
    <w:lvl w:ilvl="8" w:tplc="D97AB4C2" w:tentative="1">
      <w:start w:val="1"/>
      <w:numFmt w:val="bullet"/>
      <w:lvlText w:val="–"/>
      <w:lvlJc w:val="left"/>
      <w:pPr>
        <w:tabs>
          <w:tab w:val="num" w:pos="6480"/>
        </w:tabs>
        <w:ind w:left="6480" w:hanging="360"/>
      </w:pPr>
      <w:rPr>
        <w:rFonts w:ascii="Arial" w:hAnsi="Arial" w:hint="default"/>
      </w:rPr>
    </w:lvl>
  </w:abstractNum>
  <w:abstractNum w:abstractNumId="5">
    <w:nsid w:val="0EA916EE"/>
    <w:multiLevelType w:val="multilevel"/>
    <w:tmpl w:val="D750CC7E"/>
    <w:lvl w:ilvl="0">
      <w:start w:val="1"/>
      <w:numFmt w:val="decimal"/>
      <w:lvlText w:val="%1."/>
      <w:lvlJc w:val="left"/>
      <w:pPr>
        <w:ind w:left="465" w:hanging="465"/>
      </w:pPr>
      <w:rPr>
        <w:rFonts w:hint="default"/>
      </w:rPr>
    </w:lvl>
    <w:lvl w:ilvl="1">
      <w:start w:val="1"/>
      <w:numFmt w:val="decimal"/>
      <w:lvlText w:val="%1.%2."/>
      <w:lvlJc w:val="left"/>
      <w:pPr>
        <w:ind w:left="2781" w:hanging="720"/>
      </w:pPr>
      <w:rPr>
        <w:rFonts w:hint="default"/>
      </w:rPr>
    </w:lvl>
    <w:lvl w:ilvl="2">
      <w:start w:val="1"/>
      <w:numFmt w:val="decimal"/>
      <w:lvlText w:val="%1.%2.%3."/>
      <w:lvlJc w:val="left"/>
      <w:pPr>
        <w:ind w:left="4842" w:hanging="720"/>
      </w:pPr>
      <w:rPr>
        <w:rFonts w:hint="default"/>
      </w:rPr>
    </w:lvl>
    <w:lvl w:ilvl="3">
      <w:start w:val="1"/>
      <w:numFmt w:val="decimal"/>
      <w:lvlText w:val="%1.%2.%3.%4."/>
      <w:lvlJc w:val="left"/>
      <w:pPr>
        <w:ind w:left="7263" w:hanging="1080"/>
      </w:pPr>
      <w:rPr>
        <w:rFonts w:hint="default"/>
      </w:rPr>
    </w:lvl>
    <w:lvl w:ilvl="4">
      <w:start w:val="1"/>
      <w:numFmt w:val="decimal"/>
      <w:lvlText w:val="%1.%2.%3.%4.%5."/>
      <w:lvlJc w:val="left"/>
      <w:pPr>
        <w:ind w:left="9324" w:hanging="1080"/>
      </w:pPr>
      <w:rPr>
        <w:rFonts w:hint="default"/>
      </w:rPr>
    </w:lvl>
    <w:lvl w:ilvl="5">
      <w:start w:val="1"/>
      <w:numFmt w:val="decimal"/>
      <w:lvlText w:val="%1.%2.%3.%4.%5.%6."/>
      <w:lvlJc w:val="left"/>
      <w:pPr>
        <w:ind w:left="11745" w:hanging="1440"/>
      </w:pPr>
      <w:rPr>
        <w:rFonts w:hint="default"/>
      </w:rPr>
    </w:lvl>
    <w:lvl w:ilvl="6">
      <w:start w:val="1"/>
      <w:numFmt w:val="decimal"/>
      <w:lvlText w:val="%1.%2.%3.%4.%5.%6.%7."/>
      <w:lvlJc w:val="left"/>
      <w:pPr>
        <w:ind w:left="13806" w:hanging="1440"/>
      </w:pPr>
      <w:rPr>
        <w:rFonts w:hint="default"/>
      </w:rPr>
    </w:lvl>
    <w:lvl w:ilvl="7">
      <w:start w:val="1"/>
      <w:numFmt w:val="decimal"/>
      <w:lvlText w:val="%1.%2.%3.%4.%5.%6.%7.%8."/>
      <w:lvlJc w:val="left"/>
      <w:pPr>
        <w:ind w:left="16227" w:hanging="1800"/>
      </w:pPr>
      <w:rPr>
        <w:rFonts w:hint="default"/>
      </w:rPr>
    </w:lvl>
    <w:lvl w:ilvl="8">
      <w:start w:val="1"/>
      <w:numFmt w:val="decimal"/>
      <w:lvlText w:val="%1.%2.%3.%4.%5.%6.%7.%8.%9."/>
      <w:lvlJc w:val="left"/>
      <w:pPr>
        <w:ind w:left="18648" w:hanging="2160"/>
      </w:pPr>
      <w:rPr>
        <w:rFonts w:hint="default"/>
      </w:rPr>
    </w:lvl>
  </w:abstractNum>
  <w:abstractNum w:abstractNumId="6">
    <w:nsid w:val="0FBA0CA8"/>
    <w:multiLevelType w:val="multilevel"/>
    <w:tmpl w:val="8A182E4E"/>
    <w:lvl w:ilvl="0">
      <w:start w:val="1"/>
      <w:numFmt w:val="upperRoman"/>
      <w:lvlText w:val="%1.- "/>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7">
    <w:nsid w:val="18D43714"/>
    <w:multiLevelType w:val="multilevel"/>
    <w:tmpl w:val="7E447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EC94893"/>
    <w:multiLevelType w:val="hybridMultilevel"/>
    <w:tmpl w:val="061A6416"/>
    <w:lvl w:ilvl="0" w:tplc="515A3D32">
      <w:start w:val="1"/>
      <w:numFmt w:val="bullet"/>
      <w:lvlText w:val="•"/>
      <w:lvlJc w:val="left"/>
      <w:pPr>
        <w:tabs>
          <w:tab w:val="num" w:pos="720"/>
        </w:tabs>
        <w:ind w:left="720" w:hanging="360"/>
      </w:pPr>
      <w:rPr>
        <w:rFonts w:ascii="Arial" w:hAnsi="Arial" w:hint="default"/>
      </w:rPr>
    </w:lvl>
    <w:lvl w:ilvl="1" w:tplc="340A0001">
      <w:start w:val="1"/>
      <w:numFmt w:val="bullet"/>
      <w:lvlText w:val=""/>
      <w:lvlJc w:val="left"/>
      <w:pPr>
        <w:tabs>
          <w:tab w:val="num" w:pos="1440"/>
        </w:tabs>
        <w:ind w:left="1440" w:hanging="360"/>
      </w:pPr>
      <w:rPr>
        <w:rFonts w:ascii="Symbol" w:hAnsi="Symbol" w:hint="default"/>
      </w:rPr>
    </w:lvl>
    <w:lvl w:ilvl="2" w:tplc="6DFCB99E" w:tentative="1">
      <w:start w:val="1"/>
      <w:numFmt w:val="bullet"/>
      <w:lvlText w:val="•"/>
      <w:lvlJc w:val="left"/>
      <w:pPr>
        <w:tabs>
          <w:tab w:val="num" w:pos="2160"/>
        </w:tabs>
        <w:ind w:left="2160" w:hanging="360"/>
      </w:pPr>
      <w:rPr>
        <w:rFonts w:ascii="Arial" w:hAnsi="Arial" w:hint="default"/>
      </w:rPr>
    </w:lvl>
    <w:lvl w:ilvl="3" w:tplc="8D56B984" w:tentative="1">
      <w:start w:val="1"/>
      <w:numFmt w:val="bullet"/>
      <w:lvlText w:val="•"/>
      <w:lvlJc w:val="left"/>
      <w:pPr>
        <w:tabs>
          <w:tab w:val="num" w:pos="2880"/>
        </w:tabs>
        <w:ind w:left="2880" w:hanging="360"/>
      </w:pPr>
      <w:rPr>
        <w:rFonts w:ascii="Arial" w:hAnsi="Arial" w:hint="default"/>
      </w:rPr>
    </w:lvl>
    <w:lvl w:ilvl="4" w:tplc="6F0A6084" w:tentative="1">
      <w:start w:val="1"/>
      <w:numFmt w:val="bullet"/>
      <w:lvlText w:val="•"/>
      <w:lvlJc w:val="left"/>
      <w:pPr>
        <w:tabs>
          <w:tab w:val="num" w:pos="3600"/>
        </w:tabs>
        <w:ind w:left="3600" w:hanging="360"/>
      </w:pPr>
      <w:rPr>
        <w:rFonts w:ascii="Arial" w:hAnsi="Arial" w:hint="default"/>
      </w:rPr>
    </w:lvl>
    <w:lvl w:ilvl="5" w:tplc="26A289FE" w:tentative="1">
      <w:start w:val="1"/>
      <w:numFmt w:val="bullet"/>
      <w:lvlText w:val="•"/>
      <w:lvlJc w:val="left"/>
      <w:pPr>
        <w:tabs>
          <w:tab w:val="num" w:pos="4320"/>
        </w:tabs>
        <w:ind w:left="4320" w:hanging="360"/>
      </w:pPr>
      <w:rPr>
        <w:rFonts w:ascii="Arial" w:hAnsi="Arial" w:hint="default"/>
      </w:rPr>
    </w:lvl>
    <w:lvl w:ilvl="6" w:tplc="541E7602" w:tentative="1">
      <w:start w:val="1"/>
      <w:numFmt w:val="bullet"/>
      <w:lvlText w:val="•"/>
      <w:lvlJc w:val="left"/>
      <w:pPr>
        <w:tabs>
          <w:tab w:val="num" w:pos="5040"/>
        </w:tabs>
        <w:ind w:left="5040" w:hanging="360"/>
      </w:pPr>
      <w:rPr>
        <w:rFonts w:ascii="Arial" w:hAnsi="Arial" w:hint="default"/>
      </w:rPr>
    </w:lvl>
    <w:lvl w:ilvl="7" w:tplc="8708C6EE" w:tentative="1">
      <w:start w:val="1"/>
      <w:numFmt w:val="bullet"/>
      <w:lvlText w:val="•"/>
      <w:lvlJc w:val="left"/>
      <w:pPr>
        <w:tabs>
          <w:tab w:val="num" w:pos="5760"/>
        </w:tabs>
        <w:ind w:left="5760" w:hanging="360"/>
      </w:pPr>
      <w:rPr>
        <w:rFonts w:ascii="Arial" w:hAnsi="Arial" w:hint="default"/>
      </w:rPr>
    </w:lvl>
    <w:lvl w:ilvl="8" w:tplc="387434A2" w:tentative="1">
      <w:start w:val="1"/>
      <w:numFmt w:val="bullet"/>
      <w:lvlText w:val="•"/>
      <w:lvlJc w:val="left"/>
      <w:pPr>
        <w:tabs>
          <w:tab w:val="num" w:pos="6480"/>
        </w:tabs>
        <w:ind w:left="6480" w:hanging="360"/>
      </w:pPr>
      <w:rPr>
        <w:rFonts w:ascii="Arial" w:hAnsi="Arial" w:hint="default"/>
      </w:rPr>
    </w:lvl>
  </w:abstractNum>
  <w:abstractNum w:abstractNumId="9">
    <w:nsid w:val="21B02638"/>
    <w:multiLevelType w:val="multilevel"/>
    <w:tmpl w:val="E194946A"/>
    <w:name w:val="CLAUDIO CORTES ARIAS222322222222222222"/>
    <w:lvl w:ilvl="0">
      <w:start w:val="1"/>
      <w:numFmt w:val="upperRoman"/>
      <w:lvlText w:val="%1.-   "/>
      <w:lvlJc w:val="left"/>
      <w:pPr>
        <w:tabs>
          <w:tab w:val="num" w:pos="567"/>
        </w:tabs>
        <w:ind w:left="567" w:hanging="567"/>
      </w:pPr>
      <w:rPr>
        <w:rFonts w:ascii="Arial" w:hAnsi="Arial" w:hint="default"/>
        <w:b/>
        <w:i w:val="0"/>
        <w:caps w:val="0"/>
        <w:strike w:val="0"/>
        <w:dstrike w:val="0"/>
        <w:outline w:val="0"/>
        <w:shadow w:val="0"/>
        <w:emboss w:val="0"/>
        <w:imprint w:val="0"/>
        <w:vanish w:val="0"/>
        <w:sz w:val="24"/>
        <w:szCs w:val="24"/>
        <w:vertAlign w:val="baseline"/>
      </w:rPr>
    </w:lvl>
    <w:lvl w:ilvl="1">
      <w:start w:val="1"/>
      <w:numFmt w:val="upperLetter"/>
      <w:lvlText w:val="%2.-"/>
      <w:lvlJc w:val="left"/>
      <w:pPr>
        <w:tabs>
          <w:tab w:val="num" w:pos="1134"/>
        </w:tabs>
        <w:ind w:left="1134" w:hanging="567"/>
      </w:pPr>
      <w:rPr>
        <w:rFonts w:ascii="Arial" w:hAnsi="Arial" w:hint="default"/>
        <w:b/>
        <w:i w:val="0"/>
        <w:caps w:val="0"/>
        <w:strike w:val="0"/>
        <w:dstrike w:val="0"/>
        <w:outline w:val="0"/>
        <w:shadow w:val="0"/>
        <w:emboss w:val="0"/>
        <w:imprint w:val="0"/>
        <w:vanish w:val="0"/>
        <w:sz w:val="24"/>
        <w:szCs w:val="24"/>
        <w:vertAlign w:val="baseline"/>
      </w:rPr>
    </w:lvl>
    <w:lvl w:ilvl="2">
      <w:start w:val="1"/>
      <w:numFmt w:val="decimal"/>
      <w:lvlText w:val="%3.-"/>
      <w:lvlJc w:val="left"/>
      <w:pPr>
        <w:tabs>
          <w:tab w:val="num" w:pos="1701"/>
        </w:tabs>
        <w:ind w:left="1701" w:hanging="567"/>
      </w:pPr>
      <w:rPr>
        <w:rFonts w:ascii="Arial" w:hAnsi="Arial" w:hint="default"/>
        <w:b/>
        <w:i w:val="0"/>
        <w:caps w:val="0"/>
        <w:strike w:val="0"/>
        <w:dstrike w:val="0"/>
        <w:outline w:val="0"/>
        <w:shadow w:val="0"/>
        <w:emboss w:val="0"/>
        <w:imprint w:val="0"/>
        <w:vanish w:val="0"/>
        <w:sz w:val="24"/>
        <w:szCs w:val="24"/>
        <w:vertAlign w:val="baseline"/>
      </w:rPr>
    </w:lvl>
    <w:lvl w:ilvl="3">
      <w:start w:val="1"/>
      <w:numFmt w:val="lowerLetter"/>
      <w:lvlText w:val="%4.-"/>
      <w:lvlJc w:val="left"/>
      <w:pPr>
        <w:tabs>
          <w:tab w:val="num" w:pos="2268"/>
        </w:tabs>
        <w:ind w:left="2268" w:hanging="567"/>
      </w:pPr>
      <w:rPr>
        <w:rFonts w:ascii="Arial" w:hAnsi="Arial" w:hint="default"/>
        <w:b/>
        <w:bCs/>
        <w:i w:val="0"/>
        <w:caps w:val="0"/>
        <w:strike w:val="0"/>
        <w:dstrike w:val="0"/>
        <w:outline w:val="0"/>
        <w:shadow w:val="0"/>
        <w:emboss w:val="0"/>
        <w:imprint w:val="0"/>
        <w:vanish w:val="0"/>
        <w:sz w:val="24"/>
        <w:szCs w:val="24"/>
        <w:vertAlign w:val="baseline"/>
      </w:rPr>
    </w:lvl>
    <w:lvl w:ilvl="4">
      <w:start w:val="1"/>
      <w:numFmt w:val="bullet"/>
      <w:suff w:val="space"/>
      <w:lvlText w:val=""/>
      <w:lvlJc w:val="left"/>
      <w:pPr>
        <w:ind w:left="1644" w:hanging="226"/>
      </w:pPr>
      <w:rPr>
        <w:rFonts w:ascii="Symbol" w:hAnsi="Symbol" w:hint="default"/>
        <w:b w:val="0"/>
        <w:i w:val="0"/>
        <w:color w:val="auto"/>
        <w:sz w:val="24"/>
      </w:rPr>
    </w:lvl>
    <w:lvl w:ilvl="5">
      <w:start w:val="1"/>
      <w:numFmt w:val="bullet"/>
      <w:lvlRestart w:val="0"/>
      <w:suff w:val="space"/>
      <w:lvlText w:val=""/>
      <w:lvlJc w:val="left"/>
      <w:pPr>
        <w:ind w:left="1928" w:hanging="227"/>
      </w:pPr>
      <w:rPr>
        <w:rFonts w:ascii="Symbol" w:hAnsi="Symbol" w:hint="default"/>
        <w:b w:val="0"/>
        <w:i w:val="0"/>
        <w:color w:val="auto"/>
        <w:sz w:val="24"/>
      </w:rPr>
    </w:lvl>
    <w:lvl w:ilvl="6">
      <w:start w:val="1"/>
      <w:numFmt w:val="decimal"/>
      <w:lvlRestart w:val="0"/>
      <w:lvlText w:val="%1.%2.%3.%4.%5.%6.%7."/>
      <w:lvlJc w:val="left"/>
      <w:pPr>
        <w:tabs>
          <w:tab w:val="num" w:pos="5688"/>
        </w:tabs>
        <w:ind w:left="5688" w:hanging="1441"/>
      </w:pPr>
      <w:rPr>
        <w:rFonts w:hint="default"/>
      </w:rPr>
    </w:lvl>
    <w:lvl w:ilvl="7">
      <w:start w:val="1"/>
      <w:numFmt w:val="decimal"/>
      <w:lvlRestart w:val="0"/>
      <w:lvlText w:val="%1.%2.%3.%4.%5.%6.%7.%8."/>
      <w:lvlJc w:val="left"/>
      <w:pPr>
        <w:tabs>
          <w:tab w:val="num" w:pos="6396"/>
        </w:tabs>
        <w:ind w:left="6396" w:hanging="1440"/>
      </w:pPr>
      <w:rPr>
        <w:rFonts w:hint="default"/>
      </w:rPr>
    </w:lvl>
    <w:lvl w:ilvl="8">
      <w:start w:val="1"/>
      <w:numFmt w:val="decimal"/>
      <w:lvlRestart w:val="0"/>
      <w:lvlText w:val="%1.%2.%3.%4.%5.%6.%7.%8.%9."/>
      <w:lvlJc w:val="left"/>
      <w:pPr>
        <w:tabs>
          <w:tab w:val="num" w:pos="7464"/>
        </w:tabs>
        <w:ind w:left="7464" w:hanging="1800"/>
      </w:pPr>
      <w:rPr>
        <w:rFonts w:hint="default"/>
      </w:rPr>
    </w:lvl>
  </w:abstractNum>
  <w:abstractNum w:abstractNumId="10">
    <w:nsid w:val="2240216F"/>
    <w:multiLevelType w:val="hybridMultilevel"/>
    <w:tmpl w:val="9F0054FA"/>
    <w:lvl w:ilvl="0" w:tplc="340A0001">
      <w:start w:val="1"/>
      <w:numFmt w:val="bullet"/>
      <w:lvlText w:val=""/>
      <w:lvlJc w:val="left"/>
      <w:pPr>
        <w:ind w:left="1287" w:hanging="360"/>
      </w:pPr>
      <w:rPr>
        <w:rFonts w:ascii="Symbol" w:hAnsi="Symbol" w:hint="default"/>
      </w:rPr>
    </w:lvl>
    <w:lvl w:ilvl="1" w:tplc="340A0003" w:tentative="1">
      <w:start w:val="1"/>
      <w:numFmt w:val="bullet"/>
      <w:lvlText w:val="o"/>
      <w:lvlJc w:val="left"/>
      <w:pPr>
        <w:ind w:left="2007" w:hanging="360"/>
      </w:pPr>
      <w:rPr>
        <w:rFonts w:ascii="Courier New" w:hAnsi="Courier New" w:cs="Courier New" w:hint="default"/>
      </w:rPr>
    </w:lvl>
    <w:lvl w:ilvl="2" w:tplc="340A0005" w:tentative="1">
      <w:start w:val="1"/>
      <w:numFmt w:val="bullet"/>
      <w:lvlText w:val=""/>
      <w:lvlJc w:val="left"/>
      <w:pPr>
        <w:ind w:left="2727" w:hanging="360"/>
      </w:pPr>
      <w:rPr>
        <w:rFonts w:ascii="Wingdings" w:hAnsi="Wingdings" w:hint="default"/>
      </w:rPr>
    </w:lvl>
    <w:lvl w:ilvl="3" w:tplc="340A0001" w:tentative="1">
      <w:start w:val="1"/>
      <w:numFmt w:val="bullet"/>
      <w:lvlText w:val=""/>
      <w:lvlJc w:val="left"/>
      <w:pPr>
        <w:ind w:left="3447" w:hanging="360"/>
      </w:pPr>
      <w:rPr>
        <w:rFonts w:ascii="Symbol" w:hAnsi="Symbol" w:hint="default"/>
      </w:rPr>
    </w:lvl>
    <w:lvl w:ilvl="4" w:tplc="340A0003" w:tentative="1">
      <w:start w:val="1"/>
      <w:numFmt w:val="bullet"/>
      <w:lvlText w:val="o"/>
      <w:lvlJc w:val="left"/>
      <w:pPr>
        <w:ind w:left="4167" w:hanging="360"/>
      </w:pPr>
      <w:rPr>
        <w:rFonts w:ascii="Courier New" w:hAnsi="Courier New" w:cs="Courier New" w:hint="default"/>
      </w:rPr>
    </w:lvl>
    <w:lvl w:ilvl="5" w:tplc="340A0005" w:tentative="1">
      <w:start w:val="1"/>
      <w:numFmt w:val="bullet"/>
      <w:lvlText w:val=""/>
      <w:lvlJc w:val="left"/>
      <w:pPr>
        <w:ind w:left="4887" w:hanging="360"/>
      </w:pPr>
      <w:rPr>
        <w:rFonts w:ascii="Wingdings" w:hAnsi="Wingdings" w:hint="default"/>
      </w:rPr>
    </w:lvl>
    <w:lvl w:ilvl="6" w:tplc="340A0001" w:tentative="1">
      <w:start w:val="1"/>
      <w:numFmt w:val="bullet"/>
      <w:lvlText w:val=""/>
      <w:lvlJc w:val="left"/>
      <w:pPr>
        <w:ind w:left="5607" w:hanging="360"/>
      </w:pPr>
      <w:rPr>
        <w:rFonts w:ascii="Symbol" w:hAnsi="Symbol" w:hint="default"/>
      </w:rPr>
    </w:lvl>
    <w:lvl w:ilvl="7" w:tplc="340A0003" w:tentative="1">
      <w:start w:val="1"/>
      <w:numFmt w:val="bullet"/>
      <w:lvlText w:val="o"/>
      <w:lvlJc w:val="left"/>
      <w:pPr>
        <w:ind w:left="6327" w:hanging="360"/>
      </w:pPr>
      <w:rPr>
        <w:rFonts w:ascii="Courier New" w:hAnsi="Courier New" w:cs="Courier New" w:hint="default"/>
      </w:rPr>
    </w:lvl>
    <w:lvl w:ilvl="8" w:tplc="340A0005" w:tentative="1">
      <w:start w:val="1"/>
      <w:numFmt w:val="bullet"/>
      <w:lvlText w:val=""/>
      <w:lvlJc w:val="left"/>
      <w:pPr>
        <w:ind w:left="7047" w:hanging="360"/>
      </w:pPr>
      <w:rPr>
        <w:rFonts w:ascii="Wingdings" w:hAnsi="Wingdings" w:hint="default"/>
      </w:rPr>
    </w:lvl>
  </w:abstractNum>
  <w:abstractNum w:abstractNumId="11">
    <w:nsid w:val="22431EEF"/>
    <w:multiLevelType w:val="multilevel"/>
    <w:tmpl w:val="10B42852"/>
    <w:name w:val="CLAUDIO CORTES ARIAS2223222222222222222"/>
    <w:lvl w:ilvl="0">
      <w:start w:val="1"/>
      <w:numFmt w:val="upperRoman"/>
      <w:lvlText w:val="%1.-   "/>
      <w:lvlJc w:val="left"/>
      <w:pPr>
        <w:tabs>
          <w:tab w:val="num" w:pos="567"/>
        </w:tabs>
        <w:ind w:left="567" w:hanging="567"/>
      </w:pPr>
      <w:rPr>
        <w:rFonts w:ascii="Arial" w:hAnsi="Arial" w:hint="default"/>
        <w:b/>
        <w:i w:val="0"/>
        <w:caps w:val="0"/>
        <w:strike w:val="0"/>
        <w:dstrike w:val="0"/>
        <w:outline w:val="0"/>
        <w:shadow w:val="0"/>
        <w:emboss w:val="0"/>
        <w:imprint w:val="0"/>
        <w:vanish w:val="0"/>
        <w:sz w:val="24"/>
        <w:szCs w:val="24"/>
        <w:vertAlign w:val="baseline"/>
      </w:rPr>
    </w:lvl>
    <w:lvl w:ilvl="1">
      <w:start w:val="1"/>
      <w:numFmt w:val="upperLetter"/>
      <w:lvlText w:val="%2.-"/>
      <w:lvlJc w:val="left"/>
      <w:pPr>
        <w:tabs>
          <w:tab w:val="num" w:pos="1134"/>
        </w:tabs>
        <w:ind w:left="1134" w:hanging="567"/>
      </w:pPr>
      <w:rPr>
        <w:rFonts w:ascii="Arial" w:hAnsi="Arial" w:hint="default"/>
        <w:b/>
        <w:i w:val="0"/>
        <w:caps w:val="0"/>
        <w:strike w:val="0"/>
        <w:dstrike w:val="0"/>
        <w:outline w:val="0"/>
        <w:shadow w:val="0"/>
        <w:emboss w:val="0"/>
        <w:imprint w:val="0"/>
        <w:vanish w:val="0"/>
        <w:sz w:val="24"/>
        <w:szCs w:val="24"/>
        <w:vertAlign w:val="baseline"/>
      </w:rPr>
    </w:lvl>
    <w:lvl w:ilvl="2">
      <w:start w:val="1"/>
      <w:numFmt w:val="decimal"/>
      <w:lvlText w:val="%3.-"/>
      <w:lvlJc w:val="left"/>
      <w:pPr>
        <w:tabs>
          <w:tab w:val="num" w:pos="1701"/>
        </w:tabs>
        <w:ind w:left="1701" w:hanging="567"/>
      </w:pPr>
      <w:rPr>
        <w:rFonts w:ascii="Arial" w:hAnsi="Arial" w:hint="default"/>
        <w:b/>
        <w:i w:val="0"/>
        <w:caps w:val="0"/>
        <w:strike w:val="0"/>
        <w:dstrike w:val="0"/>
        <w:outline w:val="0"/>
        <w:shadow w:val="0"/>
        <w:emboss w:val="0"/>
        <w:imprint w:val="0"/>
        <w:vanish w:val="0"/>
        <w:sz w:val="24"/>
        <w:szCs w:val="24"/>
        <w:vertAlign w:val="baseline"/>
      </w:rPr>
    </w:lvl>
    <w:lvl w:ilvl="3">
      <w:start w:val="1"/>
      <w:numFmt w:val="lowerLetter"/>
      <w:lvlText w:val="%4.-"/>
      <w:lvlJc w:val="left"/>
      <w:pPr>
        <w:tabs>
          <w:tab w:val="num" w:pos="2268"/>
        </w:tabs>
        <w:ind w:left="2268" w:hanging="567"/>
      </w:pPr>
      <w:rPr>
        <w:rFonts w:ascii="Arial" w:hAnsi="Arial" w:hint="default"/>
        <w:b/>
        <w:bCs/>
        <w:i w:val="0"/>
        <w:caps w:val="0"/>
        <w:strike w:val="0"/>
        <w:dstrike w:val="0"/>
        <w:outline w:val="0"/>
        <w:shadow w:val="0"/>
        <w:emboss w:val="0"/>
        <w:imprint w:val="0"/>
        <w:vanish w:val="0"/>
        <w:sz w:val="24"/>
        <w:szCs w:val="24"/>
        <w:vertAlign w:val="baseline"/>
      </w:rPr>
    </w:lvl>
    <w:lvl w:ilvl="4">
      <w:start w:val="1"/>
      <w:numFmt w:val="bullet"/>
      <w:suff w:val="space"/>
      <w:lvlText w:val=""/>
      <w:lvlJc w:val="left"/>
      <w:pPr>
        <w:ind w:left="1644" w:hanging="226"/>
      </w:pPr>
      <w:rPr>
        <w:rFonts w:ascii="Symbol" w:hAnsi="Symbol" w:hint="default"/>
        <w:b w:val="0"/>
        <w:i w:val="0"/>
        <w:color w:val="auto"/>
        <w:sz w:val="24"/>
      </w:rPr>
    </w:lvl>
    <w:lvl w:ilvl="5">
      <w:start w:val="1"/>
      <w:numFmt w:val="bullet"/>
      <w:lvlRestart w:val="0"/>
      <w:suff w:val="space"/>
      <w:lvlText w:val=""/>
      <w:lvlJc w:val="left"/>
      <w:pPr>
        <w:ind w:left="1928" w:hanging="227"/>
      </w:pPr>
      <w:rPr>
        <w:rFonts w:ascii="Symbol" w:hAnsi="Symbol" w:hint="default"/>
        <w:b w:val="0"/>
        <w:i w:val="0"/>
        <w:color w:val="auto"/>
        <w:sz w:val="24"/>
      </w:rPr>
    </w:lvl>
    <w:lvl w:ilvl="6">
      <w:start w:val="1"/>
      <w:numFmt w:val="decimal"/>
      <w:lvlRestart w:val="0"/>
      <w:lvlText w:val="%1.%2.%3.%4.%5.%6.%7."/>
      <w:lvlJc w:val="left"/>
      <w:pPr>
        <w:tabs>
          <w:tab w:val="num" w:pos="5688"/>
        </w:tabs>
        <w:ind w:left="5688" w:hanging="1441"/>
      </w:pPr>
      <w:rPr>
        <w:rFonts w:hint="default"/>
      </w:rPr>
    </w:lvl>
    <w:lvl w:ilvl="7">
      <w:start w:val="1"/>
      <w:numFmt w:val="decimal"/>
      <w:lvlRestart w:val="0"/>
      <w:lvlText w:val="%1.%2.%3.%4.%5.%6.%7.%8."/>
      <w:lvlJc w:val="left"/>
      <w:pPr>
        <w:tabs>
          <w:tab w:val="num" w:pos="6396"/>
        </w:tabs>
        <w:ind w:left="6396" w:hanging="1440"/>
      </w:pPr>
      <w:rPr>
        <w:rFonts w:hint="default"/>
      </w:rPr>
    </w:lvl>
    <w:lvl w:ilvl="8">
      <w:start w:val="1"/>
      <w:numFmt w:val="decimal"/>
      <w:lvlRestart w:val="0"/>
      <w:lvlText w:val="%1.%2.%3.%4.%5.%6.%7.%8.%9."/>
      <w:lvlJc w:val="left"/>
      <w:pPr>
        <w:tabs>
          <w:tab w:val="num" w:pos="7464"/>
        </w:tabs>
        <w:ind w:left="7464" w:hanging="1800"/>
      </w:pPr>
      <w:rPr>
        <w:rFonts w:hint="default"/>
      </w:rPr>
    </w:lvl>
  </w:abstractNum>
  <w:abstractNum w:abstractNumId="12">
    <w:nsid w:val="27B0473F"/>
    <w:multiLevelType w:val="hybridMultilevel"/>
    <w:tmpl w:val="DA905172"/>
    <w:lvl w:ilvl="0" w:tplc="F29249EE">
      <w:start w:val="1"/>
      <w:numFmt w:val="bullet"/>
      <w:lvlText w:val="•"/>
      <w:lvlJc w:val="left"/>
      <w:pPr>
        <w:tabs>
          <w:tab w:val="num" w:pos="720"/>
        </w:tabs>
        <w:ind w:left="720" w:hanging="360"/>
      </w:pPr>
      <w:rPr>
        <w:rFonts w:ascii="Arial" w:hAnsi="Arial" w:hint="default"/>
      </w:rPr>
    </w:lvl>
    <w:lvl w:ilvl="1" w:tplc="93EADBEE" w:tentative="1">
      <w:start w:val="1"/>
      <w:numFmt w:val="bullet"/>
      <w:lvlText w:val="•"/>
      <w:lvlJc w:val="left"/>
      <w:pPr>
        <w:tabs>
          <w:tab w:val="num" w:pos="1440"/>
        </w:tabs>
        <w:ind w:left="1440" w:hanging="360"/>
      </w:pPr>
      <w:rPr>
        <w:rFonts w:ascii="Arial" w:hAnsi="Arial" w:hint="default"/>
      </w:rPr>
    </w:lvl>
    <w:lvl w:ilvl="2" w:tplc="CF9885DA" w:tentative="1">
      <w:start w:val="1"/>
      <w:numFmt w:val="bullet"/>
      <w:lvlText w:val="•"/>
      <w:lvlJc w:val="left"/>
      <w:pPr>
        <w:tabs>
          <w:tab w:val="num" w:pos="2160"/>
        </w:tabs>
        <w:ind w:left="2160" w:hanging="360"/>
      </w:pPr>
      <w:rPr>
        <w:rFonts w:ascii="Arial" w:hAnsi="Arial" w:hint="default"/>
      </w:rPr>
    </w:lvl>
    <w:lvl w:ilvl="3" w:tplc="A5B80C00" w:tentative="1">
      <w:start w:val="1"/>
      <w:numFmt w:val="bullet"/>
      <w:lvlText w:val="•"/>
      <w:lvlJc w:val="left"/>
      <w:pPr>
        <w:tabs>
          <w:tab w:val="num" w:pos="2880"/>
        </w:tabs>
        <w:ind w:left="2880" w:hanging="360"/>
      </w:pPr>
      <w:rPr>
        <w:rFonts w:ascii="Arial" w:hAnsi="Arial" w:hint="default"/>
      </w:rPr>
    </w:lvl>
    <w:lvl w:ilvl="4" w:tplc="CE7CF780" w:tentative="1">
      <w:start w:val="1"/>
      <w:numFmt w:val="bullet"/>
      <w:lvlText w:val="•"/>
      <w:lvlJc w:val="left"/>
      <w:pPr>
        <w:tabs>
          <w:tab w:val="num" w:pos="3600"/>
        </w:tabs>
        <w:ind w:left="3600" w:hanging="360"/>
      </w:pPr>
      <w:rPr>
        <w:rFonts w:ascii="Arial" w:hAnsi="Arial" w:hint="default"/>
      </w:rPr>
    </w:lvl>
    <w:lvl w:ilvl="5" w:tplc="7242D6B6" w:tentative="1">
      <w:start w:val="1"/>
      <w:numFmt w:val="bullet"/>
      <w:lvlText w:val="•"/>
      <w:lvlJc w:val="left"/>
      <w:pPr>
        <w:tabs>
          <w:tab w:val="num" w:pos="4320"/>
        </w:tabs>
        <w:ind w:left="4320" w:hanging="360"/>
      </w:pPr>
      <w:rPr>
        <w:rFonts w:ascii="Arial" w:hAnsi="Arial" w:hint="default"/>
      </w:rPr>
    </w:lvl>
    <w:lvl w:ilvl="6" w:tplc="8E7CC9D8" w:tentative="1">
      <w:start w:val="1"/>
      <w:numFmt w:val="bullet"/>
      <w:lvlText w:val="•"/>
      <w:lvlJc w:val="left"/>
      <w:pPr>
        <w:tabs>
          <w:tab w:val="num" w:pos="5040"/>
        </w:tabs>
        <w:ind w:left="5040" w:hanging="360"/>
      </w:pPr>
      <w:rPr>
        <w:rFonts w:ascii="Arial" w:hAnsi="Arial" w:hint="default"/>
      </w:rPr>
    </w:lvl>
    <w:lvl w:ilvl="7" w:tplc="D6C4AD48" w:tentative="1">
      <w:start w:val="1"/>
      <w:numFmt w:val="bullet"/>
      <w:lvlText w:val="•"/>
      <w:lvlJc w:val="left"/>
      <w:pPr>
        <w:tabs>
          <w:tab w:val="num" w:pos="5760"/>
        </w:tabs>
        <w:ind w:left="5760" w:hanging="360"/>
      </w:pPr>
      <w:rPr>
        <w:rFonts w:ascii="Arial" w:hAnsi="Arial" w:hint="default"/>
      </w:rPr>
    </w:lvl>
    <w:lvl w:ilvl="8" w:tplc="4BC0612C" w:tentative="1">
      <w:start w:val="1"/>
      <w:numFmt w:val="bullet"/>
      <w:lvlText w:val="•"/>
      <w:lvlJc w:val="left"/>
      <w:pPr>
        <w:tabs>
          <w:tab w:val="num" w:pos="6480"/>
        </w:tabs>
        <w:ind w:left="6480" w:hanging="360"/>
      </w:pPr>
      <w:rPr>
        <w:rFonts w:ascii="Arial" w:hAnsi="Arial" w:hint="default"/>
      </w:rPr>
    </w:lvl>
  </w:abstractNum>
  <w:abstractNum w:abstractNumId="13">
    <w:nsid w:val="2A7B7E87"/>
    <w:multiLevelType w:val="multilevel"/>
    <w:tmpl w:val="6854B404"/>
    <w:lvl w:ilvl="0">
      <w:start w:val="1"/>
      <w:numFmt w:val="upperRoman"/>
      <w:lvlText w:val="%1.- "/>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i w:val="0"/>
        <w:caps/>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4">
    <w:nsid w:val="3D937784"/>
    <w:multiLevelType w:val="multilevel"/>
    <w:tmpl w:val="8F264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DEE1059"/>
    <w:multiLevelType w:val="multilevel"/>
    <w:tmpl w:val="2ED62C6C"/>
    <w:lvl w:ilvl="0">
      <w:start w:val="1"/>
      <w:numFmt w:val="decimal"/>
      <w:lvlText w:val="%1."/>
      <w:lvlJc w:val="left"/>
      <w:pPr>
        <w:ind w:left="465" w:hanging="465"/>
      </w:pPr>
      <w:rPr>
        <w:rFonts w:hint="default"/>
      </w:rPr>
    </w:lvl>
    <w:lvl w:ilvl="1">
      <w:start w:val="1"/>
      <w:numFmt w:val="decimal"/>
      <w:lvlText w:val="%1.%2."/>
      <w:lvlJc w:val="left"/>
      <w:pPr>
        <w:ind w:left="2781" w:hanging="720"/>
      </w:pPr>
      <w:rPr>
        <w:rFonts w:hint="default"/>
      </w:rPr>
    </w:lvl>
    <w:lvl w:ilvl="2">
      <w:start w:val="1"/>
      <w:numFmt w:val="decimal"/>
      <w:lvlText w:val="%1.%2.%3."/>
      <w:lvlJc w:val="left"/>
      <w:pPr>
        <w:ind w:left="4842" w:hanging="720"/>
      </w:pPr>
      <w:rPr>
        <w:rFonts w:hint="default"/>
      </w:rPr>
    </w:lvl>
    <w:lvl w:ilvl="3">
      <w:start w:val="1"/>
      <w:numFmt w:val="decimal"/>
      <w:lvlText w:val="%1.%2.%3.%4."/>
      <w:lvlJc w:val="left"/>
      <w:pPr>
        <w:ind w:left="7263" w:hanging="1080"/>
      </w:pPr>
      <w:rPr>
        <w:rFonts w:hint="default"/>
      </w:rPr>
    </w:lvl>
    <w:lvl w:ilvl="4">
      <w:start w:val="1"/>
      <w:numFmt w:val="decimal"/>
      <w:lvlText w:val="%1.%2.%3.%4.%5."/>
      <w:lvlJc w:val="left"/>
      <w:pPr>
        <w:ind w:left="9324" w:hanging="1080"/>
      </w:pPr>
      <w:rPr>
        <w:rFonts w:hint="default"/>
      </w:rPr>
    </w:lvl>
    <w:lvl w:ilvl="5">
      <w:start w:val="1"/>
      <w:numFmt w:val="decimal"/>
      <w:lvlText w:val="%1.%2.%3.%4.%5.%6."/>
      <w:lvlJc w:val="left"/>
      <w:pPr>
        <w:ind w:left="11745" w:hanging="1440"/>
      </w:pPr>
      <w:rPr>
        <w:rFonts w:hint="default"/>
      </w:rPr>
    </w:lvl>
    <w:lvl w:ilvl="6">
      <w:start w:val="1"/>
      <w:numFmt w:val="decimal"/>
      <w:lvlText w:val="%1.%2.%3.%4.%5.%6.%7."/>
      <w:lvlJc w:val="left"/>
      <w:pPr>
        <w:ind w:left="13806" w:hanging="1440"/>
      </w:pPr>
      <w:rPr>
        <w:rFonts w:hint="default"/>
      </w:rPr>
    </w:lvl>
    <w:lvl w:ilvl="7">
      <w:start w:val="1"/>
      <w:numFmt w:val="decimal"/>
      <w:lvlText w:val="%1.%2.%3.%4.%5.%6.%7.%8."/>
      <w:lvlJc w:val="left"/>
      <w:pPr>
        <w:ind w:left="16227" w:hanging="1800"/>
      </w:pPr>
      <w:rPr>
        <w:rFonts w:hint="default"/>
      </w:rPr>
    </w:lvl>
    <w:lvl w:ilvl="8">
      <w:start w:val="1"/>
      <w:numFmt w:val="decimal"/>
      <w:lvlText w:val="%1.%2.%3.%4.%5.%6.%7.%8.%9."/>
      <w:lvlJc w:val="left"/>
      <w:pPr>
        <w:ind w:left="18648" w:hanging="2160"/>
      </w:pPr>
      <w:rPr>
        <w:rFonts w:hint="default"/>
      </w:rPr>
    </w:lvl>
  </w:abstractNum>
  <w:abstractNum w:abstractNumId="16">
    <w:nsid w:val="40552DC9"/>
    <w:multiLevelType w:val="multilevel"/>
    <w:tmpl w:val="70921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D1E38AF"/>
    <w:multiLevelType w:val="multilevel"/>
    <w:tmpl w:val="8A182E4E"/>
    <w:lvl w:ilvl="0">
      <w:start w:val="1"/>
      <w:numFmt w:val="upperRoman"/>
      <w:lvlText w:val="%1.- "/>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8">
    <w:nsid w:val="4F5B282A"/>
    <w:multiLevelType w:val="hybridMultilevel"/>
    <w:tmpl w:val="04F46CCA"/>
    <w:lvl w:ilvl="0" w:tplc="340A0001">
      <w:start w:val="1"/>
      <w:numFmt w:val="bullet"/>
      <w:lvlText w:val=""/>
      <w:lvlJc w:val="left"/>
      <w:pPr>
        <w:ind w:left="1291" w:hanging="360"/>
      </w:pPr>
      <w:rPr>
        <w:rFonts w:ascii="Symbol" w:hAnsi="Symbol" w:hint="default"/>
      </w:rPr>
    </w:lvl>
    <w:lvl w:ilvl="1" w:tplc="340A0003" w:tentative="1">
      <w:start w:val="1"/>
      <w:numFmt w:val="bullet"/>
      <w:lvlText w:val="o"/>
      <w:lvlJc w:val="left"/>
      <w:pPr>
        <w:ind w:left="2011" w:hanging="360"/>
      </w:pPr>
      <w:rPr>
        <w:rFonts w:ascii="Courier New" w:hAnsi="Courier New" w:cs="Courier New" w:hint="default"/>
      </w:rPr>
    </w:lvl>
    <w:lvl w:ilvl="2" w:tplc="340A0005" w:tentative="1">
      <w:start w:val="1"/>
      <w:numFmt w:val="bullet"/>
      <w:lvlText w:val=""/>
      <w:lvlJc w:val="left"/>
      <w:pPr>
        <w:ind w:left="2731" w:hanging="360"/>
      </w:pPr>
      <w:rPr>
        <w:rFonts w:ascii="Wingdings" w:hAnsi="Wingdings" w:hint="default"/>
      </w:rPr>
    </w:lvl>
    <w:lvl w:ilvl="3" w:tplc="340A0001" w:tentative="1">
      <w:start w:val="1"/>
      <w:numFmt w:val="bullet"/>
      <w:lvlText w:val=""/>
      <w:lvlJc w:val="left"/>
      <w:pPr>
        <w:ind w:left="3451" w:hanging="360"/>
      </w:pPr>
      <w:rPr>
        <w:rFonts w:ascii="Symbol" w:hAnsi="Symbol" w:hint="default"/>
      </w:rPr>
    </w:lvl>
    <w:lvl w:ilvl="4" w:tplc="340A0003" w:tentative="1">
      <w:start w:val="1"/>
      <w:numFmt w:val="bullet"/>
      <w:lvlText w:val="o"/>
      <w:lvlJc w:val="left"/>
      <w:pPr>
        <w:ind w:left="4171" w:hanging="360"/>
      </w:pPr>
      <w:rPr>
        <w:rFonts w:ascii="Courier New" w:hAnsi="Courier New" w:cs="Courier New" w:hint="default"/>
      </w:rPr>
    </w:lvl>
    <w:lvl w:ilvl="5" w:tplc="340A0005" w:tentative="1">
      <w:start w:val="1"/>
      <w:numFmt w:val="bullet"/>
      <w:lvlText w:val=""/>
      <w:lvlJc w:val="left"/>
      <w:pPr>
        <w:ind w:left="4891" w:hanging="360"/>
      </w:pPr>
      <w:rPr>
        <w:rFonts w:ascii="Wingdings" w:hAnsi="Wingdings" w:hint="default"/>
      </w:rPr>
    </w:lvl>
    <w:lvl w:ilvl="6" w:tplc="340A0001" w:tentative="1">
      <w:start w:val="1"/>
      <w:numFmt w:val="bullet"/>
      <w:lvlText w:val=""/>
      <w:lvlJc w:val="left"/>
      <w:pPr>
        <w:ind w:left="5611" w:hanging="360"/>
      </w:pPr>
      <w:rPr>
        <w:rFonts w:ascii="Symbol" w:hAnsi="Symbol" w:hint="default"/>
      </w:rPr>
    </w:lvl>
    <w:lvl w:ilvl="7" w:tplc="340A0003" w:tentative="1">
      <w:start w:val="1"/>
      <w:numFmt w:val="bullet"/>
      <w:lvlText w:val="o"/>
      <w:lvlJc w:val="left"/>
      <w:pPr>
        <w:ind w:left="6331" w:hanging="360"/>
      </w:pPr>
      <w:rPr>
        <w:rFonts w:ascii="Courier New" w:hAnsi="Courier New" w:cs="Courier New" w:hint="default"/>
      </w:rPr>
    </w:lvl>
    <w:lvl w:ilvl="8" w:tplc="340A0005" w:tentative="1">
      <w:start w:val="1"/>
      <w:numFmt w:val="bullet"/>
      <w:lvlText w:val=""/>
      <w:lvlJc w:val="left"/>
      <w:pPr>
        <w:ind w:left="7051" w:hanging="360"/>
      </w:pPr>
      <w:rPr>
        <w:rFonts w:ascii="Wingdings" w:hAnsi="Wingdings" w:hint="default"/>
      </w:rPr>
    </w:lvl>
  </w:abstractNum>
  <w:abstractNum w:abstractNumId="19">
    <w:nsid w:val="5AB9448C"/>
    <w:multiLevelType w:val="multilevel"/>
    <w:tmpl w:val="3BC45B4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2356056"/>
    <w:multiLevelType w:val="hybridMultilevel"/>
    <w:tmpl w:val="F93AE170"/>
    <w:lvl w:ilvl="0" w:tplc="2A347AB8">
      <w:start w:val="1"/>
      <w:numFmt w:val="bullet"/>
      <w:lvlText w:val="–"/>
      <w:lvlJc w:val="left"/>
      <w:pPr>
        <w:tabs>
          <w:tab w:val="num" w:pos="720"/>
        </w:tabs>
        <w:ind w:left="720" w:hanging="360"/>
      </w:pPr>
      <w:rPr>
        <w:rFonts w:ascii="Arial" w:hAnsi="Arial" w:hint="default"/>
      </w:rPr>
    </w:lvl>
    <w:lvl w:ilvl="1" w:tplc="83DE4998">
      <w:start w:val="1"/>
      <w:numFmt w:val="bullet"/>
      <w:lvlText w:val="–"/>
      <w:lvlJc w:val="left"/>
      <w:pPr>
        <w:tabs>
          <w:tab w:val="num" w:pos="1440"/>
        </w:tabs>
        <w:ind w:left="1440" w:hanging="360"/>
      </w:pPr>
      <w:rPr>
        <w:rFonts w:ascii="Arial" w:hAnsi="Arial" w:hint="default"/>
      </w:rPr>
    </w:lvl>
    <w:lvl w:ilvl="2" w:tplc="C4A220B2" w:tentative="1">
      <w:start w:val="1"/>
      <w:numFmt w:val="bullet"/>
      <w:lvlText w:val="–"/>
      <w:lvlJc w:val="left"/>
      <w:pPr>
        <w:tabs>
          <w:tab w:val="num" w:pos="2160"/>
        </w:tabs>
        <w:ind w:left="2160" w:hanging="360"/>
      </w:pPr>
      <w:rPr>
        <w:rFonts w:ascii="Arial" w:hAnsi="Arial" w:hint="default"/>
      </w:rPr>
    </w:lvl>
    <w:lvl w:ilvl="3" w:tplc="9418D11C" w:tentative="1">
      <w:start w:val="1"/>
      <w:numFmt w:val="bullet"/>
      <w:lvlText w:val="–"/>
      <w:lvlJc w:val="left"/>
      <w:pPr>
        <w:tabs>
          <w:tab w:val="num" w:pos="2880"/>
        </w:tabs>
        <w:ind w:left="2880" w:hanging="360"/>
      </w:pPr>
      <w:rPr>
        <w:rFonts w:ascii="Arial" w:hAnsi="Arial" w:hint="default"/>
      </w:rPr>
    </w:lvl>
    <w:lvl w:ilvl="4" w:tplc="A80A3B92" w:tentative="1">
      <w:start w:val="1"/>
      <w:numFmt w:val="bullet"/>
      <w:lvlText w:val="–"/>
      <w:lvlJc w:val="left"/>
      <w:pPr>
        <w:tabs>
          <w:tab w:val="num" w:pos="3600"/>
        </w:tabs>
        <w:ind w:left="3600" w:hanging="360"/>
      </w:pPr>
      <w:rPr>
        <w:rFonts w:ascii="Arial" w:hAnsi="Arial" w:hint="default"/>
      </w:rPr>
    </w:lvl>
    <w:lvl w:ilvl="5" w:tplc="A9A23E9C" w:tentative="1">
      <w:start w:val="1"/>
      <w:numFmt w:val="bullet"/>
      <w:lvlText w:val="–"/>
      <w:lvlJc w:val="left"/>
      <w:pPr>
        <w:tabs>
          <w:tab w:val="num" w:pos="4320"/>
        </w:tabs>
        <w:ind w:left="4320" w:hanging="360"/>
      </w:pPr>
      <w:rPr>
        <w:rFonts w:ascii="Arial" w:hAnsi="Arial" w:hint="default"/>
      </w:rPr>
    </w:lvl>
    <w:lvl w:ilvl="6" w:tplc="662CFB52" w:tentative="1">
      <w:start w:val="1"/>
      <w:numFmt w:val="bullet"/>
      <w:lvlText w:val="–"/>
      <w:lvlJc w:val="left"/>
      <w:pPr>
        <w:tabs>
          <w:tab w:val="num" w:pos="5040"/>
        </w:tabs>
        <w:ind w:left="5040" w:hanging="360"/>
      </w:pPr>
      <w:rPr>
        <w:rFonts w:ascii="Arial" w:hAnsi="Arial" w:hint="default"/>
      </w:rPr>
    </w:lvl>
    <w:lvl w:ilvl="7" w:tplc="26807718" w:tentative="1">
      <w:start w:val="1"/>
      <w:numFmt w:val="bullet"/>
      <w:lvlText w:val="–"/>
      <w:lvlJc w:val="left"/>
      <w:pPr>
        <w:tabs>
          <w:tab w:val="num" w:pos="5760"/>
        </w:tabs>
        <w:ind w:left="5760" w:hanging="360"/>
      </w:pPr>
      <w:rPr>
        <w:rFonts w:ascii="Arial" w:hAnsi="Arial" w:hint="default"/>
      </w:rPr>
    </w:lvl>
    <w:lvl w:ilvl="8" w:tplc="669842EE" w:tentative="1">
      <w:start w:val="1"/>
      <w:numFmt w:val="bullet"/>
      <w:lvlText w:val="–"/>
      <w:lvlJc w:val="left"/>
      <w:pPr>
        <w:tabs>
          <w:tab w:val="num" w:pos="6480"/>
        </w:tabs>
        <w:ind w:left="6480" w:hanging="360"/>
      </w:pPr>
      <w:rPr>
        <w:rFonts w:ascii="Arial" w:hAnsi="Arial" w:hint="default"/>
      </w:rPr>
    </w:lvl>
  </w:abstractNum>
  <w:abstractNum w:abstractNumId="21">
    <w:nsid w:val="62CF7D13"/>
    <w:multiLevelType w:val="hybridMultilevel"/>
    <w:tmpl w:val="1B445800"/>
    <w:lvl w:ilvl="0" w:tplc="8D3E097E">
      <w:start w:val="1"/>
      <w:numFmt w:val="bullet"/>
      <w:lvlText w:val="–"/>
      <w:lvlJc w:val="left"/>
      <w:pPr>
        <w:tabs>
          <w:tab w:val="num" w:pos="720"/>
        </w:tabs>
        <w:ind w:left="720" w:hanging="360"/>
      </w:pPr>
      <w:rPr>
        <w:rFonts w:ascii="Arial" w:hAnsi="Arial" w:hint="default"/>
      </w:rPr>
    </w:lvl>
    <w:lvl w:ilvl="1" w:tplc="84C8651C">
      <w:start w:val="1"/>
      <w:numFmt w:val="bullet"/>
      <w:lvlText w:val="–"/>
      <w:lvlJc w:val="left"/>
      <w:pPr>
        <w:tabs>
          <w:tab w:val="num" w:pos="1440"/>
        </w:tabs>
        <w:ind w:left="1440" w:hanging="360"/>
      </w:pPr>
      <w:rPr>
        <w:rFonts w:ascii="Arial" w:hAnsi="Arial" w:hint="default"/>
      </w:rPr>
    </w:lvl>
    <w:lvl w:ilvl="2" w:tplc="81B0CA2A" w:tentative="1">
      <w:start w:val="1"/>
      <w:numFmt w:val="bullet"/>
      <w:lvlText w:val="–"/>
      <w:lvlJc w:val="left"/>
      <w:pPr>
        <w:tabs>
          <w:tab w:val="num" w:pos="2160"/>
        </w:tabs>
        <w:ind w:left="2160" w:hanging="360"/>
      </w:pPr>
      <w:rPr>
        <w:rFonts w:ascii="Arial" w:hAnsi="Arial" w:hint="default"/>
      </w:rPr>
    </w:lvl>
    <w:lvl w:ilvl="3" w:tplc="37C86FDE" w:tentative="1">
      <w:start w:val="1"/>
      <w:numFmt w:val="bullet"/>
      <w:lvlText w:val="–"/>
      <w:lvlJc w:val="left"/>
      <w:pPr>
        <w:tabs>
          <w:tab w:val="num" w:pos="2880"/>
        </w:tabs>
        <w:ind w:left="2880" w:hanging="360"/>
      </w:pPr>
      <w:rPr>
        <w:rFonts w:ascii="Arial" w:hAnsi="Arial" w:hint="default"/>
      </w:rPr>
    </w:lvl>
    <w:lvl w:ilvl="4" w:tplc="1EB45F1E" w:tentative="1">
      <w:start w:val="1"/>
      <w:numFmt w:val="bullet"/>
      <w:lvlText w:val="–"/>
      <w:lvlJc w:val="left"/>
      <w:pPr>
        <w:tabs>
          <w:tab w:val="num" w:pos="3600"/>
        </w:tabs>
        <w:ind w:left="3600" w:hanging="360"/>
      </w:pPr>
      <w:rPr>
        <w:rFonts w:ascii="Arial" w:hAnsi="Arial" w:hint="default"/>
      </w:rPr>
    </w:lvl>
    <w:lvl w:ilvl="5" w:tplc="89F03E38" w:tentative="1">
      <w:start w:val="1"/>
      <w:numFmt w:val="bullet"/>
      <w:lvlText w:val="–"/>
      <w:lvlJc w:val="left"/>
      <w:pPr>
        <w:tabs>
          <w:tab w:val="num" w:pos="4320"/>
        </w:tabs>
        <w:ind w:left="4320" w:hanging="360"/>
      </w:pPr>
      <w:rPr>
        <w:rFonts w:ascii="Arial" w:hAnsi="Arial" w:hint="default"/>
      </w:rPr>
    </w:lvl>
    <w:lvl w:ilvl="6" w:tplc="36C22C92" w:tentative="1">
      <w:start w:val="1"/>
      <w:numFmt w:val="bullet"/>
      <w:lvlText w:val="–"/>
      <w:lvlJc w:val="left"/>
      <w:pPr>
        <w:tabs>
          <w:tab w:val="num" w:pos="5040"/>
        </w:tabs>
        <w:ind w:left="5040" w:hanging="360"/>
      </w:pPr>
      <w:rPr>
        <w:rFonts w:ascii="Arial" w:hAnsi="Arial" w:hint="default"/>
      </w:rPr>
    </w:lvl>
    <w:lvl w:ilvl="7" w:tplc="5D9A729C" w:tentative="1">
      <w:start w:val="1"/>
      <w:numFmt w:val="bullet"/>
      <w:lvlText w:val="–"/>
      <w:lvlJc w:val="left"/>
      <w:pPr>
        <w:tabs>
          <w:tab w:val="num" w:pos="5760"/>
        </w:tabs>
        <w:ind w:left="5760" w:hanging="360"/>
      </w:pPr>
      <w:rPr>
        <w:rFonts w:ascii="Arial" w:hAnsi="Arial" w:hint="default"/>
      </w:rPr>
    </w:lvl>
    <w:lvl w:ilvl="8" w:tplc="5736126E" w:tentative="1">
      <w:start w:val="1"/>
      <w:numFmt w:val="bullet"/>
      <w:lvlText w:val="–"/>
      <w:lvlJc w:val="left"/>
      <w:pPr>
        <w:tabs>
          <w:tab w:val="num" w:pos="6480"/>
        </w:tabs>
        <w:ind w:left="6480" w:hanging="360"/>
      </w:pPr>
      <w:rPr>
        <w:rFonts w:ascii="Arial" w:hAnsi="Arial" w:hint="default"/>
      </w:rPr>
    </w:lvl>
  </w:abstractNum>
  <w:abstractNum w:abstractNumId="22">
    <w:nsid w:val="799357DF"/>
    <w:multiLevelType w:val="multilevel"/>
    <w:tmpl w:val="BDAE5838"/>
    <w:lvl w:ilvl="0">
      <w:start w:val="3"/>
      <w:numFmt w:val="decimal"/>
      <w:lvlText w:val="%1."/>
      <w:lvlJc w:val="left"/>
      <w:pPr>
        <w:ind w:left="465" w:hanging="465"/>
      </w:pPr>
      <w:rPr>
        <w:rFonts w:hint="default"/>
      </w:rPr>
    </w:lvl>
    <w:lvl w:ilvl="1">
      <w:start w:val="2"/>
      <w:numFmt w:val="decimal"/>
      <w:lvlText w:val="%1.%2."/>
      <w:lvlJc w:val="left"/>
      <w:pPr>
        <w:ind w:left="2781" w:hanging="720"/>
      </w:pPr>
      <w:rPr>
        <w:rFonts w:hint="default"/>
      </w:rPr>
    </w:lvl>
    <w:lvl w:ilvl="2">
      <w:start w:val="1"/>
      <w:numFmt w:val="decimal"/>
      <w:lvlText w:val="%1.%2.%3."/>
      <w:lvlJc w:val="left"/>
      <w:pPr>
        <w:ind w:left="4842" w:hanging="720"/>
      </w:pPr>
      <w:rPr>
        <w:rFonts w:hint="default"/>
      </w:rPr>
    </w:lvl>
    <w:lvl w:ilvl="3">
      <w:start w:val="1"/>
      <w:numFmt w:val="decimal"/>
      <w:lvlText w:val="%1.%2.%3.%4."/>
      <w:lvlJc w:val="left"/>
      <w:pPr>
        <w:ind w:left="7263" w:hanging="1080"/>
      </w:pPr>
      <w:rPr>
        <w:rFonts w:hint="default"/>
      </w:rPr>
    </w:lvl>
    <w:lvl w:ilvl="4">
      <w:start w:val="1"/>
      <w:numFmt w:val="decimal"/>
      <w:lvlText w:val="%1.%2.%3.%4.%5."/>
      <w:lvlJc w:val="left"/>
      <w:pPr>
        <w:ind w:left="9324" w:hanging="1080"/>
      </w:pPr>
      <w:rPr>
        <w:rFonts w:hint="default"/>
      </w:rPr>
    </w:lvl>
    <w:lvl w:ilvl="5">
      <w:start w:val="1"/>
      <w:numFmt w:val="decimal"/>
      <w:lvlText w:val="%1.%2.%3.%4.%5.%6."/>
      <w:lvlJc w:val="left"/>
      <w:pPr>
        <w:ind w:left="11745" w:hanging="1440"/>
      </w:pPr>
      <w:rPr>
        <w:rFonts w:hint="default"/>
      </w:rPr>
    </w:lvl>
    <w:lvl w:ilvl="6">
      <w:start w:val="1"/>
      <w:numFmt w:val="decimal"/>
      <w:lvlText w:val="%1.%2.%3.%4.%5.%6.%7."/>
      <w:lvlJc w:val="left"/>
      <w:pPr>
        <w:ind w:left="13806" w:hanging="1440"/>
      </w:pPr>
      <w:rPr>
        <w:rFonts w:hint="default"/>
      </w:rPr>
    </w:lvl>
    <w:lvl w:ilvl="7">
      <w:start w:val="1"/>
      <w:numFmt w:val="decimal"/>
      <w:lvlText w:val="%1.%2.%3.%4.%5.%6.%7.%8."/>
      <w:lvlJc w:val="left"/>
      <w:pPr>
        <w:ind w:left="16227" w:hanging="1800"/>
      </w:pPr>
      <w:rPr>
        <w:rFonts w:hint="default"/>
      </w:rPr>
    </w:lvl>
    <w:lvl w:ilvl="8">
      <w:start w:val="1"/>
      <w:numFmt w:val="decimal"/>
      <w:lvlText w:val="%1.%2.%3.%4.%5.%6.%7.%8.%9."/>
      <w:lvlJc w:val="left"/>
      <w:pPr>
        <w:ind w:left="18648" w:hanging="2160"/>
      </w:pPr>
      <w:rPr>
        <w:rFonts w:hint="default"/>
      </w:rPr>
    </w:lvl>
  </w:abstractNum>
  <w:abstractNum w:abstractNumId="23">
    <w:nsid w:val="7B960331"/>
    <w:multiLevelType w:val="hybridMultilevel"/>
    <w:tmpl w:val="2CA2A254"/>
    <w:lvl w:ilvl="0" w:tplc="1C122CC2">
      <w:start w:val="1"/>
      <w:numFmt w:val="bullet"/>
      <w:lvlText w:val="•"/>
      <w:lvlJc w:val="left"/>
      <w:pPr>
        <w:tabs>
          <w:tab w:val="num" w:pos="720"/>
        </w:tabs>
        <w:ind w:left="720" w:hanging="360"/>
      </w:pPr>
      <w:rPr>
        <w:rFonts w:ascii="Arial" w:hAnsi="Arial" w:hint="default"/>
      </w:rPr>
    </w:lvl>
    <w:lvl w:ilvl="1" w:tplc="5E0686C6" w:tentative="1">
      <w:start w:val="1"/>
      <w:numFmt w:val="bullet"/>
      <w:lvlText w:val="•"/>
      <w:lvlJc w:val="left"/>
      <w:pPr>
        <w:tabs>
          <w:tab w:val="num" w:pos="1440"/>
        </w:tabs>
        <w:ind w:left="1440" w:hanging="360"/>
      </w:pPr>
      <w:rPr>
        <w:rFonts w:ascii="Arial" w:hAnsi="Arial" w:hint="default"/>
      </w:rPr>
    </w:lvl>
    <w:lvl w:ilvl="2" w:tplc="E6BC6C04" w:tentative="1">
      <w:start w:val="1"/>
      <w:numFmt w:val="bullet"/>
      <w:lvlText w:val="•"/>
      <w:lvlJc w:val="left"/>
      <w:pPr>
        <w:tabs>
          <w:tab w:val="num" w:pos="2160"/>
        </w:tabs>
        <w:ind w:left="2160" w:hanging="360"/>
      </w:pPr>
      <w:rPr>
        <w:rFonts w:ascii="Arial" w:hAnsi="Arial" w:hint="default"/>
      </w:rPr>
    </w:lvl>
    <w:lvl w:ilvl="3" w:tplc="60C849FC" w:tentative="1">
      <w:start w:val="1"/>
      <w:numFmt w:val="bullet"/>
      <w:lvlText w:val="•"/>
      <w:lvlJc w:val="left"/>
      <w:pPr>
        <w:tabs>
          <w:tab w:val="num" w:pos="2880"/>
        </w:tabs>
        <w:ind w:left="2880" w:hanging="360"/>
      </w:pPr>
      <w:rPr>
        <w:rFonts w:ascii="Arial" w:hAnsi="Arial" w:hint="default"/>
      </w:rPr>
    </w:lvl>
    <w:lvl w:ilvl="4" w:tplc="9D262CD6" w:tentative="1">
      <w:start w:val="1"/>
      <w:numFmt w:val="bullet"/>
      <w:lvlText w:val="•"/>
      <w:lvlJc w:val="left"/>
      <w:pPr>
        <w:tabs>
          <w:tab w:val="num" w:pos="3600"/>
        </w:tabs>
        <w:ind w:left="3600" w:hanging="360"/>
      </w:pPr>
      <w:rPr>
        <w:rFonts w:ascii="Arial" w:hAnsi="Arial" w:hint="default"/>
      </w:rPr>
    </w:lvl>
    <w:lvl w:ilvl="5" w:tplc="7BC473D8" w:tentative="1">
      <w:start w:val="1"/>
      <w:numFmt w:val="bullet"/>
      <w:lvlText w:val="•"/>
      <w:lvlJc w:val="left"/>
      <w:pPr>
        <w:tabs>
          <w:tab w:val="num" w:pos="4320"/>
        </w:tabs>
        <w:ind w:left="4320" w:hanging="360"/>
      </w:pPr>
      <w:rPr>
        <w:rFonts w:ascii="Arial" w:hAnsi="Arial" w:hint="default"/>
      </w:rPr>
    </w:lvl>
    <w:lvl w:ilvl="6" w:tplc="C49419D4" w:tentative="1">
      <w:start w:val="1"/>
      <w:numFmt w:val="bullet"/>
      <w:lvlText w:val="•"/>
      <w:lvlJc w:val="left"/>
      <w:pPr>
        <w:tabs>
          <w:tab w:val="num" w:pos="5040"/>
        </w:tabs>
        <w:ind w:left="5040" w:hanging="360"/>
      </w:pPr>
      <w:rPr>
        <w:rFonts w:ascii="Arial" w:hAnsi="Arial" w:hint="default"/>
      </w:rPr>
    </w:lvl>
    <w:lvl w:ilvl="7" w:tplc="5044CC28" w:tentative="1">
      <w:start w:val="1"/>
      <w:numFmt w:val="bullet"/>
      <w:lvlText w:val="•"/>
      <w:lvlJc w:val="left"/>
      <w:pPr>
        <w:tabs>
          <w:tab w:val="num" w:pos="5760"/>
        </w:tabs>
        <w:ind w:left="5760" w:hanging="360"/>
      </w:pPr>
      <w:rPr>
        <w:rFonts w:ascii="Arial" w:hAnsi="Arial" w:hint="default"/>
      </w:rPr>
    </w:lvl>
    <w:lvl w:ilvl="8" w:tplc="C72C6B5A" w:tentative="1">
      <w:start w:val="1"/>
      <w:numFmt w:val="bullet"/>
      <w:lvlText w:val="•"/>
      <w:lvlJc w:val="left"/>
      <w:pPr>
        <w:tabs>
          <w:tab w:val="num" w:pos="6480"/>
        </w:tabs>
        <w:ind w:left="6480" w:hanging="360"/>
      </w:pPr>
      <w:rPr>
        <w:rFonts w:ascii="Arial" w:hAnsi="Arial" w:hint="default"/>
      </w:rPr>
    </w:lvl>
  </w:abstractNum>
  <w:abstractNum w:abstractNumId="24">
    <w:nsid w:val="7F0778D0"/>
    <w:multiLevelType w:val="multilevel"/>
    <w:tmpl w:val="967EE336"/>
    <w:name w:val="CLAUDIO CORTES ARIAS22232222222222222"/>
    <w:lvl w:ilvl="0">
      <w:start w:val="1"/>
      <w:numFmt w:val="upperRoman"/>
      <w:lvlText w:val="%1.-   "/>
      <w:lvlJc w:val="left"/>
      <w:pPr>
        <w:tabs>
          <w:tab w:val="num" w:pos="567"/>
        </w:tabs>
        <w:ind w:left="567" w:hanging="567"/>
      </w:pPr>
      <w:rPr>
        <w:rFonts w:ascii="Arial" w:hAnsi="Arial" w:hint="default"/>
        <w:b/>
        <w:i w:val="0"/>
        <w:caps w:val="0"/>
        <w:strike w:val="0"/>
        <w:dstrike w:val="0"/>
        <w:outline w:val="0"/>
        <w:shadow w:val="0"/>
        <w:emboss w:val="0"/>
        <w:imprint w:val="0"/>
        <w:vanish w:val="0"/>
        <w:sz w:val="24"/>
        <w:szCs w:val="24"/>
        <w:vertAlign w:val="baseline"/>
      </w:rPr>
    </w:lvl>
    <w:lvl w:ilvl="1">
      <w:start w:val="1"/>
      <w:numFmt w:val="upperLetter"/>
      <w:lvlText w:val="%2.-"/>
      <w:lvlJc w:val="left"/>
      <w:pPr>
        <w:tabs>
          <w:tab w:val="num" w:pos="1134"/>
        </w:tabs>
        <w:ind w:left="1134" w:hanging="567"/>
      </w:pPr>
      <w:rPr>
        <w:rFonts w:ascii="Arial" w:hAnsi="Arial" w:hint="default"/>
        <w:b/>
        <w:i w:val="0"/>
        <w:caps w:val="0"/>
        <w:strike w:val="0"/>
        <w:dstrike w:val="0"/>
        <w:outline w:val="0"/>
        <w:shadow w:val="0"/>
        <w:emboss w:val="0"/>
        <w:imprint w:val="0"/>
        <w:vanish w:val="0"/>
        <w:sz w:val="24"/>
        <w:szCs w:val="24"/>
        <w:vertAlign w:val="baseline"/>
      </w:rPr>
    </w:lvl>
    <w:lvl w:ilvl="2">
      <w:start w:val="1"/>
      <w:numFmt w:val="decimal"/>
      <w:lvlText w:val="%3.-"/>
      <w:lvlJc w:val="left"/>
      <w:pPr>
        <w:tabs>
          <w:tab w:val="num" w:pos="1701"/>
        </w:tabs>
        <w:ind w:left="1701" w:hanging="567"/>
      </w:pPr>
      <w:rPr>
        <w:rFonts w:ascii="Arial" w:hAnsi="Arial" w:hint="default"/>
        <w:b/>
        <w:i w:val="0"/>
        <w:caps w:val="0"/>
        <w:strike w:val="0"/>
        <w:dstrike w:val="0"/>
        <w:outline w:val="0"/>
        <w:shadow w:val="0"/>
        <w:emboss w:val="0"/>
        <w:imprint w:val="0"/>
        <w:vanish w:val="0"/>
        <w:sz w:val="24"/>
        <w:szCs w:val="24"/>
        <w:vertAlign w:val="baseline"/>
      </w:rPr>
    </w:lvl>
    <w:lvl w:ilvl="3">
      <w:start w:val="1"/>
      <w:numFmt w:val="lowerLetter"/>
      <w:lvlText w:val="%4.-"/>
      <w:lvlJc w:val="left"/>
      <w:pPr>
        <w:tabs>
          <w:tab w:val="num" w:pos="2268"/>
        </w:tabs>
        <w:ind w:left="2268" w:hanging="567"/>
      </w:pPr>
      <w:rPr>
        <w:rFonts w:ascii="Arial" w:hAnsi="Arial" w:hint="default"/>
        <w:b/>
        <w:bCs/>
        <w:i w:val="0"/>
        <w:caps w:val="0"/>
        <w:strike w:val="0"/>
        <w:dstrike w:val="0"/>
        <w:outline w:val="0"/>
        <w:shadow w:val="0"/>
        <w:emboss w:val="0"/>
        <w:imprint w:val="0"/>
        <w:vanish w:val="0"/>
        <w:sz w:val="24"/>
        <w:szCs w:val="24"/>
        <w:vertAlign w:val="baseline"/>
      </w:rPr>
    </w:lvl>
    <w:lvl w:ilvl="4">
      <w:start w:val="1"/>
      <w:numFmt w:val="bullet"/>
      <w:suff w:val="space"/>
      <w:lvlText w:val=""/>
      <w:lvlJc w:val="left"/>
      <w:pPr>
        <w:ind w:left="1644" w:hanging="226"/>
      </w:pPr>
      <w:rPr>
        <w:rFonts w:ascii="Symbol" w:hAnsi="Symbol" w:hint="default"/>
        <w:b w:val="0"/>
        <w:i w:val="0"/>
        <w:color w:val="auto"/>
        <w:sz w:val="24"/>
      </w:rPr>
    </w:lvl>
    <w:lvl w:ilvl="5">
      <w:start w:val="1"/>
      <w:numFmt w:val="bullet"/>
      <w:lvlRestart w:val="0"/>
      <w:suff w:val="space"/>
      <w:lvlText w:val=""/>
      <w:lvlJc w:val="left"/>
      <w:pPr>
        <w:ind w:left="1928" w:hanging="227"/>
      </w:pPr>
      <w:rPr>
        <w:rFonts w:ascii="Symbol" w:hAnsi="Symbol" w:hint="default"/>
        <w:b w:val="0"/>
        <w:i w:val="0"/>
        <w:color w:val="auto"/>
        <w:sz w:val="24"/>
      </w:rPr>
    </w:lvl>
    <w:lvl w:ilvl="6">
      <w:start w:val="1"/>
      <w:numFmt w:val="decimal"/>
      <w:lvlRestart w:val="0"/>
      <w:lvlText w:val="%1.%2.%3.%4.%5.%6.%7."/>
      <w:lvlJc w:val="left"/>
      <w:pPr>
        <w:tabs>
          <w:tab w:val="num" w:pos="5688"/>
        </w:tabs>
        <w:ind w:left="5688" w:hanging="1441"/>
      </w:pPr>
      <w:rPr>
        <w:rFonts w:hint="default"/>
      </w:rPr>
    </w:lvl>
    <w:lvl w:ilvl="7">
      <w:start w:val="1"/>
      <w:numFmt w:val="decimal"/>
      <w:lvlRestart w:val="0"/>
      <w:lvlText w:val="%1.%2.%3.%4.%5.%6.%7.%8."/>
      <w:lvlJc w:val="left"/>
      <w:pPr>
        <w:tabs>
          <w:tab w:val="num" w:pos="6396"/>
        </w:tabs>
        <w:ind w:left="6396" w:hanging="1440"/>
      </w:pPr>
      <w:rPr>
        <w:rFonts w:hint="default"/>
      </w:rPr>
    </w:lvl>
    <w:lvl w:ilvl="8">
      <w:start w:val="1"/>
      <w:numFmt w:val="decimal"/>
      <w:lvlRestart w:val="0"/>
      <w:lvlText w:val="%1.%2.%3.%4.%5.%6.%7.%8.%9."/>
      <w:lvlJc w:val="left"/>
      <w:pPr>
        <w:tabs>
          <w:tab w:val="num" w:pos="7464"/>
        </w:tabs>
        <w:ind w:left="7464" w:hanging="1800"/>
      </w:pPr>
      <w:rPr>
        <w:rFonts w:hint="default"/>
      </w:rPr>
    </w:lvl>
  </w:abstractNum>
  <w:num w:numId="1">
    <w:abstractNumId w:val="24"/>
  </w:num>
  <w:num w:numId="2">
    <w:abstractNumId w:val="0"/>
  </w:num>
  <w:num w:numId="3">
    <w:abstractNumId w:val="6"/>
  </w:num>
  <w:num w:numId="4">
    <w:abstractNumId w:val="17"/>
  </w:num>
  <w:num w:numId="5">
    <w:abstractNumId w:val="9"/>
  </w:num>
  <w:num w:numId="6">
    <w:abstractNumId w:val="11"/>
  </w:num>
  <w:num w:numId="7">
    <w:abstractNumId w:val="13"/>
  </w:num>
  <w:num w:numId="8">
    <w:abstractNumId w:val="5"/>
  </w:num>
  <w:num w:numId="9">
    <w:abstractNumId w:val="18"/>
  </w:num>
  <w:num w:numId="10">
    <w:abstractNumId w:val="1"/>
  </w:num>
  <w:num w:numId="11">
    <w:abstractNumId w:val="12"/>
  </w:num>
  <w:num w:numId="12">
    <w:abstractNumId w:val="23"/>
  </w:num>
  <w:num w:numId="13">
    <w:abstractNumId w:val="21"/>
  </w:num>
  <w:num w:numId="14">
    <w:abstractNumId w:val="4"/>
  </w:num>
  <w:num w:numId="15">
    <w:abstractNumId w:val="20"/>
  </w:num>
  <w:num w:numId="16">
    <w:abstractNumId w:val="15"/>
  </w:num>
  <w:num w:numId="17">
    <w:abstractNumId w:val="19"/>
  </w:num>
  <w:num w:numId="18">
    <w:abstractNumId w:val="22"/>
  </w:num>
  <w:num w:numId="19">
    <w:abstractNumId w:val="16"/>
  </w:num>
  <w:num w:numId="20">
    <w:abstractNumId w:val="7"/>
  </w:num>
  <w:num w:numId="21">
    <w:abstractNumId w:val="3"/>
  </w:num>
  <w:num w:numId="22">
    <w:abstractNumId w:val="14"/>
  </w:num>
  <w:num w:numId="23">
    <w:abstractNumId w:val="2"/>
  </w:num>
  <w:num w:numId="24">
    <w:abstractNumId w:val="10"/>
  </w:num>
  <w:num w:numId="25">
    <w:abstractNumId w:val="8"/>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hdrShapeDefaults>
    <o:shapedefaults v:ext="edit" spidmax="7170"/>
    <o:shapelayout v:ext="edit">
      <o:idmap v:ext="edit" data="1"/>
    </o:shapelayout>
  </w:hdrShapeDefaults>
  <w:footnotePr>
    <w:footnote w:id="-1"/>
    <w:footnote w:id="0"/>
  </w:footnotePr>
  <w:endnotePr>
    <w:endnote w:id="-1"/>
    <w:endnote w:id="0"/>
  </w:endnotePr>
  <w:compat/>
  <w:rsids>
    <w:rsidRoot w:val="00E55CE0"/>
    <w:rsid w:val="00005894"/>
    <w:rsid w:val="00073087"/>
    <w:rsid w:val="000A68C5"/>
    <w:rsid w:val="000B14FB"/>
    <w:rsid w:val="000E33B6"/>
    <w:rsid w:val="0016162D"/>
    <w:rsid w:val="001E6521"/>
    <w:rsid w:val="002615EE"/>
    <w:rsid w:val="00290252"/>
    <w:rsid w:val="002A71D2"/>
    <w:rsid w:val="002E44E6"/>
    <w:rsid w:val="002F43F9"/>
    <w:rsid w:val="00374AEB"/>
    <w:rsid w:val="003D3D23"/>
    <w:rsid w:val="0043680E"/>
    <w:rsid w:val="004E6FB6"/>
    <w:rsid w:val="00503E82"/>
    <w:rsid w:val="00540570"/>
    <w:rsid w:val="005B73A8"/>
    <w:rsid w:val="006333C6"/>
    <w:rsid w:val="00643930"/>
    <w:rsid w:val="006D433B"/>
    <w:rsid w:val="006F2613"/>
    <w:rsid w:val="007666AD"/>
    <w:rsid w:val="00782C19"/>
    <w:rsid w:val="00795ACA"/>
    <w:rsid w:val="00892DFA"/>
    <w:rsid w:val="009319DE"/>
    <w:rsid w:val="009D4648"/>
    <w:rsid w:val="00A274F5"/>
    <w:rsid w:val="00A279ED"/>
    <w:rsid w:val="00A8470C"/>
    <w:rsid w:val="00B24A97"/>
    <w:rsid w:val="00B45471"/>
    <w:rsid w:val="00B45D41"/>
    <w:rsid w:val="00B714CC"/>
    <w:rsid w:val="00C750E0"/>
    <w:rsid w:val="00DA7CFA"/>
    <w:rsid w:val="00E55CE0"/>
    <w:rsid w:val="00F607D3"/>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4AEB"/>
  </w:style>
  <w:style w:type="paragraph" w:styleId="Ttulo1">
    <w:name w:val="heading 1"/>
    <w:basedOn w:val="Normal"/>
    <w:next w:val="Normal"/>
    <w:link w:val="Ttulo1Car"/>
    <w:uiPriority w:val="9"/>
    <w:qFormat/>
    <w:rsid w:val="00A279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9D464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ar"/>
    <w:uiPriority w:val="9"/>
    <w:qFormat/>
    <w:rsid w:val="00C750E0"/>
    <w:pPr>
      <w:spacing w:before="100" w:beforeAutospacing="1" w:after="100" w:afterAutospacing="1" w:line="240" w:lineRule="auto"/>
      <w:outlineLvl w:val="2"/>
    </w:pPr>
    <w:rPr>
      <w:rFonts w:ascii="Times New Roman" w:eastAsia="Times New Roman" w:hAnsi="Times New Roman" w:cs="Times New Roman"/>
      <w:b/>
      <w:bCs/>
      <w:sz w:val="27"/>
      <w:szCs w:val="27"/>
      <w:lang w:eastAsia="es-CL"/>
    </w:rPr>
  </w:style>
  <w:style w:type="paragraph" w:styleId="Ttulo4">
    <w:name w:val="heading 4"/>
    <w:basedOn w:val="Normal"/>
    <w:next w:val="Normal"/>
    <w:link w:val="Ttulo4Car"/>
    <w:uiPriority w:val="9"/>
    <w:semiHidden/>
    <w:unhideWhenUsed/>
    <w:qFormat/>
    <w:rsid w:val="004E6FB6"/>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4E6FB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55CE0"/>
    <w:pPr>
      <w:tabs>
        <w:tab w:val="center" w:pos="4419"/>
        <w:tab w:val="right" w:pos="8838"/>
      </w:tabs>
      <w:spacing w:after="0" w:line="240" w:lineRule="auto"/>
    </w:pPr>
  </w:style>
  <w:style w:type="character" w:customStyle="1" w:styleId="EncabezadoCar">
    <w:name w:val="Encabezado Car"/>
    <w:basedOn w:val="Fuentedeprrafopredeter"/>
    <w:link w:val="Encabezado"/>
    <w:semiHidden/>
    <w:rsid w:val="00E55CE0"/>
  </w:style>
  <w:style w:type="paragraph" w:styleId="Piedepgina">
    <w:name w:val="footer"/>
    <w:basedOn w:val="Normal"/>
    <w:link w:val="PiedepginaCar"/>
    <w:uiPriority w:val="99"/>
    <w:unhideWhenUsed/>
    <w:rsid w:val="00E55CE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5CE0"/>
  </w:style>
  <w:style w:type="paragraph" w:styleId="NormalWeb">
    <w:name w:val="Normal (Web)"/>
    <w:basedOn w:val="Normal"/>
    <w:uiPriority w:val="99"/>
    <w:unhideWhenUsed/>
    <w:rsid w:val="00073087"/>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styleId="Hipervnculo">
    <w:name w:val="Hyperlink"/>
    <w:basedOn w:val="Fuentedeprrafopredeter"/>
    <w:uiPriority w:val="99"/>
    <w:semiHidden/>
    <w:unhideWhenUsed/>
    <w:rsid w:val="00073087"/>
    <w:rPr>
      <w:color w:val="0000FF"/>
      <w:u w:val="single"/>
    </w:rPr>
  </w:style>
  <w:style w:type="character" w:styleId="Textoennegrita">
    <w:name w:val="Strong"/>
    <w:basedOn w:val="Fuentedeprrafopredeter"/>
    <w:uiPriority w:val="22"/>
    <w:qFormat/>
    <w:rsid w:val="00073087"/>
    <w:rPr>
      <w:b/>
      <w:bCs/>
    </w:rPr>
  </w:style>
  <w:style w:type="paragraph" w:styleId="Textodeglobo">
    <w:name w:val="Balloon Text"/>
    <w:basedOn w:val="Normal"/>
    <w:link w:val="TextodegloboCar"/>
    <w:uiPriority w:val="99"/>
    <w:semiHidden/>
    <w:unhideWhenUsed/>
    <w:rsid w:val="0007308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73087"/>
    <w:rPr>
      <w:rFonts w:ascii="Tahoma" w:hAnsi="Tahoma" w:cs="Tahoma"/>
      <w:sz w:val="16"/>
      <w:szCs w:val="16"/>
    </w:rPr>
  </w:style>
  <w:style w:type="character" w:customStyle="1" w:styleId="Ttulo3Car">
    <w:name w:val="Título 3 Car"/>
    <w:basedOn w:val="Fuentedeprrafopredeter"/>
    <w:link w:val="Ttulo3"/>
    <w:uiPriority w:val="9"/>
    <w:rsid w:val="00C750E0"/>
    <w:rPr>
      <w:rFonts w:ascii="Times New Roman" w:eastAsia="Times New Roman" w:hAnsi="Times New Roman" w:cs="Times New Roman"/>
      <w:b/>
      <w:bCs/>
      <w:sz w:val="27"/>
      <w:szCs w:val="27"/>
      <w:lang w:eastAsia="es-CL"/>
    </w:rPr>
  </w:style>
  <w:style w:type="paragraph" w:styleId="Prrafodelista">
    <w:name w:val="List Paragraph"/>
    <w:basedOn w:val="Normal"/>
    <w:uiPriority w:val="34"/>
    <w:qFormat/>
    <w:rsid w:val="00A274F5"/>
    <w:pPr>
      <w:ind w:left="720"/>
      <w:contextualSpacing/>
    </w:pPr>
  </w:style>
  <w:style w:type="character" w:customStyle="1" w:styleId="Ttulo2Car">
    <w:name w:val="Título 2 Car"/>
    <w:basedOn w:val="Fuentedeprrafopredeter"/>
    <w:link w:val="Ttulo2"/>
    <w:uiPriority w:val="9"/>
    <w:semiHidden/>
    <w:rsid w:val="009D4648"/>
    <w:rPr>
      <w:rFonts w:asciiTheme="majorHAnsi" w:eastAsiaTheme="majorEastAsia" w:hAnsiTheme="majorHAnsi" w:cstheme="majorBidi"/>
      <w:b/>
      <w:bCs/>
      <w:color w:val="4F81BD" w:themeColor="accent1"/>
      <w:sz w:val="26"/>
      <w:szCs w:val="26"/>
    </w:rPr>
  </w:style>
  <w:style w:type="paragraph" w:customStyle="1" w:styleId="h3">
    <w:name w:val="h3"/>
    <w:basedOn w:val="Normal"/>
    <w:rsid w:val="009D4648"/>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styleId="nfasis">
    <w:name w:val="Emphasis"/>
    <w:basedOn w:val="Fuentedeprrafopredeter"/>
    <w:uiPriority w:val="20"/>
    <w:qFormat/>
    <w:rsid w:val="0016162D"/>
    <w:rPr>
      <w:i/>
      <w:iCs/>
    </w:rPr>
  </w:style>
  <w:style w:type="character" w:customStyle="1" w:styleId="Ttulo1Car">
    <w:name w:val="Título 1 Car"/>
    <w:basedOn w:val="Fuentedeprrafopredeter"/>
    <w:link w:val="Ttulo1"/>
    <w:uiPriority w:val="9"/>
    <w:rsid w:val="00A279ED"/>
    <w:rPr>
      <w:rFonts w:asciiTheme="majorHAnsi" w:eastAsiaTheme="majorEastAsia" w:hAnsiTheme="majorHAnsi" w:cstheme="majorBidi"/>
      <w:b/>
      <w:bCs/>
      <w:color w:val="365F91" w:themeColor="accent1" w:themeShade="BF"/>
      <w:sz w:val="28"/>
      <w:szCs w:val="28"/>
    </w:rPr>
  </w:style>
  <w:style w:type="character" w:styleId="AcrnimoHTML">
    <w:name w:val="HTML Acronym"/>
    <w:basedOn w:val="Fuentedeprrafopredeter"/>
    <w:uiPriority w:val="99"/>
    <w:semiHidden/>
    <w:unhideWhenUsed/>
    <w:rsid w:val="00A279ED"/>
  </w:style>
  <w:style w:type="character" w:customStyle="1" w:styleId="Ttulo4Car">
    <w:name w:val="Título 4 Car"/>
    <w:basedOn w:val="Fuentedeprrafopredeter"/>
    <w:link w:val="Ttulo4"/>
    <w:uiPriority w:val="9"/>
    <w:semiHidden/>
    <w:rsid w:val="004E6FB6"/>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4E6FB6"/>
    <w:rPr>
      <w:rFonts w:asciiTheme="majorHAnsi" w:eastAsiaTheme="majorEastAsia" w:hAnsiTheme="majorHAnsi" w:cstheme="majorBidi"/>
      <w:color w:val="243F60" w:themeColor="accent1" w:themeShade="7F"/>
    </w:rPr>
  </w:style>
</w:styles>
</file>

<file path=word/webSettings.xml><?xml version="1.0" encoding="utf-8"?>
<w:webSettings xmlns:r="http://schemas.openxmlformats.org/officeDocument/2006/relationships" xmlns:w="http://schemas.openxmlformats.org/wordprocessingml/2006/main">
  <w:divs>
    <w:div w:id="92896205">
      <w:bodyDiv w:val="1"/>
      <w:marLeft w:val="0"/>
      <w:marRight w:val="0"/>
      <w:marTop w:val="0"/>
      <w:marBottom w:val="0"/>
      <w:divBdr>
        <w:top w:val="none" w:sz="0" w:space="0" w:color="auto"/>
        <w:left w:val="none" w:sz="0" w:space="0" w:color="auto"/>
        <w:bottom w:val="none" w:sz="0" w:space="0" w:color="auto"/>
        <w:right w:val="none" w:sz="0" w:space="0" w:color="auto"/>
      </w:divBdr>
    </w:div>
    <w:div w:id="370962179">
      <w:bodyDiv w:val="1"/>
      <w:marLeft w:val="0"/>
      <w:marRight w:val="0"/>
      <w:marTop w:val="0"/>
      <w:marBottom w:val="0"/>
      <w:divBdr>
        <w:top w:val="none" w:sz="0" w:space="0" w:color="auto"/>
        <w:left w:val="none" w:sz="0" w:space="0" w:color="auto"/>
        <w:bottom w:val="none" w:sz="0" w:space="0" w:color="auto"/>
        <w:right w:val="none" w:sz="0" w:space="0" w:color="auto"/>
      </w:divBdr>
      <w:divsChild>
        <w:div w:id="55402807">
          <w:marLeft w:val="547"/>
          <w:marRight w:val="0"/>
          <w:marTop w:val="72"/>
          <w:marBottom w:val="0"/>
          <w:divBdr>
            <w:top w:val="none" w:sz="0" w:space="0" w:color="auto"/>
            <w:left w:val="none" w:sz="0" w:space="0" w:color="auto"/>
            <w:bottom w:val="none" w:sz="0" w:space="0" w:color="auto"/>
            <w:right w:val="none" w:sz="0" w:space="0" w:color="auto"/>
          </w:divBdr>
        </w:div>
        <w:div w:id="440147953">
          <w:marLeft w:val="547"/>
          <w:marRight w:val="0"/>
          <w:marTop w:val="72"/>
          <w:marBottom w:val="0"/>
          <w:divBdr>
            <w:top w:val="none" w:sz="0" w:space="0" w:color="auto"/>
            <w:left w:val="none" w:sz="0" w:space="0" w:color="auto"/>
            <w:bottom w:val="none" w:sz="0" w:space="0" w:color="auto"/>
            <w:right w:val="none" w:sz="0" w:space="0" w:color="auto"/>
          </w:divBdr>
        </w:div>
        <w:div w:id="2116516936">
          <w:marLeft w:val="547"/>
          <w:marRight w:val="0"/>
          <w:marTop w:val="72"/>
          <w:marBottom w:val="0"/>
          <w:divBdr>
            <w:top w:val="none" w:sz="0" w:space="0" w:color="auto"/>
            <w:left w:val="none" w:sz="0" w:space="0" w:color="auto"/>
            <w:bottom w:val="none" w:sz="0" w:space="0" w:color="auto"/>
            <w:right w:val="none" w:sz="0" w:space="0" w:color="auto"/>
          </w:divBdr>
        </w:div>
        <w:div w:id="1857039542">
          <w:marLeft w:val="547"/>
          <w:marRight w:val="0"/>
          <w:marTop w:val="72"/>
          <w:marBottom w:val="0"/>
          <w:divBdr>
            <w:top w:val="none" w:sz="0" w:space="0" w:color="auto"/>
            <w:left w:val="none" w:sz="0" w:space="0" w:color="auto"/>
            <w:bottom w:val="none" w:sz="0" w:space="0" w:color="auto"/>
            <w:right w:val="none" w:sz="0" w:space="0" w:color="auto"/>
          </w:divBdr>
        </w:div>
        <w:div w:id="592275206">
          <w:marLeft w:val="1166"/>
          <w:marRight w:val="0"/>
          <w:marTop w:val="62"/>
          <w:marBottom w:val="0"/>
          <w:divBdr>
            <w:top w:val="none" w:sz="0" w:space="0" w:color="auto"/>
            <w:left w:val="none" w:sz="0" w:space="0" w:color="auto"/>
            <w:bottom w:val="none" w:sz="0" w:space="0" w:color="auto"/>
            <w:right w:val="none" w:sz="0" w:space="0" w:color="auto"/>
          </w:divBdr>
        </w:div>
        <w:div w:id="2057270057">
          <w:marLeft w:val="1166"/>
          <w:marRight w:val="0"/>
          <w:marTop w:val="62"/>
          <w:marBottom w:val="0"/>
          <w:divBdr>
            <w:top w:val="none" w:sz="0" w:space="0" w:color="auto"/>
            <w:left w:val="none" w:sz="0" w:space="0" w:color="auto"/>
            <w:bottom w:val="none" w:sz="0" w:space="0" w:color="auto"/>
            <w:right w:val="none" w:sz="0" w:space="0" w:color="auto"/>
          </w:divBdr>
        </w:div>
        <w:div w:id="2109545291">
          <w:marLeft w:val="1166"/>
          <w:marRight w:val="0"/>
          <w:marTop w:val="62"/>
          <w:marBottom w:val="0"/>
          <w:divBdr>
            <w:top w:val="none" w:sz="0" w:space="0" w:color="auto"/>
            <w:left w:val="none" w:sz="0" w:space="0" w:color="auto"/>
            <w:bottom w:val="none" w:sz="0" w:space="0" w:color="auto"/>
            <w:right w:val="none" w:sz="0" w:space="0" w:color="auto"/>
          </w:divBdr>
        </w:div>
        <w:div w:id="466626325">
          <w:marLeft w:val="1166"/>
          <w:marRight w:val="0"/>
          <w:marTop w:val="62"/>
          <w:marBottom w:val="0"/>
          <w:divBdr>
            <w:top w:val="none" w:sz="0" w:space="0" w:color="auto"/>
            <w:left w:val="none" w:sz="0" w:space="0" w:color="auto"/>
            <w:bottom w:val="none" w:sz="0" w:space="0" w:color="auto"/>
            <w:right w:val="none" w:sz="0" w:space="0" w:color="auto"/>
          </w:divBdr>
        </w:div>
        <w:div w:id="195967768">
          <w:marLeft w:val="1166"/>
          <w:marRight w:val="0"/>
          <w:marTop w:val="62"/>
          <w:marBottom w:val="0"/>
          <w:divBdr>
            <w:top w:val="none" w:sz="0" w:space="0" w:color="auto"/>
            <w:left w:val="none" w:sz="0" w:space="0" w:color="auto"/>
            <w:bottom w:val="none" w:sz="0" w:space="0" w:color="auto"/>
            <w:right w:val="none" w:sz="0" w:space="0" w:color="auto"/>
          </w:divBdr>
        </w:div>
      </w:divsChild>
    </w:div>
    <w:div w:id="396244562">
      <w:bodyDiv w:val="1"/>
      <w:marLeft w:val="0"/>
      <w:marRight w:val="0"/>
      <w:marTop w:val="0"/>
      <w:marBottom w:val="0"/>
      <w:divBdr>
        <w:top w:val="none" w:sz="0" w:space="0" w:color="auto"/>
        <w:left w:val="none" w:sz="0" w:space="0" w:color="auto"/>
        <w:bottom w:val="none" w:sz="0" w:space="0" w:color="auto"/>
        <w:right w:val="none" w:sz="0" w:space="0" w:color="auto"/>
      </w:divBdr>
    </w:div>
    <w:div w:id="649291619">
      <w:bodyDiv w:val="1"/>
      <w:marLeft w:val="0"/>
      <w:marRight w:val="0"/>
      <w:marTop w:val="0"/>
      <w:marBottom w:val="0"/>
      <w:divBdr>
        <w:top w:val="none" w:sz="0" w:space="0" w:color="auto"/>
        <w:left w:val="none" w:sz="0" w:space="0" w:color="auto"/>
        <w:bottom w:val="none" w:sz="0" w:space="0" w:color="auto"/>
        <w:right w:val="none" w:sz="0" w:space="0" w:color="auto"/>
      </w:divBdr>
    </w:div>
    <w:div w:id="697120828">
      <w:bodyDiv w:val="1"/>
      <w:marLeft w:val="0"/>
      <w:marRight w:val="0"/>
      <w:marTop w:val="0"/>
      <w:marBottom w:val="0"/>
      <w:divBdr>
        <w:top w:val="none" w:sz="0" w:space="0" w:color="auto"/>
        <w:left w:val="none" w:sz="0" w:space="0" w:color="auto"/>
        <w:bottom w:val="none" w:sz="0" w:space="0" w:color="auto"/>
        <w:right w:val="none" w:sz="0" w:space="0" w:color="auto"/>
      </w:divBdr>
      <w:divsChild>
        <w:div w:id="640354017">
          <w:marLeft w:val="547"/>
          <w:marRight w:val="0"/>
          <w:marTop w:val="106"/>
          <w:marBottom w:val="0"/>
          <w:divBdr>
            <w:top w:val="none" w:sz="0" w:space="0" w:color="auto"/>
            <w:left w:val="none" w:sz="0" w:space="0" w:color="auto"/>
            <w:bottom w:val="none" w:sz="0" w:space="0" w:color="auto"/>
            <w:right w:val="none" w:sz="0" w:space="0" w:color="auto"/>
          </w:divBdr>
        </w:div>
        <w:div w:id="2039427520">
          <w:marLeft w:val="547"/>
          <w:marRight w:val="0"/>
          <w:marTop w:val="106"/>
          <w:marBottom w:val="0"/>
          <w:divBdr>
            <w:top w:val="none" w:sz="0" w:space="0" w:color="auto"/>
            <w:left w:val="none" w:sz="0" w:space="0" w:color="auto"/>
            <w:bottom w:val="none" w:sz="0" w:space="0" w:color="auto"/>
            <w:right w:val="none" w:sz="0" w:space="0" w:color="auto"/>
          </w:divBdr>
        </w:div>
        <w:div w:id="914432139">
          <w:marLeft w:val="547"/>
          <w:marRight w:val="0"/>
          <w:marTop w:val="106"/>
          <w:marBottom w:val="0"/>
          <w:divBdr>
            <w:top w:val="none" w:sz="0" w:space="0" w:color="auto"/>
            <w:left w:val="none" w:sz="0" w:space="0" w:color="auto"/>
            <w:bottom w:val="none" w:sz="0" w:space="0" w:color="auto"/>
            <w:right w:val="none" w:sz="0" w:space="0" w:color="auto"/>
          </w:divBdr>
        </w:div>
        <w:div w:id="265429335">
          <w:marLeft w:val="547"/>
          <w:marRight w:val="0"/>
          <w:marTop w:val="106"/>
          <w:marBottom w:val="0"/>
          <w:divBdr>
            <w:top w:val="none" w:sz="0" w:space="0" w:color="auto"/>
            <w:left w:val="none" w:sz="0" w:space="0" w:color="auto"/>
            <w:bottom w:val="none" w:sz="0" w:space="0" w:color="auto"/>
            <w:right w:val="none" w:sz="0" w:space="0" w:color="auto"/>
          </w:divBdr>
        </w:div>
        <w:div w:id="615136478">
          <w:marLeft w:val="547"/>
          <w:marRight w:val="0"/>
          <w:marTop w:val="106"/>
          <w:marBottom w:val="0"/>
          <w:divBdr>
            <w:top w:val="none" w:sz="0" w:space="0" w:color="auto"/>
            <w:left w:val="none" w:sz="0" w:space="0" w:color="auto"/>
            <w:bottom w:val="none" w:sz="0" w:space="0" w:color="auto"/>
            <w:right w:val="none" w:sz="0" w:space="0" w:color="auto"/>
          </w:divBdr>
        </w:div>
      </w:divsChild>
    </w:div>
    <w:div w:id="709233493">
      <w:bodyDiv w:val="1"/>
      <w:marLeft w:val="0"/>
      <w:marRight w:val="0"/>
      <w:marTop w:val="0"/>
      <w:marBottom w:val="0"/>
      <w:divBdr>
        <w:top w:val="none" w:sz="0" w:space="0" w:color="auto"/>
        <w:left w:val="none" w:sz="0" w:space="0" w:color="auto"/>
        <w:bottom w:val="none" w:sz="0" w:space="0" w:color="auto"/>
        <w:right w:val="none" w:sz="0" w:space="0" w:color="auto"/>
      </w:divBdr>
    </w:div>
    <w:div w:id="729692678">
      <w:bodyDiv w:val="1"/>
      <w:marLeft w:val="0"/>
      <w:marRight w:val="0"/>
      <w:marTop w:val="0"/>
      <w:marBottom w:val="0"/>
      <w:divBdr>
        <w:top w:val="none" w:sz="0" w:space="0" w:color="auto"/>
        <w:left w:val="none" w:sz="0" w:space="0" w:color="auto"/>
        <w:bottom w:val="none" w:sz="0" w:space="0" w:color="auto"/>
        <w:right w:val="none" w:sz="0" w:space="0" w:color="auto"/>
      </w:divBdr>
      <w:divsChild>
        <w:div w:id="479348256">
          <w:marLeft w:val="0"/>
          <w:marRight w:val="0"/>
          <w:marTop w:val="0"/>
          <w:marBottom w:val="0"/>
          <w:divBdr>
            <w:top w:val="none" w:sz="0" w:space="0" w:color="auto"/>
            <w:left w:val="none" w:sz="0" w:space="0" w:color="auto"/>
            <w:bottom w:val="none" w:sz="0" w:space="0" w:color="auto"/>
            <w:right w:val="none" w:sz="0" w:space="0" w:color="auto"/>
          </w:divBdr>
        </w:div>
        <w:div w:id="238103893">
          <w:marLeft w:val="0"/>
          <w:marRight w:val="0"/>
          <w:marTop w:val="0"/>
          <w:marBottom w:val="0"/>
          <w:divBdr>
            <w:top w:val="none" w:sz="0" w:space="0" w:color="auto"/>
            <w:left w:val="none" w:sz="0" w:space="0" w:color="auto"/>
            <w:bottom w:val="none" w:sz="0" w:space="0" w:color="auto"/>
            <w:right w:val="none" w:sz="0" w:space="0" w:color="auto"/>
          </w:divBdr>
          <w:divsChild>
            <w:div w:id="1443497674">
              <w:marLeft w:val="-204"/>
              <w:marRight w:val="-204"/>
              <w:marTop w:val="0"/>
              <w:marBottom w:val="0"/>
              <w:divBdr>
                <w:top w:val="none" w:sz="0" w:space="0" w:color="auto"/>
                <w:left w:val="none" w:sz="0" w:space="0" w:color="auto"/>
                <w:bottom w:val="none" w:sz="0" w:space="0" w:color="auto"/>
                <w:right w:val="none" w:sz="0" w:space="0" w:color="auto"/>
              </w:divBdr>
              <w:divsChild>
                <w:div w:id="1078134166">
                  <w:marLeft w:val="0"/>
                  <w:marRight w:val="0"/>
                  <w:marTop w:val="0"/>
                  <w:marBottom w:val="0"/>
                  <w:divBdr>
                    <w:top w:val="none" w:sz="0" w:space="0" w:color="auto"/>
                    <w:left w:val="none" w:sz="0" w:space="0" w:color="auto"/>
                    <w:bottom w:val="none" w:sz="0" w:space="0" w:color="auto"/>
                    <w:right w:val="none" w:sz="0" w:space="0" w:color="auto"/>
                  </w:divBdr>
                  <w:divsChild>
                    <w:div w:id="129447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85003">
      <w:bodyDiv w:val="1"/>
      <w:marLeft w:val="0"/>
      <w:marRight w:val="0"/>
      <w:marTop w:val="0"/>
      <w:marBottom w:val="0"/>
      <w:divBdr>
        <w:top w:val="none" w:sz="0" w:space="0" w:color="auto"/>
        <w:left w:val="none" w:sz="0" w:space="0" w:color="auto"/>
        <w:bottom w:val="none" w:sz="0" w:space="0" w:color="auto"/>
        <w:right w:val="none" w:sz="0" w:space="0" w:color="auto"/>
      </w:divBdr>
    </w:div>
    <w:div w:id="800340206">
      <w:bodyDiv w:val="1"/>
      <w:marLeft w:val="0"/>
      <w:marRight w:val="0"/>
      <w:marTop w:val="0"/>
      <w:marBottom w:val="0"/>
      <w:divBdr>
        <w:top w:val="none" w:sz="0" w:space="0" w:color="auto"/>
        <w:left w:val="none" w:sz="0" w:space="0" w:color="auto"/>
        <w:bottom w:val="none" w:sz="0" w:space="0" w:color="auto"/>
        <w:right w:val="none" w:sz="0" w:space="0" w:color="auto"/>
      </w:divBdr>
      <w:divsChild>
        <w:div w:id="408306803">
          <w:marLeft w:val="0"/>
          <w:marRight w:val="0"/>
          <w:marTop w:val="0"/>
          <w:marBottom w:val="0"/>
          <w:divBdr>
            <w:top w:val="none" w:sz="0" w:space="0" w:color="auto"/>
            <w:left w:val="none" w:sz="0" w:space="0" w:color="auto"/>
            <w:bottom w:val="none" w:sz="0" w:space="0" w:color="auto"/>
            <w:right w:val="none" w:sz="0" w:space="0" w:color="auto"/>
          </w:divBdr>
        </w:div>
        <w:div w:id="1202089482">
          <w:marLeft w:val="0"/>
          <w:marRight w:val="0"/>
          <w:marTop w:val="68"/>
          <w:marBottom w:val="136"/>
          <w:divBdr>
            <w:top w:val="none" w:sz="0" w:space="0" w:color="auto"/>
            <w:left w:val="none" w:sz="0" w:space="0" w:color="auto"/>
            <w:bottom w:val="none" w:sz="0" w:space="0" w:color="auto"/>
            <w:right w:val="none" w:sz="0" w:space="0" w:color="auto"/>
          </w:divBdr>
        </w:div>
      </w:divsChild>
    </w:div>
    <w:div w:id="986592938">
      <w:bodyDiv w:val="1"/>
      <w:marLeft w:val="0"/>
      <w:marRight w:val="0"/>
      <w:marTop w:val="0"/>
      <w:marBottom w:val="0"/>
      <w:divBdr>
        <w:top w:val="none" w:sz="0" w:space="0" w:color="auto"/>
        <w:left w:val="none" w:sz="0" w:space="0" w:color="auto"/>
        <w:bottom w:val="none" w:sz="0" w:space="0" w:color="auto"/>
        <w:right w:val="none" w:sz="0" w:space="0" w:color="auto"/>
      </w:divBdr>
    </w:div>
    <w:div w:id="1003707930">
      <w:bodyDiv w:val="1"/>
      <w:marLeft w:val="0"/>
      <w:marRight w:val="0"/>
      <w:marTop w:val="0"/>
      <w:marBottom w:val="0"/>
      <w:divBdr>
        <w:top w:val="none" w:sz="0" w:space="0" w:color="auto"/>
        <w:left w:val="none" w:sz="0" w:space="0" w:color="auto"/>
        <w:bottom w:val="none" w:sz="0" w:space="0" w:color="auto"/>
        <w:right w:val="none" w:sz="0" w:space="0" w:color="auto"/>
      </w:divBdr>
    </w:div>
    <w:div w:id="1007946291">
      <w:bodyDiv w:val="1"/>
      <w:marLeft w:val="0"/>
      <w:marRight w:val="0"/>
      <w:marTop w:val="0"/>
      <w:marBottom w:val="0"/>
      <w:divBdr>
        <w:top w:val="none" w:sz="0" w:space="0" w:color="auto"/>
        <w:left w:val="none" w:sz="0" w:space="0" w:color="auto"/>
        <w:bottom w:val="none" w:sz="0" w:space="0" w:color="auto"/>
        <w:right w:val="none" w:sz="0" w:space="0" w:color="auto"/>
      </w:divBdr>
    </w:div>
    <w:div w:id="1033194655">
      <w:bodyDiv w:val="1"/>
      <w:marLeft w:val="0"/>
      <w:marRight w:val="0"/>
      <w:marTop w:val="0"/>
      <w:marBottom w:val="0"/>
      <w:divBdr>
        <w:top w:val="none" w:sz="0" w:space="0" w:color="auto"/>
        <w:left w:val="none" w:sz="0" w:space="0" w:color="auto"/>
        <w:bottom w:val="none" w:sz="0" w:space="0" w:color="auto"/>
        <w:right w:val="none" w:sz="0" w:space="0" w:color="auto"/>
      </w:divBdr>
    </w:div>
    <w:div w:id="1101026853">
      <w:bodyDiv w:val="1"/>
      <w:marLeft w:val="0"/>
      <w:marRight w:val="0"/>
      <w:marTop w:val="0"/>
      <w:marBottom w:val="0"/>
      <w:divBdr>
        <w:top w:val="none" w:sz="0" w:space="0" w:color="auto"/>
        <w:left w:val="none" w:sz="0" w:space="0" w:color="auto"/>
        <w:bottom w:val="none" w:sz="0" w:space="0" w:color="auto"/>
        <w:right w:val="none" w:sz="0" w:space="0" w:color="auto"/>
      </w:divBdr>
    </w:div>
    <w:div w:id="1163011589">
      <w:bodyDiv w:val="1"/>
      <w:marLeft w:val="0"/>
      <w:marRight w:val="0"/>
      <w:marTop w:val="0"/>
      <w:marBottom w:val="0"/>
      <w:divBdr>
        <w:top w:val="none" w:sz="0" w:space="0" w:color="auto"/>
        <w:left w:val="none" w:sz="0" w:space="0" w:color="auto"/>
        <w:bottom w:val="none" w:sz="0" w:space="0" w:color="auto"/>
        <w:right w:val="none" w:sz="0" w:space="0" w:color="auto"/>
      </w:divBdr>
    </w:div>
    <w:div w:id="1192067022">
      <w:bodyDiv w:val="1"/>
      <w:marLeft w:val="0"/>
      <w:marRight w:val="0"/>
      <w:marTop w:val="0"/>
      <w:marBottom w:val="0"/>
      <w:divBdr>
        <w:top w:val="none" w:sz="0" w:space="0" w:color="auto"/>
        <w:left w:val="none" w:sz="0" w:space="0" w:color="auto"/>
        <w:bottom w:val="none" w:sz="0" w:space="0" w:color="auto"/>
        <w:right w:val="none" w:sz="0" w:space="0" w:color="auto"/>
      </w:divBdr>
      <w:divsChild>
        <w:div w:id="93524021">
          <w:marLeft w:val="0"/>
          <w:marRight w:val="0"/>
          <w:marTop w:val="0"/>
          <w:marBottom w:val="0"/>
          <w:divBdr>
            <w:top w:val="none" w:sz="0" w:space="0" w:color="auto"/>
            <w:left w:val="none" w:sz="0" w:space="0" w:color="auto"/>
            <w:bottom w:val="none" w:sz="0" w:space="0" w:color="auto"/>
            <w:right w:val="none" w:sz="0" w:space="0" w:color="auto"/>
          </w:divBdr>
          <w:divsChild>
            <w:div w:id="1226722373">
              <w:marLeft w:val="0"/>
              <w:marRight w:val="0"/>
              <w:marTop w:val="0"/>
              <w:marBottom w:val="360"/>
              <w:divBdr>
                <w:top w:val="none" w:sz="0" w:space="0" w:color="auto"/>
                <w:left w:val="none" w:sz="0" w:space="0" w:color="auto"/>
                <w:bottom w:val="none" w:sz="0" w:space="0" w:color="auto"/>
                <w:right w:val="none" w:sz="0" w:space="0" w:color="auto"/>
              </w:divBdr>
              <w:divsChild>
                <w:div w:id="1283880340">
                  <w:marLeft w:val="0"/>
                  <w:marRight w:val="0"/>
                  <w:marTop w:val="0"/>
                  <w:marBottom w:val="0"/>
                  <w:divBdr>
                    <w:top w:val="none" w:sz="0" w:space="0" w:color="auto"/>
                    <w:left w:val="none" w:sz="0" w:space="0" w:color="auto"/>
                    <w:bottom w:val="none" w:sz="0" w:space="0" w:color="auto"/>
                    <w:right w:val="none" w:sz="0" w:space="0" w:color="auto"/>
                  </w:divBdr>
                  <w:divsChild>
                    <w:div w:id="1096485510">
                      <w:marLeft w:val="0"/>
                      <w:marRight w:val="0"/>
                      <w:marTop w:val="0"/>
                      <w:marBottom w:val="0"/>
                      <w:divBdr>
                        <w:top w:val="none" w:sz="0" w:space="0" w:color="auto"/>
                        <w:left w:val="none" w:sz="0" w:space="0" w:color="auto"/>
                        <w:bottom w:val="none" w:sz="0" w:space="0" w:color="auto"/>
                        <w:right w:val="none" w:sz="0" w:space="0" w:color="auto"/>
                      </w:divBdr>
                      <w:divsChild>
                        <w:div w:id="1198546969">
                          <w:marLeft w:val="0"/>
                          <w:marRight w:val="0"/>
                          <w:marTop w:val="0"/>
                          <w:marBottom w:val="0"/>
                          <w:divBdr>
                            <w:top w:val="none" w:sz="0" w:space="0" w:color="auto"/>
                            <w:left w:val="none" w:sz="0" w:space="0" w:color="auto"/>
                            <w:bottom w:val="none" w:sz="0" w:space="0" w:color="auto"/>
                            <w:right w:val="none" w:sz="0" w:space="0" w:color="auto"/>
                          </w:divBdr>
                          <w:divsChild>
                            <w:div w:id="2089694804">
                              <w:marLeft w:val="0"/>
                              <w:marRight w:val="0"/>
                              <w:marTop w:val="0"/>
                              <w:marBottom w:val="0"/>
                              <w:divBdr>
                                <w:top w:val="none" w:sz="0" w:space="0" w:color="auto"/>
                                <w:left w:val="none" w:sz="0" w:space="0" w:color="auto"/>
                                <w:bottom w:val="none" w:sz="0" w:space="0" w:color="auto"/>
                                <w:right w:val="none" w:sz="0" w:space="0" w:color="auto"/>
                              </w:divBdr>
                              <w:divsChild>
                                <w:div w:id="148042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4719549">
      <w:bodyDiv w:val="1"/>
      <w:marLeft w:val="0"/>
      <w:marRight w:val="0"/>
      <w:marTop w:val="0"/>
      <w:marBottom w:val="0"/>
      <w:divBdr>
        <w:top w:val="none" w:sz="0" w:space="0" w:color="auto"/>
        <w:left w:val="none" w:sz="0" w:space="0" w:color="auto"/>
        <w:bottom w:val="none" w:sz="0" w:space="0" w:color="auto"/>
        <w:right w:val="none" w:sz="0" w:space="0" w:color="auto"/>
      </w:divBdr>
    </w:div>
    <w:div w:id="1338775533">
      <w:bodyDiv w:val="1"/>
      <w:marLeft w:val="0"/>
      <w:marRight w:val="0"/>
      <w:marTop w:val="0"/>
      <w:marBottom w:val="0"/>
      <w:divBdr>
        <w:top w:val="none" w:sz="0" w:space="0" w:color="auto"/>
        <w:left w:val="none" w:sz="0" w:space="0" w:color="auto"/>
        <w:bottom w:val="none" w:sz="0" w:space="0" w:color="auto"/>
        <w:right w:val="none" w:sz="0" w:space="0" w:color="auto"/>
      </w:divBdr>
      <w:divsChild>
        <w:div w:id="1092505336">
          <w:marLeft w:val="547"/>
          <w:marRight w:val="0"/>
          <w:marTop w:val="86"/>
          <w:marBottom w:val="0"/>
          <w:divBdr>
            <w:top w:val="none" w:sz="0" w:space="0" w:color="auto"/>
            <w:left w:val="none" w:sz="0" w:space="0" w:color="auto"/>
            <w:bottom w:val="none" w:sz="0" w:space="0" w:color="auto"/>
            <w:right w:val="none" w:sz="0" w:space="0" w:color="auto"/>
          </w:divBdr>
        </w:div>
        <w:div w:id="482544191">
          <w:marLeft w:val="547"/>
          <w:marRight w:val="0"/>
          <w:marTop w:val="86"/>
          <w:marBottom w:val="0"/>
          <w:divBdr>
            <w:top w:val="none" w:sz="0" w:space="0" w:color="auto"/>
            <w:left w:val="none" w:sz="0" w:space="0" w:color="auto"/>
            <w:bottom w:val="none" w:sz="0" w:space="0" w:color="auto"/>
            <w:right w:val="none" w:sz="0" w:space="0" w:color="auto"/>
          </w:divBdr>
        </w:div>
        <w:div w:id="503588754">
          <w:marLeft w:val="547"/>
          <w:marRight w:val="0"/>
          <w:marTop w:val="86"/>
          <w:marBottom w:val="0"/>
          <w:divBdr>
            <w:top w:val="none" w:sz="0" w:space="0" w:color="auto"/>
            <w:left w:val="none" w:sz="0" w:space="0" w:color="auto"/>
            <w:bottom w:val="none" w:sz="0" w:space="0" w:color="auto"/>
            <w:right w:val="none" w:sz="0" w:space="0" w:color="auto"/>
          </w:divBdr>
        </w:div>
        <w:div w:id="611979353">
          <w:marLeft w:val="547"/>
          <w:marRight w:val="0"/>
          <w:marTop w:val="86"/>
          <w:marBottom w:val="0"/>
          <w:divBdr>
            <w:top w:val="none" w:sz="0" w:space="0" w:color="auto"/>
            <w:left w:val="none" w:sz="0" w:space="0" w:color="auto"/>
            <w:bottom w:val="none" w:sz="0" w:space="0" w:color="auto"/>
            <w:right w:val="none" w:sz="0" w:space="0" w:color="auto"/>
          </w:divBdr>
        </w:div>
        <w:div w:id="890968272">
          <w:marLeft w:val="547"/>
          <w:marRight w:val="0"/>
          <w:marTop w:val="86"/>
          <w:marBottom w:val="0"/>
          <w:divBdr>
            <w:top w:val="none" w:sz="0" w:space="0" w:color="auto"/>
            <w:left w:val="none" w:sz="0" w:space="0" w:color="auto"/>
            <w:bottom w:val="none" w:sz="0" w:space="0" w:color="auto"/>
            <w:right w:val="none" w:sz="0" w:space="0" w:color="auto"/>
          </w:divBdr>
        </w:div>
        <w:div w:id="1779059777">
          <w:marLeft w:val="1166"/>
          <w:marRight w:val="0"/>
          <w:marTop w:val="72"/>
          <w:marBottom w:val="0"/>
          <w:divBdr>
            <w:top w:val="none" w:sz="0" w:space="0" w:color="auto"/>
            <w:left w:val="none" w:sz="0" w:space="0" w:color="auto"/>
            <w:bottom w:val="none" w:sz="0" w:space="0" w:color="auto"/>
            <w:right w:val="none" w:sz="0" w:space="0" w:color="auto"/>
          </w:divBdr>
        </w:div>
        <w:div w:id="2143843021">
          <w:marLeft w:val="1166"/>
          <w:marRight w:val="0"/>
          <w:marTop w:val="72"/>
          <w:marBottom w:val="0"/>
          <w:divBdr>
            <w:top w:val="none" w:sz="0" w:space="0" w:color="auto"/>
            <w:left w:val="none" w:sz="0" w:space="0" w:color="auto"/>
            <w:bottom w:val="none" w:sz="0" w:space="0" w:color="auto"/>
            <w:right w:val="none" w:sz="0" w:space="0" w:color="auto"/>
          </w:divBdr>
        </w:div>
      </w:divsChild>
    </w:div>
    <w:div w:id="1381244821">
      <w:bodyDiv w:val="1"/>
      <w:marLeft w:val="0"/>
      <w:marRight w:val="0"/>
      <w:marTop w:val="0"/>
      <w:marBottom w:val="0"/>
      <w:divBdr>
        <w:top w:val="none" w:sz="0" w:space="0" w:color="auto"/>
        <w:left w:val="none" w:sz="0" w:space="0" w:color="auto"/>
        <w:bottom w:val="none" w:sz="0" w:space="0" w:color="auto"/>
        <w:right w:val="none" w:sz="0" w:space="0" w:color="auto"/>
      </w:divBdr>
      <w:divsChild>
        <w:div w:id="872351724">
          <w:marLeft w:val="547"/>
          <w:marRight w:val="0"/>
          <w:marTop w:val="96"/>
          <w:marBottom w:val="0"/>
          <w:divBdr>
            <w:top w:val="none" w:sz="0" w:space="0" w:color="auto"/>
            <w:left w:val="none" w:sz="0" w:space="0" w:color="auto"/>
            <w:bottom w:val="none" w:sz="0" w:space="0" w:color="auto"/>
            <w:right w:val="none" w:sz="0" w:space="0" w:color="auto"/>
          </w:divBdr>
        </w:div>
        <w:div w:id="97993285">
          <w:marLeft w:val="547"/>
          <w:marRight w:val="0"/>
          <w:marTop w:val="96"/>
          <w:marBottom w:val="0"/>
          <w:divBdr>
            <w:top w:val="none" w:sz="0" w:space="0" w:color="auto"/>
            <w:left w:val="none" w:sz="0" w:space="0" w:color="auto"/>
            <w:bottom w:val="none" w:sz="0" w:space="0" w:color="auto"/>
            <w:right w:val="none" w:sz="0" w:space="0" w:color="auto"/>
          </w:divBdr>
        </w:div>
        <w:div w:id="1819958941">
          <w:marLeft w:val="547"/>
          <w:marRight w:val="0"/>
          <w:marTop w:val="96"/>
          <w:marBottom w:val="0"/>
          <w:divBdr>
            <w:top w:val="none" w:sz="0" w:space="0" w:color="auto"/>
            <w:left w:val="none" w:sz="0" w:space="0" w:color="auto"/>
            <w:bottom w:val="none" w:sz="0" w:space="0" w:color="auto"/>
            <w:right w:val="none" w:sz="0" w:space="0" w:color="auto"/>
          </w:divBdr>
        </w:div>
        <w:div w:id="1435176855">
          <w:marLeft w:val="547"/>
          <w:marRight w:val="0"/>
          <w:marTop w:val="96"/>
          <w:marBottom w:val="0"/>
          <w:divBdr>
            <w:top w:val="none" w:sz="0" w:space="0" w:color="auto"/>
            <w:left w:val="none" w:sz="0" w:space="0" w:color="auto"/>
            <w:bottom w:val="none" w:sz="0" w:space="0" w:color="auto"/>
            <w:right w:val="none" w:sz="0" w:space="0" w:color="auto"/>
          </w:divBdr>
        </w:div>
        <w:div w:id="608436593">
          <w:marLeft w:val="547"/>
          <w:marRight w:val="0"/>
          <w:marTop w:val="96"/>
          <w:marBottom w:val="0"/>
          <w:divBdr>
            <w:top w:val="none" w:sz="0" w:space="0" w:color="auto"/>
            <w:left w:val="none" w:sz="0" w:space="0" w:color="auto"/>
            <w:bottom w:val="none" w:sz="0" w:space="0" w:color="auto"/>
            <w:right w:val="none" w:sz="0" w:space="0" w:color="auto"/>
          </w:divBdr>
        </w:div>
      </w:divsChild>
    </w:div>
    <w:div w:id="1488597043">
      <w:bodyDiv w:val="1"/>
      <w:marLeft w:val="0"/>
      <w:marRight w:val="0"/>
      <w:marTop w:val="0"/>
      <w:marBottom w:val="0"/>
      <w:divBdr>
        <w:top w:val="none" w:sz="0" w:space="0" w:color="auto"/>
        <w:left w:val="none" w:sz="0" w:space="0" w:color="auto"/>
        <w:bottom w:val="none" w:sz="0" w:space="0" w:color="auto"/>
        <w:right w:val="none" w:sz="0" w:space="0" w:color="auto"/>
      </w:divBdr>
    </w:div>
    <w:div w:id="1704283504">
      <w:bodyDiv w:val="1"/>
      <w:marLeft w:val="0"/>
      <w:marRight w:val="0"/>
      <w:marTop w:val="0"/>
      <w:marBottom w:val="0"/>
      <w:divBdr>
        <w:top w:val="none" w:sz="0" w:space="0" w:color="auto"/>
        <w:left w:val="none" w:sz="0" w:space="0" w:color="auto"/>
        <w:bottom w:val="none" w:sz="0" w:space="0" w:color="auto"/>
        <w:right w:val="none" w:sz="0" w:space="0" w:color="auto"/>
      </w:divBdr>
    </w:div>
    <w:div w:id="1761365566">
      <w:bodyDiv w:val="1"/>
      <w:marLeft w:val="0"/>
      <w:marRight w:val="0"/>
      <w:marTop w:val="0"/>
      <w:marBottom w:val="0"/>
      <w:divBdr>
        <w:top w:val="none" w:sz="0" w:space="0" w:color="auto"/>
        <w:left w:val="none" w:sz="0" w:space="0" w:color="auto"/>
        <w:bottom w:val="none" w:sz="0" w:space="0" w:color="auto"/>
        <w:right w:val="none" w:sz="0" w:space="0" w:color="auto"/>
      </w:divBdr>
    </w:div>
    <w:div w:id="1829131267">
      <w:bodyDiv w:val="1"/>
      <w:marLeft w:val="0"/>
      <w:marRight w:val="0"/>
      <w:marTop w:val="0"/>
      <w:marBottom w:val="0"/>
      <w:divBdr>
        <w:top w:val="none" w:sz="0" w:space="0" w:color="auto"/>
        <w:left w:val="none" w:sz="0" w:space="0" w:color="auto"/>
        <w:bottom w:val="none" w:sz="0" w:space="0" w:color="auto"/>
        <w:right w:val="none" w:sz="0" w:space="0" w:color="auto"/>
      </w:divBdr>
    </w:div>
    <w:div w:id="1859735117">
      <w:bodyDiv w:val="1"/>
      <w:marLeft w:val="0"/>
      <w:marRight w:val="0"/>
      <w:marTop w:val="0"/>
      <w:marBottom w:val="0"/>
      <w:divBdr>
        <w:top w:val="none" w:sz="0" w:space="0" w:color="auto"/>
        <w:left w:val="none" w:sz="0" w:space="0" w:color="auto"/>
        <w:bottom w:val="none" w:sz="0" w:space="0" w:color="auto"/>
        <w:right w:val="none" w:sz="0" w:space="0" w:color="auto"/>
      </w:divBdr>
    </w:div>
    <w:div w:id="1955792064">
      <w:bodyDiv w:val="1"/>
      <w:marLeft w:val="0"/>
      <w:marRight w:val="0"/>
      <w:marTop w:val="0"/>
      <w:marBottom w:val="0"/>
      <w:divBdr>
        <w:top w:val="none" w:sz="0" w:space="0" w:color="auto"/>
        <w:left w:val="none" w:sz="0" w:space="0" w:color="auto"/>
        <w:bottom w:val="none" w:sz="0" w:space="0" w:color="auto"/>
        <w:right w:val="none" w:sz="0" w:space="0" w:color="auto"/>
      </w:divBdr>
    </w:div>
    <w:div w:id="205750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ohchr.org/SP/ProfessionalInterest/Pages/UseOfForceAndFirearms.aspx" TargetMode="External"/><Relationship Id="rId18" Type="http://schemas.openxmlformats.org/officeDocument/2006/relationships/hyperlink" Target="https://www.ohchr.org/SP/ProfessionalInterest/Pages/IndependenceJudiciary.aspx" TargetMode="External"/><Relationship Id="rId26" Type="http://schemas.openxmlformats.org/officeDocument/2006/relationships/hyperlink" Target="http://daccess-ods.un.org/access.nsf/Get?OpenAgent&amp;DS=E/CN.4/2005/102/Add.1&amp;Lang=S" TargetMode="External"/><Relationship Id="rId39" Type="http://schemas.openxmlformats.org/officeDocument/2006/relationships/hyperlink" Target="http://acnudh.org/?p=15255" TargetMode="External"/><Relationship Id="rId3" Type="http://schemas.openxmlformats.org/officeDocument/2006/relationships/settings" Target="settings.xml"/><Relationship Id="rId21" Type="http://schemas.openxmlformats.org/officeDocument/2006/relationships/hyperlink" Target="https://www.ohchr.org/SP/ProfessionalInterest/Pages/ArbitraryAndSummaryExecutions.aspx" TargetMode="External"/><Relationship Id="rId34" Type="http://schemas.openxmlformats.org/officeDocument/2006/relationships/hyperlink" Target="https://www.ohchr.org/SP/Issues/SRWomen/Pages/SRWomenIndex.aspx" TargetMode="External"/><Relationship Id="rId42" Type="http://schemas.openxmlformats.org/officeDocument/2006/relationships/hyperlink" Target="http://acnudh.org/?p=15263" TargetMode="External"/><Relationship Id="rId47" Type="http://schemas.openxmlformats.org/officeDocument/2006/relationships/hyperlink" Target="https://www.youtube.com/watch?v=v1GY6ItQVaM" TargetMode="External"/><Relationship Id="rId50" Type="http://schemas.openxmlformats.org/officeDocument/2006/relationships/header" Target="header1.xml"/><Relationship Id="rId7" Type="http://schemas.openxmlformats.org/officeDocument/2006/relationships/hyperlink" Target="http://www.un.org/es/documents/charter/" TargetMode="External"/><Relationship Id="rId12" Type="http://schemas.openxmlformats.org/officeDocument/2006/relationships/hyperlink" Target="https://www.ohchr.org/SP/ProfessionalInterest/Pages/LawEnforcementOfficials.aspx" TargetMode="External"/><Relationship Id="rId17" Type="http://schemas.openxmlformats.org/officeDocument/2006/relationships/hyperlink" Target="https://www.ohchr.org/SP/ProfessionalInterest/Pages/VictimsOfCrimeAndAbuseOfPower.aspx" TargetMode="External"/><Relationship Id="rId25" Type="http://schemas.openxmlformats.org/officeDocument/2006/relationships/hyperlink" Target="https://www.ohchr.org/SP/ProfessionalInterest/Pages/BangkokRules.aspx" TargetMode="External"/><Relationship Id="rId33" Type="http://schemas.openxmlformats.org/officeDocument/2006/relationships/hyperlink" Target="https://www.ohchr.org/en/hrbodies/cedaw/pages/cedawindex.aspx" TargetMode="External"/><Relationship Id="rId38" Type="http://schemas.openxmlformats.org/officeDocument/2006/relationships/hyperlink" Target="http://www2.ohchr.org/spanish/bodies/hrc/index.htm" TargetMode="External"/><Relationship Id="rId46" Type="http://schemas.openxmlformats.org/officeDocument/2006/relationships/hyperlink" Target="https://www.ohchr.org/EN/Issues/Migration/Pages/GlobalAction.aspx" TargetMode="External"/><Relationship Id="rId2" Type="http://schemas.openxmlformats.org/officeDocument/2006/relationships/styles" Target="styles.xml"/><Relationship Id="rId16" Type="http://schemas.openxmlformats.org/officeDocument/2006/relationships/hyperlink" Target="https://www.ohchr.org/SP/ProfessionalInterest/Pages/PreventionOfJuvenileDelinquency.aspx" TargetMode="External"/><Relationship Id="rId20" Type="http://schemas.openxmlformats.org/officeDocument/2006/relationships/hyperlink" Target="https://www.ohchr.org/SP/ProfessionalInterest/Pages/RoleOfProsecutors.aspx" TargetMode="External"/><Relationship Id="rId29" Type="http://schemas.openxmlformats.org/officeDocument/2006/relationships/hyperlink" Target="https://www.ohchr.org/EN/Issues/Women/WRGS/Pages/GenderStereotypes.aspx" TargetMode="External"/><Relationship Id="rId41" Type="http://schemas.openxmlformats.org/officeDocument/2006/relationships/hyperlink" Target="http://www2.ohchr.org/spanish/bodies/cescr/index.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hchr.org/SP/ProfessionalInterest/Pages/DeathPenalty.aspx" TargetMode="External"/><Relationship Id="rId24" Type="http://schemas.openxmlformats.org/officeDocument/2006/relationships/hyperlink" Target="https://www.ohchr.org/SP/ProfessionalInterest/Pages/ConventionCED.aspx" TargetMode="External"/><Relationship Id="rId32" Type="http://schemas.openxmlformats.org/officeDocument/2006/relationships/hyperlink" Target="https://www.ohchr.org/SP/ProfessionalInterest/Pages/CEDAW.aspx" TargetMode="External"/><Relationship Id="rId37" Type="http://schemas.openxmlformats.org/officeDocument/2006/relationships/hyperlink" Target="http://acnudh.org/2007/09/declaracion-de-las-naciones-unidas-sobre-los-derechos-de-los-pueblos-indigenas/" TargetMode="External"/><Relationship Id="rId40" Type="http://schemas.openxmlformats.org/officeDocument/2006/relationships/hyperlink" Target="http://www2.ohchr.org/spanish/bodies/cerd/index.htm" TargetMode="External"/><Relationship Id="rId45" Type="http://schemas.openxmlformats.org/officeDocument/2006/relationships/hyperlink" Target="https://www.ohchr.org/Documents/Publications/HR-PUB-14-1_en.pdf"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ohchr.org/SP/ProfessionalInterest/Pages/BeijingRules.aspx" TargetMode="External"/><Relationship Id="rId23" Type="http://schemas.openxmlformats.org/officeDocument/2006/relationships/hyperlink" Target="https://www.ohchr.org/SP/ProfessionalInterest/Pages/RemedyAndReparation.aspx" TargetMode="External"/><Relationship Id="rId28" Type="http://schemas.openxmlformats.org/officeDocument/2006/relationships/hyperlink" Target="http://www.un.org/en/documents/charter/preamble.shtml" TargetMode="External"/><Relationship Id="rId36" Type="http://schemas.openxmlformats.org/officeDocument/2006/relationships/hyperlink" Target="https://www.es.amnesty.org/en-que-estamos/temas/derechos-humanos/declaracion-universal-derechos-humanos/" TargetMode="External"/><Relationship Id="rId49" Type="http://schemas.openxmlformats.org/officeDocument/2006/relationships/hyperlink" Target="https://www.ohchr.org/EN/HRBodies/CMW/Pages/CMWIndex.aspx" TargetMode="External"/><Relationship Id="rId10" Type="http://schemas.openxmlformats.org/officeDocument/2006/relationships/hyperlink" Target="https://www.ohchr.org/SP/ProfessionalInterest/Pages/EffectiveInvestigationAndDocumentationOfTorture.aspx" TargetMode="External"/><Relationship Id="rId19" Type="http://schemas.openxmlformats.org/officeDocument/2006/relationships/hyperlink" Target="https://www.ohchr.org/SP/ProfessionalInterest/Pages/RoleOfLawyers.aspx" TargetMode="External"/><Relationship Id="rId31" Type="http://schemas.openxmlformats.org/officeDocument/2006/relationships/hyperlink" Target="https://www.ohchr.org/SP/ProfessionalInterest/Pages/CESCR.aspx" TargetMode="External"/><Relationship Id="rId44" Type="http://schemas.openxmlformats.org/officeDocument/2006/relationships/hyperlink" Target="https://www.ohchr.org/EN/Issues/Migration/Pages/Migrantsintransit.aspx"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ohchr.org/SP/ProfessionalInterest/Pages/MedicalEthics.aspx" TargetMode="External"/><Relationship Id="rId14" Type="http://schemas.openxmlformats.org/officeDocument/2006/relationships/hyperlink" Target="https://www.ohchr.org/SP/ProfessionalInterest/Pages/TokyoRules.aspx" TargetMode="External"/><Relationship Id="rId22" Type="http://schemas.openxmlformats.org/officeDocument/2006/relationships/hyperlink" Target="http://daccess-ods.un.org/access.nsf/Get?Open&amp;DS=A/RES/47/133&amp;Lang=S" TargetMode="External"/><Relationship Id="rId27" Type="http://schemas.openxmlformats.org/officeDocument/2006/relationships/hyperlink" Target="https://www.ohchr.org/SP/ProfessionalInterest/Pages/ForcedLabourConvention.aspx" TargetMode="External"/><Relationship Id="rId30" Type="http://schemas.openxmlformats.org/officeDocument/2006/relationships/hyperlink" Target="https://www.ohchr.org/SP/ProfessionalInterest/Pages/CCPR.aspx" TargetMode="External"/><Relationship Id="rId35" Type="http://schemas.openxmlformats.org/officeDocument/2006/relationships/hyperlink" Target="https://www.ohchr.org/EN/Issues/Women/WGWomen/Pages/WGWomenIndex.aspx" TargetMode="External"/><Relationship Id="rId43" Type="http://schemas.openxmlformats.org/officeDocument/2006/relationships/hyperlink" Target="https://www.ohchr.org/EN/Issues/Migration/Pages/InternationalBorders.aspx" TargetMode="External"/><Relationship Id="rId48" Type="http://schemas.openxmlformats.org/officeDocument/2006/relationships/hyperlink" Target="https://www.ohchr.org/SP/Issues/Migration/SRMigrants/Pages/SRMigrantsIndex.aspx" TargetMode="External"/><Relationship Id="rId8" Type="http://schemas.openxmlformats.org/officeDocument/2006/relationships/hyperlink" Target="http://www.un.org/es/documents/udhr/" TargetMode="External"/><Relationship Id="rId51"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40</Pages>
  <Words>12431</Words>
  <Characters>68375</Characters>
  <Application>Microsoft Office Word</Application>
  <DocSecurity>0</DocSecurity>
  <Lines>569</Lines>
  <Paragraphs>161</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80645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9416032-4</dc:creator>
  <cp:lastModifiedBy>9416032-4</cp:lastModifiedBy>
  <cp:revision>10</cp:revision>
  <dcterms:created xsi:type="dcterms:W3CDTF">2018-06-22T16:39:00Z</dcterms:created>
  <dcterms:modified xsi:type="dcterms:W3CDTF">2018-06-25T15:14:00Z</dcterms:modified>
</cp:coreProperties>
</file>