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0" w:before="2000"/>
        <w:jc w:val="center"/>
      </w:pPr>
      <w:r>
        <w:rPr>
          <w:rFonts w:ascii="Arial" w:cs="Arial" w:eastAsia="Arial" w:hAnsi="Arial"/>
          <w:b/>
          <w:bCs/>
          <w:color w:val="1F3864"/>
          <w:sz w:val="36"/>
          <w:szCs w:val="36"/>
        </w:rPr>
        <w:t xml:space="preserve">SIMULACION TACTICA DE DEFENSA ANTIMISIL</w:t>
      </w:r>
    </w:p>
    <w:p>
      <w:pPr>
        <w:spacing w:after="200"/>
        <w:jc w:val="center"/>
      </w:pPr>
      <w:r>
        <w:rPr>
          <w:rFonts w:ascii="Arial" w:cs="Arial" w:eastAsia="Arial" w:hAnsi="Arial"/>
          <w:color w:val="2E5090"/>
          <w:sz w:val="26"/>
          <w:szCs w:val="26"/>
        </w:rPr>
        <w:t xml:space="preserve">Grupo de Tarea: FFG Adelaide + FF23</w:t>
      </w:r>
    </w:p>
    <w:p>
      <w:pPr>
        <w:spacing w:after="200"/>
        <w:jc w:val="center"/>
      </w:pPr>
      <w:r>
        <w:rPr>
          <w:rFonts w:ascii="Arial" w:cs="Arial" w:eastAsia="Arial" w:hAnsi="Arial"/>
          <w:color w:val="595959"/>
          <w:sz w:val="22"/>
          <w:szCs w:val="22"/>
        </w:rPr>
        <w:t xml:space="preserve">Metodologia, Formulas y Fundamentos de Calculo</w:t>
      </w:r>
    </w:p>
    <w:p>
      <w:pPr>
        <w:spacing w:after="800"/>
        <w:jc w:val="center"/>
      </w:pPr>
      <w:r>
        <w:rPr>
          <w:rFonts w:ascii="Arial" w:cs="Arial" w:eastAsia="Arial" w:hAnsi="Arial"/>
          <w:color w:val="595959"/>
          <w:sz w:val="20"/>
          <w:szCs w:val="20"/>
        </w:rPr>
        <w:t xml:space="preserve">Documento Tecnico de Referencia</w:t>
      </w:r>
    </w:p>
    <w:p>
      <w:r>
        <w:br w:type="page"/>
      </w:r>
    </w:p>
    <w:p>
      <w:pPr>
        <w:pStyle w:val="Heading1"/>
        <w:spacing w:after="180" w:before="360"/>
      </w:pPr>
      <w:r>
        <w:rPr>
          <w:rFonts w:ascii="Arial" w:cs="Arial" w:eastAsia="Arial" w:hAnsi="Arial"/>
          <w:b/>
          <w:bCs/>
          <w:color w:val="1F3864"/>
          <w:sz w:val="28"/>
          <w:szCs w:val="28"/>
        </w:rPr>
        <w:t xml:space="preserve">1. INTRODUCCION Y ALCANCE</w:t>
      </w:r>
    </w:p>
    <w:p>
      <w:pPr>
        <w:spacing w:after="120"/>
        <w:jc w:val="both"/>
      </w:pPr>
      <w:r>
        <w:rPr>
          <w:rFonts w:ascii="Arial" w:cs="Arial" w:eastAsia="Arial" w:hAnsi="Arial"/>
          <w:sz w:val="20"/>
          <w:szCs w:val="20"/>
        </w:rPr>
        <w:t xml:space="preserve">Este documento explica la metodologia, formulas matematicas y supuestos utilizados para construir el modelo de simulacion de defensa antimisil del grupo de tarea compuesto por la FFG Adelaide (misiles ESSM y SM-2) y la FF23 (misil Sea Ceptor). El objetivo es evaluar la probabilidad de destruccion (Pk) de un misil de superficie enemigo (ASM) antes de que impacte en el buque de alto valor (HVU).</w:t>
      </w:r>
    </w:p>
    <w:p>
      <w:pPr>
        <w:spacing w:after="120"/>
        <w:jc w:val="both"/>
      </w:pPr>
      <w:r>
        <w:rPr>
          <w:rFonts w:ascii="Arial" w:cs="Arial" w:eastAsia="Arial" w:hAnsi="Arial"/>
          <w:sz w:val="20"/>
          <w:szCs w:val="20"/>
        </w:rPr>
        <w:t xml:space="preserve">El modelo esta implementado en Microsoft Excel con hojas interconectadas: una hoja de datos variables (1_DATOS), una de calculos analiticos (2_CALCULOS), una simulacion de Monte Carlo (3_MONTECARLO), un diagrama polar del grupo de tarea (4_DIAGRAMA_POLAR), una hoja de radios de alcance por unidad (5_RADIOS_MISILES) y un resumen ejecutivo (6_RESUMEN).</w:t>
      </w:r>
    </w:p>
    <w:p>
      <w:pPr>
        <w:pStyle w:val="Heading1"/>
        <w:spacing w:after="180" w:before="360"/>
      </w:pPr>
      <w:r>
        <w:rPr>
          <w:rFonts w:ascii="Arial" w:cs="Arial" w:eastAsia="Arial" w:hAnsi="Arial"/>
          <w:b/>
          <w:bCs/>
          <w:color w:val="1F3864"/>
          <w:sz w:val="28"/>
          <w:szCs w:val="28"/>
        </w:rPr>
        <w:t xml:space="preserve">2. UNIDADES, SISTEMAS DE ARMAS Y PARAMETROS</w:t>
      </w:r>
    </w:p>
    <w:p>
      <w:pPr>
        <w:pStyle w:val="Heading2"/>
        <w:spacing w:after="120" w:before="240"/>
      </w:pPr>
      <w:r>
        <w:rPr>
          <w:rFonts w:ascii="Arial" w:cs="Arial" w:eastAsia="Arial" w:hAnsi="Arial"/>
          <w:b/>
          <w:bCs/>
          <w:color w:val="2E5090"/>
          <w:sz w:val="24"/>
          <w:szCs w:val="24"/>
        </w:rPr>
        <w:t xml:space="preserve">2.1 FFG Adelaide</w:t>
      </w:r>
    </w:p>
    <w:p>
      <w:pPr>
        <w:spacing w:after="120"/>
        <w:jc w:val="both"/>
      </w:pPr>
      <w:r>
        <w:rPr>
          <w:rFonts w:ascii="Arial" w:cs="Arial" w:eastAsia="Arial" w:hAnsi="Arial"/>
          <w:sz w:val="20"/>
          <w:szCs w:val="20"/>
        </w:rPr>
        <w:t xml:space="preserve">La FFG Adelaide es una fragata de escolta equipada con dos sistemas de misiles aire-aire:</w:t>
      </w:r>
    </w:p>
    <w:p>
      <w:pPr>
        <w:pStyle w:val="ListParagraph"/>
        <w:numPr>
          <w:ilvl w:val="0"/>
          <w:numId w:val="2"/>
        </w:numPr>
        <w:spacing w:after="80"/>
      </w:pPr>
      <w:r>
        <w:rPr>
          <w:rFonts w:ascii="Arial" w:cs="Arial" w:eastAsia="Arial" w:hAnsi="Arial"/>
          <w:sz w:val="20"/>
          <w:szCs w:val="20"/>
        </w:rPr>
        <w:t xml:space="preserve">ESSM (RIM-162 Evolved Sea Sparrow Missile): alcance maximo 25 millas nauticas (mn), velocidad aproximada 600 nudos. Tiempo de lanzamiento 2 segundos por salva.</w:t>
      </w:r>
    </w:p>
    <w:p>
      <w:pPr>
        <w:pStyle w:val="ListParagraph"/>
        <w:numPr>
          <w:ilvl w:val="0"/>
          <w:numId w:val="2"/>
        </w:numPr>
        <w:spacing w:after="80"/>
      </w:pPr>
      <w:r>
        <w:rPr>
          <w:rFonts w:ascii="Arial" w:cs="Arial" w:eastAsia="Arial" w:hAnsi="Arial"/>
          <w:sz w:val="20"/>
          <w:szCs w:val="20"/>
        </w:rPr>
        <w:t xml:space="preserve">SM-2 (RIM-66 Standard Missile 2): alcance maximo 60 mn, velocidad aproximada 900 nudos. Sistema de capa exterior de defensa de area.</w:t>
      </w:r>
    </w:p>
    <w:p>
      <w:pPr>
        <w:spacing w:after="120"/>
        <w:jc w:val="both"/>
      </w:pPr>
      <w:r>
        <w:rPr>
          <w:rFonts w:ascii="Arial" w:cs="Arial" w:eastAsia="Arial" w:hAnsi="Arial"/>
          <w:sz w:val="20"/>
          <w:szCs w:val="20"/>
        </w:rPr>
        <w:t xml:space="preserve">La FFG puede operar entre las 2.000 y 5.000 yardas medidas desde el HVU, proporcionando cobertura de capa media.</w:t>
      </w:r>
    </w:p>
    <w:p>
      <w:pPr>
        <w:pStyle w:val="Heading2"/>
        <w:spacing w:after="120" w:before="240"/>
      </w:pPr>
      <w:r>
        <w:rPr>
          <w:rFonts w:ascii="Arial" w:cs="Arial" w:eastAsia="Arial" w:hAnsi="Arial"/>
          <w:b/>
          <w:bCs/>
          <w:color w:val="2E5090"/>
          <w:sz w:val="24"/>
          <w:szCs w:val="24"/>
        </w:rPr>
        <w:t xml:space="preserve">2.2 FF23</w:t>
      </w:r>
    </w:p>
    <w:p>
      <w:pPr>
        <w:spacing w:after="120"/>
        <w:jc w:val="both"/>
      </w:pPr>
      <w:r>
        <w:rPr>
          <w:rFonts w:ascii="Arial" w:cs="Arial" w:eastAsia="Arial" w:hAnsi="Arial"/>
          <w:sz w:val="20"/>
          <w:szCs w:val="20"/>
        </w:rPr>
        <w:t xml:space="preserve">La FF23 es una fragata ligera equipada con el Sea Ceptor (CAMM - Common Anti-air Modular Missile): alcance maximo 12 mn, velocidad aproximada 600 nudos, tiempo de lanzamiento 2 segundos. Opera entre 500 y 2.000 yardas del HVU como capa final de defensa de punto.</w:t>
      </w:r>
    </w:p>
    <w:p>
      <w:pPr>
        <w:pStyle w:val="Heading2"/>
        <w:spacing w:after="120" w:before="240"/>
      </w:pPr>
      <w:r>
        <w:rPr>
          <w:rFonts w:ascii="Arial" w:cs="Arial" w:eastAsia="Arial" w:hAnsi="Arial"/>
          <w:b/>
          <w:bCs/>
          <w:color w:val="2E5090"/>
          <w:sz w:val="24"/>
          <w:szCs w:val="24"/>
        </w:rPr>
        <w:t xml:space="preserve">2.3 Misil de Superficie Enemigo (ASM)</w:t>
      </w:r>
    </w:p>
    <w:p>
      <w:pPr>
        <w:pStyle w:val="ListParagraph"/>
        <w:numPr>
          <w:ilvl w:val="0"/>
          <w:numId w:val="2"/>
        </w:numPr>
        <w:spacing w:after="80"/>
      </w:pPr>
      <w:r>
        <w:rPr>
          <w:rFonts w:ascii="Arial" w:cs="Arial" w:eastAsia="Arial" w:hAnsi="Arial"/>
          <w:sz w:val="20"/>
          <w:szCs w:val="20"/>
        </w:rPr>
        <w:t xml:space="preserve">Velocidad: 550 nudos</w:t>
      </w:r>
    </w:p>
    <w:p>
      <w:pPr>
        <w:pStyle w:val="ListParagraph"/>
        <w:numPr>
          <w:ilvl w:val="0"/>
          <w:numId w:val="2"/>
        </w:numPr>
        <w:spacing w:after="80"/>
      </w:pPr>
      <w:r>
        <w:rPr>
          <w:rFonts w:ascii="Arial" w:cs="Arial" w:eastAsia="Arial" w:hAnsi="Arial"/>
          <w:sz w:val="20"/>
          <w:szCs w:val="20"/>
        </w:rPr>
        <w:t xml:space="preserve">Altura de vuelo: 30 pies (misil sea-skimmer, vuelo rasante)</w:t>
      </w:r>
    </w:p>
    <w:p>
      <w:pPr>
        <w:pStyle w:val="ListParagraph"/>
        <w:numPr>
          <w:ilvl w:val="0"/>
          <w:numId w:val="2"/>
        </w:numPr>
        <w:spacing w:after="80"/>
      </w:pPr>
      <w:r>
        <w:rPr>
          <w:rFonts w:ascii="Arial" w:cs="Arial" w:eastAsia="Arial" w:hAnsi="Arial"/>
          <w:sz w:val="20"/>
          <w:szCs w:val="20"/>
        </w:rPr>
        <w:t xml:space="preserve">Alcance operativo: hasta 60 mn de lanzamiento</w:t>
      </w:r>
    </w:p>
    <w:p>
      <w:pPr>
        <w:pStyle w:val="Heading1"/>
        <w:spacing w:after="180" w:before="360"/>
      </w:pPr>
      <w:r>
        <w:rPr>
          <w:rFonts w:ascii="Arial" w:cs="Arial" w:eastAsia="Arial" w:hAnsi="Arial"/>
          <w:b/>
          <w:bCs/>
          <w:color w:val="1F3864"/>
          <w:sz w:val="28"/>
          <w:szCs w:val="28"/>
        </w:rPr>
        <w:t xml:space="preserve">3. MODELO DE DETECCION</w:t>
      </w:r>
    </w:p>
    <w:p>
      <w:pPr>
        <w:pStyle w:val="Heading2"/>
        <w:spacing w:after="120" w:before="240"/>
      </w:pPr>
      <w:r>
        <w:rPr>
          <w:rFonts w:ascii="Arial" w:cs="Arial" w:eastAsia="Arial" w:hAnsi="Arial"/>
          <w:b/>
          <w:bCs/>
          <w:color w:val="2E5090"/>
          <w:sz w:val="24"/>
          <w:szCs w:val="24"/>
        </w:rPr>
        <w:t xml:space="preserve">3.1 Probabilidad de Deteccion (Pd) por Distancia</w:t>
      </w:r>
    </w:p>
    <w:p>
      <w:pPr>
        <w:spacing w:after="120"/>
        <w:jc w:val="both"/>
      </w:pPr>
      <w:r>
        <w:rPr>
          <w:rFonts w:ascii="Arial" w:cs="Arial" w:eastAsia="Arial" w:hAnsi="Arial"/>
          <w:sz w:val="20"/>
          <w:szCs w:val="20"/>
        </w:rPr>
        <w:t xml:space="preserve">Dado que el ASM vuela a 30 pies de altura, el horizonte radar limita fuertemente la deteccion a distancias largas. El modelo establece: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500"/>
        <w:gridCol w:w="2430"/>
        <w:gridCol w:w="2430"/>
      </w:tblGrid>
      <w:tr>
        <w:tc>
          <w:tcPr>
            <w:tcW w:type="dxa" w:w="45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left"/>
            </w:pPr>
            <w:r>
              <w:rPr>
                <w:rFonts w:ascii="Arial" w:cs="Arial" w:eastAsia="Arial" w:hAnsi="Arial"/>
                <w:b/>
                <w:bCs/>
                <w:color w:val="FFFFFF"/>
                <w:sz w:val="18"/>
                <w:szCs w:val="18"/>
              </w:rPr>
              <w:t xml:space="preserve">Distancia</w:t>
            </w:r>
          </w:p>
        </w:tc>
        <w:tc>
          <w:tcPr>
            <w:tcW w:type="dxa" w:w="26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Pd (%)</w:t>
            </w:r>
          </w:p>
        </w:tc>
        <w:tc>
          <w:tcPr>
            <w:tcW w:type="dxa" w:w="26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Estado</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10 mn (limite exterior)</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60%</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Alerta temprana</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5 mn (limite interior)</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95%</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Adquisicion segura</w:t>
            </w:r>
          </w:p>
        </w:tc>
      </w:tr>
    </w:tbl>
    <w:p>
      <w:pPr>
        <w:spacing w:after="120"/>
      </w:pPr>
    </w:p>
    <w:p>
      <w:pPr>
        <w:spacing w:after="120"/>
        <w:jc w:val="both"/>
      </w:pPr>
      <w:r>
        <w:rPr>
          <w:rFonts w:ascii="Arial" w:cs="Arial" w:eastAsia="Arial" w:hAnsi="Arial"/>
          <w:sz w:val="20"/>
          <w:szCs w:val="20"/>
        </w:rPr>
        <w:t xml:space="preserve">Para distancias intermedias (5 &lt; D &lt; 10 mn) se aplica interpolacion lineal:</w:t>
      </w:r>
    </w:p>
    <w:p>
      <w:pPr>
        <w:spacing w:after="120" w:before="120"/>
      </w:pPr>
      <w:r>
        <w:rPr>
          <w:rFonts w:ascii="Courier New" w:cs="Courier New" w:eastAsia="Courier New" w:hAnsi="Courier New"/>
          <w:b/>
          <w:bCs/>
          <w:sz w:val="20"/>
          <w:szCs w:val="20"/>
        </w:rPr>
        <w:t xml:space="preserve">   Pd(D) = 0.60 + ((10 - D) / (10 - 5)) x (0.95 - 0.60)</w:t>
      </w:r>
    </w:p>
    <w:p>
      <w:pPr>
        <w:spacing w:after="120"/>
        <w:jc w:val="both"/>
      </w:pPr>
      <w:r>
        <w:rPr>
          <w:rFonts w:ascii="Arial" w:cs="Arial" w:eastAsia="Arial" w:hAnsi="Arial"/>
          <w:sz w:val="20"/>
          <w:szCs w:val="20"/>
        </w:rPr>
        <w:t xml:space="preserve">Para D menor o igual a 5 mn: Pd = 0.95. Para D mayor o igual a 10 mn: Pd = 0.60.</w:t>
      </w:r>
    </w:p>
    <w:p>
      <w:pPr>
        <w:spacing w:after="120"/>
        <w:jc w:val="both"/>
      </w:pPr>
      <w:r>
        <w:rPr>
          <w:rFonts w:ascii="Arial" w:cs="Arial" w:eastAsia="Arial" w:hAnsi="Arial"/>
          <w:sz w:val="20"/>
          <w:szCs w:val="20"/>
        </w:rPr>
        <w:t xml:space="preserve">Esta formula asegura que la probabilidad de deteccion sea una funcion continua, creciente conforme el ASM se acerca, representando la mejora del track del sistema de control de fuego.</w:t>
      </w:r>
    </w:p>
    <w:p>
      <w:pPr>
        <w:pStyle w:val="Heading1"/>
        <w:spacing w:after="180" w:before="360"/>
      </w:pPr>
      <w:r>
        <w:rPr>
          <w:rFonts w:ascii="Arial" w:cs="Arial" w:eastAsia="Arial" w:hAnsi="Arial"/>
          <w:b/>
          <w:bCs/>
          <w:color w:val="1F3864"/>
          <w:sz w:val="28"/>
          <w:szCs w:val="28"/>
        </w:rPr>
        <w:t xml:space="preserve">4. VELOCIDADES RELATIVAS Y TIEMPOS DE VUELO</w:t>
      </w:r>
    </w:p>
    <w:p>
      <w:pPr>
        <w:pStyle w:val="Heading2"/>
        <w:spacing w:after="120" w:before="240"/>
      </w:pPr>
      <w:r>
        <w:rPr>
          <w:rFonts w:ascii="Arial" w:cs="Arial" w:eastAsia="Arial" w:hAnsi="Arial"/>
          <w:b/>
          <w:bCs/>
          <w:color w:val="2E5090"/>
          <w:sz w:val="24"/>
          <w:szCs w:val="24"/>
        </w:rPr>
        <w:t xml:space="preserve">4.1 Velocidad Relativa en Enfrentamiento Frontal (Head-On)</w:t>
      </w:r>
    </w:p>
    <w:p>
      <w:pPr>
        <w:spacing w:after="120"/>
        <w:jc w:val="both"/>
      </w:pPr>
      <w:r>
        <w:rPr>
          <w:rFonts w:ascii="Arial" w:cs="Arial" w:eastAsia="Arial" w:hAnsi="Arial"/>
          <w:sz w:val="20"/>
          <w:szCs w:val="20"/>
        </w:rPr>
        <w:t xml:space="preserve">En un engagement head-on (el ASM se aproxima directamente al buque defensor), la velocidad de cierre es la suma de ambas velocidades:</w:t>
      </w:r>
    </w:p>
    <w:p>
      <w:pPr>
        <w:spacing w:after="120" w:before="120"/>
      </w:pPr>
      <w:r>
        <w:rPr>
          <w:rFonts w:ascii="Courier New" w:cs="Courier New" w:eastAsia="Courier New" w:hAnsi="Courier New"/>
          <w:b/>
          <w:bCs/>
          <w:sz w:val="20"/>
          <w:szCs w:val="20"/>
        </w:rPr>
        <w:t xml:space="preserve">   V_relativa = V_misil_defensor + V_ASM</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500"/>
        <w:gridCol w:w="2430"/>
        <w:gridCol w:w="2430"/>
      </w:tblGrid>
      <w:tr>
        <w:tc>
          <w:tcPr>
            <w:tcW w:type="dxa" w:w="45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left"/>
            </w:pPr>
            <w:r>
              <w:rPr>
                <w:rFonts w:ascii="Arial" w:cs="Arial" w:eastAsia="Arial" w:hAnsi="Arial"/>
                <w:b/>
                <w:bCs/>
                <w:color w:val="FFFFFF"/>
                <w:sz w:val="18"/>
                <w:szCs w:val="18"/>
              </w:rPr>
              <w:t xml:space="preserve">Sistema</w:t>
            </w:r>
          </w:p>
        </w:tc>
        <w:tc>
          <w:tcPr>
            <w:tcW w:type="dxa" w:w="26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V. relativa head-on (kn)</w:t>
            </w:r>
          </w:p>
        </w:tc>
        <w:tc>
          <w:tcPr>
            <w:tcW w:type="dxa" w:w="26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V. relativa tail-on (kn)</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ESSM vs ASM</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600 + 550 = 1.150 kn</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600 - 550 = 50 kn</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SM-2 vs ASM</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900 + 550 = 1.450 kn</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900 - 550 = 350 kn</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Sea Ceptor vs ASM</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600 + 550 = 1.150 kn</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600 - 550 = 50 kn</w:t>
            </w:r>
          </w:p>
        </w:tc>
      </w:tr>
    </w:tbl>
    <w:p>
      <w:pPr>
        <w:spacing w:after="120"/>
      </w:pPr>
    </w:p>
    <w:p>
      <w:pPr>
        <w:pStyle w:val="Heading2"/>
        <w:spacing w:after="120" w:before="240"/>
      </w:pPr>
      <w:r>
        <w:rPr>
          <w:rFonts w:ascii="Arial" w:cs="Arial" w:eastAsia="Arial" w:hAnsi="Arial"/>
          <w:b/>
          <w:bCs/>
          <w:color w:val="2E5090"/>
          <w:sz w:val="24"/>
          <w:szCs w:val="24"/>
        </w:rPr>
        <w:t xml:space="preserve">4.2 Conversion de Unidades y Tiempo de Vuelo</w:t>
      </w:r>
    </w:p>
    <w:p>
      <w:pPr>
        <w:spacing w:after="120"/>
        <w:jc w:val="both"/>
      </w:pPr>
      <w:r>
        <w:rPr>
          <w:rFonts w:ascii="Arial" w:cs="Arial" w:eastAsia="Arial" w:hAnsi="Arial"/>
          <w:sz w:val="20"/>
          <w:szCs w:val="20"/>
        </w:rPr>
        <w:t xml:space="preserve">Para convertir de nudos a metros por segundo se usa el factor 0.5144 (1 nudo = 0.5144 m/s). El tiempo de vuelo del ASM en un rango dado es:</w:t>
      </w:r>
    </w:p>
    <w:p>
      <w:pPr>
        <w:spacing w:after="120" w:before="120"/>
      </w:pPr>
      <w:r>
        <w:rPr>
          <w:rFonts w:ascii="Courier New" w:cs="Courier New" w:eastAsia="Courier New" w:hAnsi="Courier New"/>
          <w:b/>
          <w:bCs/>
          <w:sz w:val="20"/>
          <w:szCs w:val="20"/>
        </w:rPr>
        <w:t xml:space="preserve">   T_vuelo(s) = Distancia(mn) x 1852 / (V_ASM(kn) x 0.5144)</w:t>
      </w:r>
    </w:p>
    <w:p>
      <w:pPr>
        <w:spacing w:after="120"/>
        <w:jc w:val="both"/>
      </w:pPr>
      <w:r>
        <w:rPr>
          <w:rFonts w:ascii="Arial" w:cs="Arial" w:eastAsia="Arial" w:hAnsi="Arial"/>
          <w:sz w:val="20"/>
          <w:szCs w:val="20"/>
        </w:rPr>
        <w:t xml:space="preserve">La ventana de intercepcion es el tiempo disponible desde que el misil defensor es lanzado hasta que el ASM supera la distancia minima de engagement. El tiempo lanzamiento (2 segundos) se descuenta del tiempo disponible neto.</w:t>
      </w:r>
    </w:p>
    <w:p>
      <w:pPr>
        <w:pStyle w:val="Heading1"/>
        <w:spacing w:after="180" w:before="360"/>
      </w:pPr>
      <w:r>
        <w:rPr>
          <w:rFonts w:ascii="Arial" w:cs="Arial" w:eastAsia="Arial" w:hAnsi="Arial"/>
          <w:b/>
          <w:bCs/>
          <w:color w:val="1F3864"/>
          <w:sz w:val="28"/>
          <w:szCs w:val="28"/>
        </w:rPr>
        <w:t xml:space="preserve">5. PROBABILIDAD DE DESTRUCCION (Pk)</w:t>
      </w:r>
    </w:p>
    <w:p>
      <w:pPr>
        <w:pStyle w:val="Heading2"/>
        <w:spacing w:after="120" w:before="240"/>
      </w:pPr>
      <w:r>
        <w:rPr>
          <w:rFonts w:ascii="Arial" w:cs="Arial" w:eastAsia="Arial" w:hAnsi="Arial"/>
          <w:b/>
          <w:bCs/>
          <w:color w:val="2E5090"/>
          <w:sz w:val="24"/>
          <w:szCs w:val="24"/>
        </w:rPr>
        <w:t xml:space="preserve">5.1 Formula General</w:t>
      </w:r>
    </w:p>
    <w:p>
      <w:pPr>
        <w:spacing w:after="120"/>
        <w:jc w:val="both"/>
      </w:pPr>
      <w:r>
        <w:rPr>
          <w:rFonts w:ascii="Arial" w:cs="Arial" w:eastAsia="Arial" w:hAnsi="Arial"/>
          <w:sz w:val="20"/>
          <w:szCs w:val="20"/>
        </w:rPr>
        <w:t xml:space="preserve">La probabilidad de destruccion de un misil enemigo con n salvas es:</w:t>
      </w:r>
    </w:p>
    <w:p>
      <w:pPr>
        <w:spacing w:after="160" w:before="160"/>
        <w:jc w:val="center"/>
      </w:pPr>
      <w:r>
        <w:rPr>
          <w:rFonts w:ascii="Courier New" w:cs="Courier New" w:eastAsia="Courier New" w:hAnsi="Courier New"/>
          <w:b/>
          <w:bCs/>
          <w:color w:val="8B0000"/>
          <w:sz w:val="22"/>
          <w:szCs w:val="22"/>
        </w:rPr>
        <w:t xml:space="preserve">   Pk = 1 - (1 - Pd x Pss)^n</w:t>
      </w:r>
    </w:p>
    <w:p>
      <w:pPr>
        <w:spacing w:after="120"/>
        <w:jc w:val="both"/>
      </w:pPr>
      <w:r>
        <w:rPr>
          <w:rFonts w:ascii="Arial" w:cs="Arial" w:eastAsia="Arial" w:hAnsi="Arial"/>
          <w:sz w:val="20"/>
          <w:szCs w:val="20"/>
        </w:rPr>
        <w:t xml:space="preserve">Donde:</w:t>
      </w:r>
    </w:p>
    <w:p>
      <w:pPr>
        <w:pStyle w:val="ListParagraph"/>
        <w:numPr>
          <w:ilvl w:val="0"/>
          <w:numId w:val="2"/>
        </w:numPr>
        <w:spacing w:after="80"/>
      </w:pPr>
      <w:r>
        <w:rPr>
          <w:rFonts w:ascii="Arial" w:cs="Arial" w:eastAsia="Arial" w:hAnsi="Arial"/>
          <w:sz w:val="20"/>
          <w:szCs w:val="20"/>
        </w:rPr>
        <w:t xml:space="preserve">Pd = Probabilidad de deteccion/track del misil enemigo en la zona de engagement (%)</w:t>
      </w:r>
    </w:p>
    <w:p>
      <w:pPr>
        <w:pStyle w:val="ListParagraph"/>
        <w:numPr>
          <w:ilvl w:val="0"/>
          <w:numId w:val="2"/>
        </w:numPr>
        <w:spacing w:after="80"/>
      </w:pPr>
      <w:r>
        <w:rPr>
          <w:rFonts w:ascii="Arial" w:cs="Arial" w:eastAsia="Arial" w:hAnsi="Arial"/>
          <w:sz w:val="20"/>
          <w:szCs w:val="20"/>
        </w:rPr>
        <w:t xml:space="preserve">Pss = Probabilidad de destruccion del misil defensor individual (Single-Shot Kill Probability)</w:t>
      </w:r>
    </w:p>
    <w:p>
      <w:pPr>
        <w:pStyle w:val="ListParagraph"/>
        <w:numPr>
          <w:ilvl w:val="0"/>
          <w:numId w:val="2"/>
        </w:numPr>
        <w:spacing w:after="80"/>
      </w:pPr>
      <w:r>
        <w:rPr>
          <w:rFonts w:ascii="Arial" w:cs="Arial" w:eastAsia="Arial" w:hAnsi="Arial"/>
          <w:sz w:val="20"/>
          <w:szCs w:val="20"/>
        </w:rPr>
        <w:t xml:space="preserve">n = Numero de salvas (misiles defensores lanzados contra el mismo blanco)</w:t>
      </w:r>
    </w:p>
    <w:p>
      <w:pPr>
        <w:pStyle w:val="Heading2"/>
        <w:spacing w:after="120" w:before="240"/>
      </w:pPr>
      <w:r>
        <w:rPr>
          <w:rFonts w:ascii="Arial" w:cs="Arial" w:eastAsia="Arial" w:hAnsi="Arial"/>
          <w:b/>
          <w:bCs/>
          <w:color w:val="2E5090"/>
          <w:sz w:val="24"/>
          <w:szCs w:val="24"/>
        </w:rPr>
        <w:t xml:space="preserve">5.2 Valores de Pss Utilizados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500"/>
        <w:gridCol w:w="2430"/>
        <w:gridCol w:w="2430"/>
      </w:tblGrid>
      <w:tr>
        <w:tc>
          <w:tcPr>
            <w:tcW w:type="dxa" w:w="45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left"/>
            </w:pPr>
            <w:r>
              <w:rPr>
                <w:rFonts w:ascii="Arial" w:cs="Arial" w:eastAsia="Arial" w:hAnsi="Arial"/>
                <w:b/>
                <w:bCs/>
                <w:color w:val="FFFFFF"/>
                <w:sz w:val="18"/>
                <w:szCs w:val="18"/>
              </w:rPr>
              <w:t xml:space="preserve">Sistema</w:t>
            </w:r>
          </w:p>
        </w:tc>
        <w:tc>
          <w:tcPr>
            <w:tcW w:type="dxa" w:w="26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Pss (estimado)</w:t>
            </w:r>
          </w:p>
        </w:tc>
        <w:tc>
          <w:tcPr>
            <w:tcW w:type="dxa" w:w="26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Referencia</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ESSM</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0.70 (70%)</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Estandar OTAN SAM moderno</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SM-2</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0.75 (75%)</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Misil de mayor alcance/precision</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Sea Ceptor (CAMM)</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0.70 (70%)</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Estandar misil punto</w:t>
            </w:r>
          </w:p>
        </w:tc>
      </w:tr>
    </w:tbl>
    <w:p>
      <w:pPr>
        <w:spacing w:after="180"/>
      </w:pPr>
    </w:p>
    <w:p>
      <w:pPr>
        <w:pStyle w:val="Heading2"/>
        <w:spacing w:after="120" w:before="240"/>
      </w:pPr>
      <w:r>
        <w:rPr>
          <w:rFonts w:ascii="Arial" w:cs="Arial" w:eastAsia="Arial" w:hAnsi="Arial"/>
          <w:b/>
          <w:bCs/>
          <w:color w:val="2E5090"/>
          <w:sz w:val="24"/>
          <w:szCs w:val="24"/>
        </w:rPr>
        <w:t xml:space="preserve">5.3 Pk con Salva Doble (n=2)</w:t>
      </w:r>
    </w:p>
    <w:p>
      <w:pPr>
        <w:spacing w:after="120"/>
        <w:jc w:val="both"/>
      </w:pPr>
      <w:r>
        <w:rPr>
          <w:rFonts w:ascii="Arial" w:cs="Arial" w:eastAsia="Arial" w:hAnsi="Arial"/>
          <w:sz w:val="20"/>
          <w:szCs w:val="20"/>
        </w:rPr>
        <w:t xml:space="preserve">Lanzar dos misiles contra el mismo ASM aumenta el Pk por complementariedad:</w:t>
      </w:r>
    </w:p>
    <w:p>
      <w:pPr>
        <w:spacing w:after="120" w:before="120"/>
      </w:pPr>
      <w:r>
        <w:rPr>
          <w:rFonts w:ascii="Courier New" w:cs="Courier New" w:eastAsia="Courier New" w:hAnsi="Courier New"/>
          <w:b/>
          <w:bCs/>
          <w:sz w:val="20"/>
          <w:szCs w:val="20"/>
        </w:rPr>
        <w:t xml:space="preserve">   Pk_doble = 1 - (1 - Pd x Pss)^2</w:t>
      </w:r>
    </w:p>
    <w:p>
      <w:pPr>
        <w:spacing w:after="120"/>
        <w:jc w:val="both"/>
      </w:pPr>
      <w:r>
        <w:rPr>
          <w:rFonts w:ascii="Arial" w:cs="Arial" w:eastAsia="Arial" w:hAnsi="Arial"/>
          <w:sz w:val="20"/>
          <w:szCs w:val="20"/>
        </w:rPr>
        <w:t xml:space="preserve">Ejemplo: con Pd=0.80 y Pss=0.70: Pk_simple = 1 - (1-0.56) = 56%, Pk_doble = 1 - (0.44)^2 = 80.6%.</w:t>
      </w:r>
    </w:p>
    <w:p>
      <w:pPr>
        <w:pStyle w:val="Heading2"/>
        <w:spacing w:after="120" w:before="240"/>
      </w:pPr>
      <w:r>
        <w:rPr>
          <w:rFonts w:ascii="Arial" w:cs="Arial" w:eastAsia="Arial" w:hAnsi="Arial"/>
          <w:b/>
          <w:bCs/>
          <w:color w:val="2E5090"/>
          <w:sz w:val="24"/>
          <w:szCs w:val="24"/>
        </w:rPr>
        <w:t xml:space="preserve">5.4 Pk Total del Grupo de Tarea (Defensa en Capas)</w:t>
      </w:r>
    </w:p>
    <w:p>
      <w:pPr>
        <w:spacing w:after="120"/>
        <w:jc w:val="both"/>
      </w:pPr>
      <w:r>
        <w:rPr>
          <w:rFonts w:ascii="Arial" w:cs="Arial" w:eastAsia="Arial" w:hAnsi="Arial"/>
          <w:sz w:val="20"/>
          <w:szCs w:val="20"/>
        </w:rPr>
        <w:t xml:space="preserve">Dado que ambos buques actuan en capas independientes (si el ESSM falla, el Sea Ceptor tiene otra oportunidad), la probabilidad de que el ASM NO sea destruido es el producto de las probabilidades de supervivencia individuales:</w:t>
      </w:r>
    </w:p>
    <w:p>
      <w:pPr>
        <w:spacing w:after="160" w:before="160"/>
        <w:jc w:val="center"/>
      </w:pPr>
      <w:r>
        <w:rPr>
          <w:rFonts w:ascii="Courier New" w:cs="Courier New" w:eastAsia="Courier New" w:hAnsi="Courier New"/>
          <w:b/>
          <w:bCs/>
          <w:color w:val="8B0000"/>
          <w:sz w:val="22"/>
          <w:szCs w:val="22"/>
        </w:rPr>
        <w:t xml:space="preserve">   Pk_TOTAL = 1 - (1 - Pk_FFG) x (1 - Pk_FF23)</w:t>
      </w:r>
    </w:p>
    <w:p>
      <w:pPr>
        <w:spacing w:after="120"/>
        <w:jc w:val="both"/>
      </w:pPr>
      <w:r>
        <w:rPr>
          <w:rFonts w:ascii="Arial" w:cs="Arial" w:eastAsia="Arial" w:hAnsi="Arial"/>
          <w:sz w:val="20"/>
          <w:szCs w:val="20"/>
        </w:rPr>
        <w:t xml:space="preserve">Este modelo de defensa en capas es el principio central de la arquitectura de defensa en area (AAW) de la OTAN.</w:t>
      </w:r>
    </w:p>
    <w:p>
      <w:pPr>
        <w:pStyle w:val="Heading1"/>
        <w:spacing w:after="180" w:before="360"/>
      </w:pPr>
      <w:r>
        <w:rPr>
          <w:rFonts w:ascii="Arial" w:cs="Arial" w:eastAsia="Arial" w:hAnsi="Arial"/>
          <w:b/>
          <w:bCs/>
          <w:color w:val="1F3864"/>
          <w:sz w:val="28"/>
          <w:szCs w:val="28"/>
        </w:rPr>
        <w:t xml:space="preserve">6. POSICIONAMIENTO TACTICO</w:t>
      </w:r>
    </w:p>
    <w:p>
      <w:pPr>
        <w:pStyle w:val="Heading2"/>
        <w:spacing w:after="120" w:before="240"/>
      </w:pPr>
      <w:r>
        <w:rPr>
          <w:rFonts w:ascii="Arial" w:cs="Arial" w:eastAsia="Arial" w:hAnsi="Arial"/>
          <w:b/>
          <w:bCs/>
          <w:color w:val="2E5090"/>
          <w:sz w:val="24"/>
          <w:szCs w:val="24"/>
        </w:rPr>
        <w:t xml:space="preserve">6.1 Zonas de Cobertura</w:t>
      </w:r>
    </w:p>
    <w:p>
      <w:pPr>
        <w:spacing w:after="120"/>
        <w:jc w:val="both"/>
      </w:pPr>
      <w:r>
        <w:rPr>
          <w:rFonts w:ascii="Arial" w:cs="Arial" w:eastAsia="Arial" w:hAnsi="Arial"/>
          <w:sz w:val="20"/>
          <w:szCs w:val="20"/>
        </w:rPr>
        <w:t xml:space="preserve">El eje de amenaza se establece en 000 grados (norte). Las zonas de cobertura de cada unidad se miden en yardas desde el HVU:</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600"/>
        <w:gridCol w:w="2880"/>
        <w:gridCol w:w="2880"/>
      </w:tblGrid>
      <w:tr>
        <w:tc>
          <w:tcPr>
            <w:tcW w:type="dxa" w:w="45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left"/>
            </w:pPr>
            <w:r>
              <w:rPr>
                <w:rFonts w:ascii="Arial" w:cs="Arial" w:eastAsia="Arial" w:hAnsi="Arial"/>
                <w:b/>
                <w:bCs/>
                <w:color w:val="FFFFFF"/>
                <w:sz w:val="18"/>
                <w:szCs w:val="18"/>
              </w:rPr>
              <w:t xml:space="preserve">Unidad</w:t>
            </w:r>
          </w:p>
        </w:tc>
        <w:tc>
          <w:tcPr>
            <w:tcW w:type="dxa" w:w="26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Distancia minima al HVU</w:t>
            </w:r>
          </w:p>
        </w:tc>
        <w:tc>
          <w:tcPr>
            <w:tcW w:type="dxa" w:w="2600"/>
            <w:tcBorders>
              <w:top w:val="single" w:color="CCCCCC" w:sz="1"/>
              <w:left w:val="single" w:color="CCCCCC" w:sz="1"/>
              <w:bottom w:val="single" w:color="CCCCCC" w:sz="1"/>
              <w:right w:val="single" w:color="CCCCCC" w:sz="1"/>
            </w:tcBorders>
            <w:shd w:fill="1F3864"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Distancia maxima al HVU</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FFG Adelaide</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2.000 yardas</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5.000 yardas</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FF23</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500 yardas</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2.000 yardas</w:t>
            </w:r>
          </w:p>
        </w:tc>
      </w:tr>
      <w:tr>
        <w:tc>
          <w:tcPr>
            <w:tcW w:type="dxa" w:w="45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left"/>
            </w:pPr>
            <w:r>
              <w:rPr>
                <w:rFonts w:ascii="Arial" w:cs="Arial" w:eastAsia="Arial" w:hAnsi="Arial"/>
                <w:b w:val="false"/>
                <w:bCs w:val="false"/>
                <w:color w:val="000000"/>
                <w:sz w:val="18"/>
                <w:szCs w:val="18"/>
              </w:rPr>
              <w:t xml:space="preserve">HVU</w:t>
            </w:r>
          </w:p>
        </w:tc>
        <w:tc>
          <w:tcPr>
            <w:tcW w:type="dxa" w:w="26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w:t>
            </w:r>
          </w:p>
        </w:tc>
        <w:tc>
          <w:tcPr>
            <w:tcW w:type="dxa" w:w="2600"/>
            <w:tcBorders>
              <w:top w:val="single" w:color="CCCCCC" w:sz="1"/>
              <w:left w:val="single" w:color="CCCCCC" w:sz="1"/>
              <w:bottom w:val="single" w:color="CCCCCC" w:sz="1"/>
              <w:right w:val="single" w:color="CCCCCC" w:sz="1"/>
            </w:tcBorders>
            <w:shd w:fill="F5F5F5" w:val="clear"/>
            <w:tcMar>
              <w:top w:type="dxa" w:w="80"/>
              <w:left w:type="dxa" w:w="120"/>
              <w:bottom w:type="dxa" w:w="80"/>
              <w:right w:type="dxa" w:w="120"/>
            </w:tcMar>
          </w:tcPr>
          <w:p>
            <w:pPr>
              <w:jc w:val="center"/>
            </w:pPr>
            <w:r>
              <w:rPr>
                <w:rFonts w:ascii="Arial" w:cs="Arial" w:eastAsia="Arial" w:hAnsi="Arial"/>
                <w:b w:val="false"/>
                <w:bCs w:val="false"/>
                <w:color w:val="000000"/>
                <w:sz w:val="18"/>
                <w:szCs w:val="18"/>
              </w:rPr>
              <w:t xml:space="preserve">Sin capacidad defensiva</w:t>
            </w:r>
          </w:p>
        </w:tc>
      </w:tr>
    </w:tbl>
    <w:p>
      <w:pPr>
        <w:spacing w:after="180"/>
      </w:pPr>
    </w:p>
    <w:p>
      <w:pPr>
        <w:spacing w:after="120"/>
        <w:jc w:val="both"/>
      </w:pPr>
      <w:r>
        <w:rPr>
          <w:rFonts w:ascii="Arial" w:cs="Arial" w:eastAsia="Arial" w:hAnsi="Arial"/>
          <w:sz w:val="20"/>
          <w:szCs w:val="20"/>
        </w:rPr>
        <w:t xml:space="preserve">La posicion optima de la FFG en el eje de amenaza es a 3.500 yardas del HVU, marcacion 180 grados (sobre el eje de amenaza, interponiendo su cuerpo entre el HVU y el sector de amenaza desde proa). La FF23 se posiciona a 1.250 yardas en marcacion 225 grados para cobertura de cuarta.</w:t>
      </w:r>
    </w:p>
    <w:p>
      <w:pPr>
        <w:pStyle w:val="Heading2"/>
        <w:spacing w:after="120" w:before="240"/>
      </w:pPr>
      <w:r>
        <w:rPr>
          <w:rFonts w:ascii="Arial" w:cs="Arial" w:eastAsia="Arial" w:hAnsi="Arial"/>
          <w:b/>
          <w:bCs/>
          <w:color w:val="2E5090"/>
          <w:sz w:val="24"/>
          <w:szCs w:val="24"/>
        </w:rPr>
        <w:t xml:space="preserve">6.2 Conversion de Coordenadas</w:t>
      </w:r>
    </w:p>
    <w:p>
      <w:pPr>
        <w:spacing w:after="120"/>
        <w:jc w:val="both"/>
      </w:pPr>
      <w:r>
        <w:rPr>
          <w:rFonts w:ascii="Arial" w:cs="Arial" w:eastAsia="Arial" w:hAnsi="Arial"/>
          <w:sz w:val="20"/>
          <w:szCs w:val="20"/>
        </w:rPr>
        <w:t xml:space="preserve">Las posiciones de los buques se expresan en coordenadas cartesianas (X, Y) con el HVU como origen:</w:t>
      </w:r>
    </w:p>
    <w:p>
      <w:pPr>
        <w:spacing w:after="40" w:before="80"/>
      </w:pPr>
      <w:r>
        <w:rPr>
          <w:rFonts w:ascii="Courier New" w:cs="Courier New" w:eastAsia="Courier New" w:hAnsi="Courier New"/>
          <w:sz w:val="20"/>
          <w:szCs w:val="20"/>
        </w:rPr>
        <w:t xml:space="preserve">   X = Distancia_yd x SIN(marcacion_rad)</w:t>
      </w:r>
    </w:p>
    <w:p>
      <w:pPr>
        <w:spacing w:after="120" w:before="40"/>
      </w:pPr>
      <w:r>
        <w:rPr>
          <w:rFonts w:ascii="Courier New" w:cs="Courier New" w:eastAsia="Courier New" w:hAnsi="Courier New"/>
          <w:sz w:val="20"/>
          <w:szCs w:val="20"/>
        </w:rPr>
        <w:t xml:space="preserve">   Y = Distancia_yd x COS(marcacion_rad)</w:t>
      </w:r>
    </w:p>
    <w:p>
      <w:pPr>
        <w:spacing w:after="120"/>
        <w:jc w:val="both"/>
      </w:pPr>
      <w:r>
        <w:rPr>
          <w:rFonts w:ascii="Arial" w:cs="Arial" w:eastAsia="Arial" w:hAnsi="Arial"/>
          <w:sz w:val="20"/>
          <w:szCs w:val="20"/>
        </w:rPr>
        <w:t xml:space="preserve">Los circulos de alcance de misiles se generan calculando 37 puntos (cada 10 grados) alrededor del centro de cada unidad, usando las formulas trigonometricas circulares con el radio equivalente al alcance del misil convertido a yardas (1 mn = 2.025,4 yd).</w:t>
      </w:r>
    </w:p>
    <w:p>
      <w:pPr>
        <w:pStyle w:val="Heading1"/>
        <w:spacing w:after="180" w:before="360"/>
      </w:pPr>
      <w:r>
        <w:rPr>
          <w:rFonts w:ascii="Arial" w:cs="Arial" w:eastAsia="Arial" w:hAnsi="Arial"/>
          <w:b/>
          <w:bCs/>
          <w:color w:val="1F3864"/>
          <w:sz w:val="28"/>
          <w:szCs w:val="28"/>
        </w:rPr>
        <w:t xml:space="preserve">7. SIMULACION DE MONTE CARLO</w:t>
      </w:r>
    </w:p>
    <w:p>
      <w:pPr>
        <w:spacing w:after="120"/>
        <w:jc w:val="both"/>
      </w:pPr>
      <w:r>
        <w:rPr>
          <w:rFonts w:ascii="Arial" w:cs="Arial" w:eastAsia="Arial" w:hAnsi="Arial"/>
          <w:sz w:val="20"/>
          <w:szCs w:val="20"/>
        </w:rPr>
        <w:t xml:space="preserve">La hoja 3_MONTECARLO genera 50 escenarios aleatorios donde la distancia de lanzamiento del ASM varia aleatoriamente entre 1 y 60 mn (usando RANDBETWEEN). Para cada escenario se calcula:</w:t>
      </w:r>
    </w:p>
    <w:p>
      <w:pPr>
        <w:pStyle w:val="ListParagraph"/>
        <w:numPr>
          <w:ilvl w:val="0"/>
          <w:numId w:val="2"/>
        </w:numPr>
        <w:spacing w:after="80"/>
      </w:pPr>
      <w:r>
        <w:rPr>
          <w:rFonts w:ascii="Arial" w:cs="Arial" w:eastAsia="Arial" w:hAnsi="Arial"/>
          <w:sz w:val="20"/>
          <w:szCs w:val="20"/>
        </w:rPr>
        <w:t xml:space="preserve">Pd interpolada segun la distancia.</w:t>
      </w:r>
    </w:p>
    <w:p>
      <w:pPr>
        <w:pStyle w:val="ListParagraph"/>
        <w:numPr>
          <w:ilvl w:val="0"/>
          <w:numId w:val="2"/>
        </w:numPr>
        <w:spacing w:after="80"/>
      </w:pPr>
      <w:r>
        <w:rPr>
          <w:rFonts w:ascii="Arial" w:cs="Arial" w:eastAsia="Arial" w:hAnsi="Arial"/>
          <w:sz w:val="20"/>
          <w:szCs w:val="20"/>
        </w:rPr>
        <w:t xml:space="preserve">Pk del ESSM (si el ASM esta dentro del rango de 25 mn de la FFG).</w:t>
      </w:r>
    </w:p>
    <w:p>
      <w:pPr>
        <w:pStyle w:val="ListParagraph"/>
        <w:numPr>
          <w:ilvl w:val="0"/>
          <w:numId w:val="2"/>
        </w:numPr>
        <w:spacing w:after="80"/>
      </w:pPr>
      <w:r>
        <w:rPr>
          <w:rFonts w:ascii="Arial" w:cs="Arial" w:eastAsia="Arial" w:hAnsi="Arial"/>
          <w:sz w:val="20"/>
          <w:szCs w:val="20"/>
        </w:rPr>
        <w:t xml:space="preserve">Pk del Sea Ceptor (si el ASM esta dentro del rango de 12 mn de la FF23).</w:t>
      </w:r>
    </w:p>
    <w:p>
      <w:pPr>
        <w:pStyle w:val="ListParagraph"/>
        <w:numPr>
          <w:ilvl w:val="0"/>
          <w:numId w:val="2"/>
        </w:numPr>
        <w:spacing w:after="80"/>
      </w:pPr>
      <w:r>
        <w:rPr>
          <w:rFonts w:ascii="Arial" w:cs="Arial" w:eastAsia="Arial" w:hAnsi="Arial"/>
          <w:sz w:val="20"/>
          <w:szCs w:val="20"/>
        </w:rPr>
        <w:t xml:space="preserve">Pk total por defensa en capas.</w:t>
      </w:r>
    </w:p>
    <w:p>
      <w:pPr>
        <w:pStyle w:val="ListParagraph"/>
        <w:numPr>
          <w:ilvl w:val="0"/>
          <w:numId w:val="2"/>
        </w:numPr>
        <w:spacing w:after="80"/>
      </w:pPr>
      <w:r>
        <w:rPr>
          <w:rFonts w:ascii="Arial" w:cs="Arial" w:eastAsia="Arial" w:hAnsi="Arial"/>
          <w:sz w:val="20"/>
          <w:szCs w:val="20"/>
        </w:rPr>
        <w:t xml:space="preserve">Decision binaria: el ASM es neutralizado (Pk &gt; 50%) o puede impactar el HVU.</w:t>
      </w:r>
    </w:p>
    <w:p>
      <w:pPr>
        <w:spacing w:after="120"/>
        <w:jc w:val="both"/>
      </w:pPr>
      <w:r>
        <w:rPr>
          <w:rFonts w:ascii="Arial" w:cs="Arial" w:eastAsia="Arial" w:hAnsi="Arial"/>
          <w:sz w:val="20"/>
          <w:szCs w:val="20"/>
        </w:rPr>
        <w:t xml:space="preserve">El resumen estadistico calcula el Pk promedio, maximo, minimo y el porcentaje de escenarios en los que el ASM es neutralizado. Presionar F9 recalcula todos los escenarios con nuevos valores aleatorios.</w:t>
      </w:r>
    </w:p>
    <w:p>
      <w:pPr>
        <w:pStyle w:val="Heading1"/>
        <w:spacing w:after="180" w:before="360"/>
      </w:pPr>
      <w:r>
        <w:rPr>
          <w:rFonts w:ascii="Arial" w:cs="Arial" w:eastAsia="Arial" w:hAnsi="Arial"/>
          <w:b/>
          <w:bCs/>
          <w:color w:val="1F3864"/>
          <w:sz w:val="28"/>
          <w:szCs w:val="28"/>
        </w:rPr>
        <w:t xml:space="preserve">8. HOJAS GRAFICAS (COORDENADAS PARA DIAGRAMAS)</w:t>
      </w:r>
    </w:p>
    <w:p>
      <w:pPr>
        <w:pStyle w:val="Heading2"/>
        <w:spacing w:after="120" w:before="240"/>
      </w:pPr>
      <w:r>
        <w:rPr>
          <w:rFonts w:ascii="Arial" w:cs="Arial" w:eastAsia="Arial" w:hAnsi="Arial"/>
          <w:b/>
          <w:bCs/>
          <w:color w:val="2E5090"/>
          <w:sz w:val="24"/>
          <w:szCs w:val="24"/>
        </w:rPr>
        <w:t xml:space="preserve">8.1 Hoja 4_DIAGRAMA_POLAR</w:t>
      </w:r>
    </w:p>
    <w:p>
      <w:pPr>
        <w:spacing w:after="120"/>
        <w:jc w:val="both"/>
      </w:pPr>
      <w:r>
        <w:rPr>
          <w:rFonts w:ascii="Arial" w:cs="Arial" w:eastAsia="Arial" w:hAnsi="Arial"/>
          <w:sz w:val="20"/>
          <w:szCs w:val="20"/>
        </w:rPr>
        <w:t xml:space="preserve">Contiene las coordenadas XY de tres circulos concentricos centrados en el HVU (origen 0,0):</w:t>
      </w:r>
    </w:p>
    <w:p>
      <w:pPr>
        <w:pStyle w:val="ListParagraph"/>
        <w:numPr>
          <w:ilvl w:val="0"/>
          <w:numId w:val="2"/>
        </w:numPr>
        <w:spacing w:after="80"/>
      </w:pPr>
      <w:r>
        <w:rPr>
          <w:rFonts w:ascii="Arial" w:cs="Arial" w:eastAsia="Arial" w:hAnsi="Arial"/>
          <w:sz w:val="20"/>
          <w:szCs w:val="20"/>
        </w:rPr>
        <w:t xml:space="preserve">R = 500 yardas: limite interior de la zona FF23 (capa terminal).</w:t>
      </w:r>
    </w:p>
    <w:p>
      <w:pPr>
        <w:pStyle w:val="ListParagraph"/>
        <w:numPr>
          <w:ilvl w:val="0"/>
          <w:numId w:val="2"/>
        </w:numPr>
        <w:spacing w:after="80"/>
      </w:pPr>
      <w:r>
        <w:rPr>
          <w:rFonts w:ascii="Arial" w:cs="Arial" w:eastAsia="Arial" w:hAnsi="Arial"/>
          <w:sz w:val="20"/>
          <w:szCs w:val="20"/>
        </w:rPr>
        <w:t xml:space="preserve">R = 2.000 yardas: limite exterior zona FF23 / limite interior zona FFG.</w:t>
      </w:r>
    </w:p>
    <w:p>
      <w:pPr>
        <w:pStyle w:val="ListParagraph"/>
        <w:numPr>
          <w:ilvl w:val="0"/>
          <w:numId w:val="2"/>
        </w:numPr>
        <w:spacing w:after="80"/>
      </w:pPr>
      <w:r>
        <w:rPr>
          <w:rFonts w:ascii="Arial" w:cs="Arial" w:eastAsia="Arial" w:hAnsi="Arial"/>
          <w:sz w:val="20"/>
          <w:szCs w:val="20"/>
        </w:rPr>
        <w:t xml:space="preserve">R = 5.000 yardas: limite exterior zona FFG.</w:t>
      </w:r>
    </w:p>
    <w:p>
      <w:pPr>
        <w:spacing w:after="120"/>
        <w:jc w:val="both"/>
      </w:pPr>
      <w:r>
        <w:rPr>
          <w:rFonts w:ascii="Arial" w:cs="Arial" w:eastAsia="Arial" w:hAnsi="Arial"/>
          <w:sz w:val="20"/>
          <w:szCs w:val="20"/>
        </w:rPr>
        <w:t xml:space="preserve">Ademas incluye los puntos de posicion de la FFG y la FF23 (columnas I-K), que se actualizan automaticamente al modificar distancia y marcacion en la hoja 1_DATOS. Para visualizar: seleccione los rangos XY e inserte un grafico de Dispersion (XY) en Excel.</w:t>
      </w:r>
    </w:p>
    <w:p>
      <w:pPr>
        <w:pStyle w:val="Heading2"/>
        <w:spacing w:after="120" w:before="240"/>
      </w:pPr>
      <w:r>
        <w:rPr>
          <w:rFonts w:ascii="Arial" w:cs="Arial" w:eastAsia="Arial" w:hAnsi="Arial"/>
          <w:b/>
          <w:bCs/>
          <w:color w:val="2E5090"/>
          <w:sz w:val="24"/>
          <w:szCs w:val="24"/>
        </w:rPr>
        <w:t xml:space="preserve">8.2 Hoja 5_RADIOS_MISILES</w:t>
      </w:r>
    </w:p>
    <w:p>
      <w:pPr>
        <w:spacing w:after="120"/>
        <w:jc w:val="both"/>
      </w:pPr>
      <w:r>
        <w:rPr>
          <w:rFonts w:ascii="Arial" w:cs="Arial" w:eastAsia="Arial" w:hAnsi="Arial"/>
          <w:sz w:val="20"/>
          <w:szCs w:val="20"/>
        </w:rPr>
        <w:t xml:space="preserve">Contiene dos conjuntos de coordenadas, uno por unidad:</w:t>
      </w:r>
    </w:p>
    <w:p>
      <w:pPr>
        <w:pStyle w:val="ListParagraph"/>
        <w:numPr>
          <w:ilvl w:val="0"/>
          <w:numId w:val="2"/>
        </w:numPr>
        <w:spacing w:after="80"/>
      </w:pPr>
      <w:r>
        <w:rPr>
          <w:rFonts w:ascii="Arial" w:cs="Arial" w:eastAsia="Arial" w:hAnsi="Arial"/>
          <w:sz w:val="20"/>
          <w:szCs w:val="20"/>
        </w:rPr>
        <w:t xml:space="preserve">FFG Adelaide: circulos de alcance ESSM (25 mn) y SM-2 (60 mn) centrados en la posicion actual de la FFG. Se actualizan con los datos de posicion.</w:t>
      </w:r>
    </w:p>
    <w:p>
      <w:pPr>
        <w:pStyle w:val="ListParagraph"/>
        <w:numPr>
          <w:ilvl w:val="0"/>
          <w:numId w:val="2"/>
        </w:numPr>
        <w:spacing w:after="80"/>
      </w:pPr>
      <w:r>
        <w:rPr>
          <w:rFonts w:ascii="Arial" w:cs="Arial" w:eastAsia="Arial" w:hAnsi="Arial"/>
          <w:sz w:val="20"/>
          <w:szCs w:val="20"/>
        </w:rPr>
        <w:t xml:space="preserve">FF23: circulo de alcance Sea Ceptor (12 mn) centrado en la posicion actual de la FF23.</w:t>
      </w:r>
    </w:p>
    <w:p>
      <w:pPr>
        <w:spacing w:after="120"/>
        <w:jc w:val="both"/>
      </w:pPr>
      <w:r>
        <w:rPr>
          <w:rFonts w:ascii="Arial" w:cs="Arial" w:eastAsia="Arial" w:hAnsi="Arial"/>
          <w:sz w:val="20"/>
          <w:szCs w:val="20"/>
        </w:rPr>
        <w:t xml:space="preserve">Las coordenadas estan en yardas usando la posicion relativa al HVU. Al variar la distancia o marcacion en 1_DATOS, todos los circulos se desplazan automaticamente.</w:t>
      </w:r>
    </w:p>
    <w:p>
      <w:pPr>
        <w:pStyle w:val="Heading1"/>
        <w:spacing w:after="180" w:before="360"/>
      </w:pPr>
      <w:r>
        <w:rPr>
          <w:rFonts w:ascii="Arial" w:cs="Arial" w:eastAsia="Arial" w:hAnsi="Arial"/>
          <w:b/>
          <w:bCs/>
          <w:color w:val="1F3864"/>
          <w:sz w:val="28"/>
          <w:szCs w:val="28"/>
        </w:rPr>
        <w:t xml:space="preserve">9. INSTRUCCIONES DE USO</w:t>
      </w:r>
    </w:p>
    <w:p>
      <w:pPr>
        <w:spacing w:after="120"/>
        <w:jc w:val="both"/>
      </w:pPr>
      <w:r>
        <w:rPr>
          <w:rFonts w:ascii="Arial" w:cs="Arial" w:eastAsia="Arial" w:hAnsi="Arial"/>
          <w:sz w:val="20"/>
          <w:szCs w:val="20"/>
        </w:rPr>
        <w:t xml:space="preserve">Para operar el modelo:</w:t>
      </w:r>
    </w:p>
    <w:p>
      <w:pPr>
        <w:pStyle w:val="ListParagraph"/>
        <w:numPr>
          <w:ilvl w:val="0"/>
          <w:numId w:val="2"/>
        </w:numPr>
        <w:spacing w:after="80"/>
      </w:pPr>
      <w:r>
        <w:rPr>
          <w:rFonts w:ascii="Arial" w:cs="Arial" w:eastAsia="Arial" w:hAnsi="Arial"/>
          <w:sz w:val="20"/>
          <w:szCs w:val="20"/>
        </w:rPr>
        <w:t xml:space="preserve">Ir a la hoja 1_DATOS y modificar UNICAMENTE las celdas resaltadas en color (columna C).</w:t>
      </w:r>
    </w:p>
    <w:p>
      <w:pPr>
        <w:pStyle w:val="ListParagraph"/>
        <w:numPr>
          <w:ilvl w:val="0"/>
          <w:numId w:val="2"/>
        </w:numPr>
        <w:spacing w:after="80"/>
      </w:pPr>
      <w:r>
        <w:rPr>
          <w:rFonts w:ascii="Arial" w:cs="Arial" w:eastAsia="Arial" w:hAnsi="Arial"/>
          <w:sz w:val="20"/>
          <w:szCs w:val="20"/>
        </w:rPr>
        <w:t xml:space="preserve">Todos los calculos en las demas hojas se actualizan automaticamente.</w:t>
      </w:r>
    </w:p>
    <w:p>
      <w:pPr>
        <w:pStyle w:val="ListParagraph"/>
        <w:numPr>
          <w:ilvl w:val="0"/>
          <w:numId w:val="2"/>
        </w:numPr>
        <w:spacing w:after="80"/>
      </w:pPr>
      <w:r>
        <w:rPr>
          <w:rFonts w:ascii="Arial" w:cs="Arial" w:eastAsia="Arial" w:hAnsi="Arial"/>
          <w:sz w:val="20"/>
          <w:szCs w:val="20"/>
        </w:rPr>
        <w:t xml:space="preserve">Para recalcular la simulacion Monte Carlo: presionar F9.</w:t>
      </w:r>
    </w:p>
    <w:p>
      <w:pPr>
        <w:pStyle w:val="ListParagraph"/>
        <w:numPr>
          <w:ilvl w:val="0"/>
          <w:numId w:val="2"/>
        </w:numPr>
        <w:spacing w:after="80"/>
      </w:pPr>
      <w:r>
        <w:rPr>
          <w:rFonts w:ascii="Arial" w:cs="Arial" w:eastAsia="Arial" w:hAnsi="Arial"/>
          <w:sz w:val="20"/>
          <w:szCs w:val="20"/>
        </w:rPr>
        <w:t xml:space="preserve">Para visualizar el diagrama polar: en la hoja 4_DIAGRAMA_POLAR, seleccionar C6:H42 e insertar Grafico de Dispersion (XY) con lineas suavizadas.</w:t>
      </w:r>
    </w:p>
    <w:p>
      <w:pPr>
        <w:pStyle w:val="ListParagraph"/>
        <w:numPr>
          <w:ilvl w:val="0"/>
          <w:numId w:val="2"/>
        </w:numPr>
        <w:spacing w:after="80"/>
      </w:pPr>
      <w:r>
        <w:rPr>
          <w:rFonts w:ascii="Arial" w:cs="Arial" w:eastAsia="Arial" w:hAnsi="Arial"/>
          <w:sz w:val="20"/>
          <w:szCs w:val="20"/>
        </w:rPr>
        <w:t xml:space="preserve">Para visualizar los radios de misiles por unidad: en la hoja 5_RADIOS_MISILES, crear dos graficos separados con los rangos de coordenadas indicados.</w:t>
      </w:r>
    </w:p>
    <w:p>
      <w:pPr>
        <w:pStyle w:val="ListParagraph"/>
        <w:numPr>
          <w:ilvl w:val="0"/>
          <w:numId w:val="2"/>
        </w:numPr>
        <w:spacing w:after="80"/>
      </w:pPr>
      <w:r>
        <w:rPr>
          <w:rFonts w:ascii="Arial" w:cs="Arial" w:eastAsia="Arial" w:hAnsi="Arial"/>
          <w:sz w:val="20"/>
          <w:szCs w:val="20"/>
        </w:rPr>
        <w:t xml:space="preserve">Los valores de Pd y Pk se actualizan en tiempo real en la hoja 2_CALCULOS y 6_RESUMEN.</w:t>
      </w:r>
    </w:p>
    <w:p>
      <w:pPr>
        <w:pStyle w:val="Heading1"/>
        <w:spacing w:after="180" w:before="360"/>
      </w:pPr>
      <w:r>
        <w:rPr>
          <w:rFonts w:ascii="Arial" w:cs="Arial" w:eastAsia="Arial" w:hAnsi="Arial"/>
          <w:b/>
          <w:bCs/>
          <w:color w:val="1F3864"/>
          <w:sz w:val="28"/>
          <w:szCs w:val="28"/>
        </w:rPr>
        <w:t xml:space="preserve">10. REFERENCIAS Y FUENTES</w:t>
      </w:r>
    </w:p>
    <w:p>
      <w:pPr>
        <w:pStyle w:val="ListParagraph"/>
        <w:numPr>
          <w:ilvl w:val="0"/>
          <w:numId w:val="2"/>
        </w:numPr>
        <w:spacing w:after="80"/>
      </w:pPr>
      <w:r>
        <w:rPr>
          <w:rFonts w:ascii="Arial" w:cs="Arial" w:eastAsia="Arial" w:hAnsi="Arial"/>
          <w:sz w:val="20"/>
          <w:szCs w:val="20"/>
        </w:rPr>
        <w:t xml:space="preserve">Raytheon RIM-162 ESSM Technical Data Sheet.</w:t>
      </w:r>
    </w:p>
    <w:p>
      <w:pPr>
        <w:pStyle w:val="ListParagraph"/>
        <w:numPr>
          <w:ilvl w:val="0"/>
          <w:numId w:val="2"/>
        </w:numPr>
        <w:spacing w:after="80"/>
      </w:pPr>
      <w:r>
        <w:rPr>
          <w:rFonts w:ascii="Arial" w:cs="Arial" w:eastAsia="Arial" w:hAnsi="Arial"/>
          <w:sz w:val="20"/>
          <w:szCs w:val="20"/>
        </w:rPr>
        <w:t xml:space="preserve">Raytheon RIM-66 SM-2 Standard Missile Specifications.</w:t>
      </w:r>
    </w:p>
    <w:p>
      <w:pPr>
        <w:pStyle w:val="ListParagraph"/>
        <w:numPr>
          <w:ilvl w:val="0"/>
          <w:numId w:val="2"/>
        </w:numPr>
        <w:spacing w:after="80"/>
      </w:pPr>
      <w:r>
        <w:rPr>
          <w:rFonts w:ascii="Arial" w:cs="Arial" w:eastAsia="Arial" w:hAnsi="Arial"/>
          <w:sz w:val="20"/>
          <w:szCs w:val="20"/>
        </w:rPr>
        <w:t xml:space="preserve">MBDA Sea Ceptor / CAMM Technical Documentation.</w:t>
      </w:r>
    </w:p>
    <w:p>
      <w:pPr>
        <w:pStyle w:val="ListParagraph"/>
        <w:numPr>
          <w:ilvl w:val="0"/>
          <w:numId w:val="2"/>
        </w:numPr>
        <w:spacing w:after="80"/>
      </w:pPr>
      <w:r>
        <w:rPr>
          <w:rFonts w:ascii="Arial" w:cs="Arial" w:eastAsia="Arial" w:hAnsi="Arial"/>
          <w:sz w:val="20"/>
          <w:szCs w:val="20"/>
        </w:rPr>
        <w:t xml:space="preserve">ATP-1(D) Allied Maritime Tactical Instructions and Procedures (OTAN).</w:t>
      </w:r>
    </w:p>
    <w:p>
      <w:pPr>
        <w:pStyle w:val="ListParagraph"/>
        <w:numPr>
          <w:ilvl w:val="0"/>
          <w:numId w:val="2"/>
        </w:numPr>
        <w:spacing w:after="80"/>
      </w:pPr>
      <w:r>
        <w:rPr>
          <w:rFonts w:ascii="Arial" w:cs="Arial" w:eastAsia="Arial" w:hAnsi="Arial"/>
          <w:sz w:val="20"/>
          <w:szCs w:val="20"/>
        </w:rPr>
        <w:t xml:space="preserve">Wayne P. Hughes Jr., 'Fleet Tactics and Coastal Combat', 2nd Ed. - Pk Formulae.</w:t>
      </w:r>
    </w:p>
    <w:p>
      <w:pPr>
        <w:pStyle w:val="ListParagraph"/>
        <w:numPr>
          <w:ilvl w:val="0"/>
          <w:numId w:val="2"/>
        </w:numPr>
        <w:spacing w:after="80"/>
      </w:pPr>
      <w:r>
        <w:rPr>
          <w:rFonts w:ascii="Arial" w:cs="Arial" w:eastAsia="Arial" w:hAnsi="Arial"/>
          <w:sz w:val="20"/>
          <w:szCs w:val="20"/>
        </w:rPr>
        <w:t xml:space="preserve">Modelacion de Pk: Fomula estandar de probabilidad de kill acumulada con n salvas independientes.</w:t>
      </w:r>
    </w:p>
    <w:p>
      <w:pPr>
        <w:pStyle w:val="ListParagraph"/>
        <w:numPr>
          <w:ilvl w:val="0"/>
          <w:numId w:val="2"/>
        </w:numPr>
        <w:spacing w:after="80"/>
      </w:pPr>
      <w:r>
        <w:rPr>
          <w:rFonts w:ascii="Arial" w:cs="Arial" w:eastAsia="Arial" w:hAnsi="Arial"/>
          <w:sz w:val="20"/>
          <w:szCs w:val="20"/>
        </w:rPr>
        <w:t xml:space="preserve">Conversion 1 nudo = 0.5144 m/s; 1 milla nautica = 1852 m = 2025.4 yardas.</w:t>
      </w:r>
    </w:p>
    <w:p>
      <w:r>
        <w:br w:type="page"/>
      </w:r>
    </w:p>
    <w:p>
      <w:pPr>
        <w:spacing w:before="1000"/>
        <w:jc w:val="center"/>
      </w:pPr>
      <w:r>
        <w:rPr>
          <w:rFonts w:ascii="Arial" w:cs="Arial" w:eastAsia="Arial" w:hAnsi="Arial"/>
          <w:b/>
          <w:bCs/>
          <w:color w:val="1F3864"/>
          <w:sz w:val="20"/>
          <w:szCs w:val="20"/>
        </w:rPr>
        <w:t xml:space="preserve">FIN DEL DOCUMENTO</w:t>
      </w:r>
    </w:p>
    <w:p>
      <w:pPr>
        <w:spacing w:after="180" w:before="360"/>
      </w:pPr>
      <w:r>
        <w:rPr>
          <w:rFonts w:ascii="Arial" w:cs="Arial" w:eastAsia="Arial" w:hAnsi="Arial"/>
          <w:b/>
          <w:bCs/>
          <w:color w:val="1F3864"/>
          <w:sz w:val="28"/>
          <w:szCs w:val="28"/>
        </w:rPr>
        <w:t xml:space="preserve">11. HOJA 7 – COBERTURA VISUAL MULTICONFIGURACION</w:t>
      </w:r>
    </w:p>
    <w:p>
      <w:pPr>
        <w:spacing w:after="120"/>
        <w:jc w:val="both"/>
      </w:pPr>
      <w:r>
        <w:rPr>
          <w:rFonts w:ascii="Arial" w:cs="Arial" w:eastAsia="Arial" w:hAnsi="Arial"/>
          <w:sz w:val="20"/>
          <w:szCs w:val="20"/>
        </w:rPr>
        <w:t xml:space="preserve">La hoja 7_COBERTURA_VISUAL permite analizar visualmente la cobertura defensiva de hasta 2 FFG Adelaide y 3 FF23 mediante un grafico de dispersion (XY) con circulos de radio que representan el alcance real de cada misil en yardas.</w:t>
      </w:r>
    </w:p>
    <w:p>
      <w:pPr>
        <w:spacing w:after="120" w:before="240"/>
      </w:pPr>
      <w:r>
        <w:rPr>
          <w:rFonts w:ascii="Arial" w:cs="Arial" w:eastAsia="Arial" w:hAnsi="Arial"/>
          <w:b/>
          <w:bCs/>
          <w:color w:val="2E5090"/>
          <w:sz w:val="24"/>
          <w:szCs w:val="24"/>
        </w:rPr>
        <w:t xml:space="preserve">11.1 Panel de Control</w:t>
      </w:r>
    </w:p>
    <w:p>
      <w:pPr>
        <w:pStyle w:val="ListParagraph"/>
        <w:numPr>
          <w:ilvl w:val="0"/>
          <w:numId w:val="3"/>
        </w:numPr>
      </w:pPr>
      <w:r>
        <w:rPr>
          <w:rFonts w:ascii="Arial" w:cs="Arial" w:eastAsia="Arial" w:hAnsi="Arial"/>
          <w:sz w:val="20"/>
          <w:szCs w:val="20"/>
        </w:rPr>
        <w:t xml:space="preserve">Celda C5 (lista desplegable): selecciona la configuracion activa entre las 6 posibles (1-FFG+1-FF23 hasta 2-FFG+3-FF23).</w:t>
      </w:r>
    </w:p>
    <w:p>
      <w:pPr>
        <w:pStyle w:val="ListParagraph"/>
        <w:numPr>
          <w:ilvl w:val="0"/>
          <w:numId w:val="3"/>
        </w:numPr>
      </w:pPr>
      <w:r>
        <w:rPr>
          <w:rFonts w:ascii="Arial" w:cs="Arial" w:eastAsia="Arial" w:hAnsi="Arial"/>
          <w:sz w:val="20"/>
          <w:szCs w:val="20"/>
        </w:rPr>
        <w:t xml:space="preserve">Celdas C7:D11 (fondo amarillo): distancia al HVU (yardas) y marcacion (grados) de cada buque. Modificar estos valores desplaza los circulos de cobertura en el grafico.</w:t>
      </w:r>
    </w:p>
    <w:p>
      <w:pPr>
        <w:pStyle w:val="ListParagraph"/>
        <w:numPr>
          <w:ilvl w:val="0"/>
          <w:numId w:val="3"/>
        </w:numPr>
      </w:pPr>
      <w:r>
        <w:rPr>
          <w:rFonts w:ascii="Arial" w:cs="Arial" w:eastAsia="Arial" w:hAnsi="Arial"/>
          <w:sz w:val="20"/>
          <w:szCs w:val="20"/>
        </w:rPr>
        <w:t xml:space="preserve">Columna G: indica SI/NO si cada buque esta activo en la configuracion seleccionada, calculado automaticamente con formulas IF.</w:t>
      </w:r>
    </w:p>
    <w:p>
      <w:pPr>
        <w:spacing w:after="120" w:before="240"/>
      </w:pPr>
      <w:r>
        <w:rPr>
          <w:rFonts w:ascii="Arial" w:cs="Arial" w:eastAsia="Arial" w:hAnsi="Arial"/>
          <w:b/>
          <w:bCs/>
          <w:color w:val="2E5090"/>
          <w:sz w:val="24"/>
          <w:szCs w:val="24"/>
        </w:rPr>
        <w:t xml:space="preserve">11.2 Generacion de Circulos de Cobertura</w:t>
      </w:r>
    </w:p>
    <w:p>
      <w:pPr>
        <w:spacing w:after="80"/>
      </w:pPr>
      <w:r>
        <w:rPr>
          <w:rFonts w:ascii="Arial" w:cs="Arial" w:eastAsia="Arial" w:hAnsi="Arial"/>
          <w:sz w:val="20"/>
          <w:szCs w:val="20"/>
        </w:rPr>
        <w:t xml:space="preserve">Para cada unidad se calculan 73 puntos XY (cada 5 grados de 0 a 360) usando las formulas:</w:t>
      </w:r>
    </w:p>
    <w:p>
      <w:pPr>
        <w:spacing w:after="40" w:before="80"/>
      </w:pPr>
      <w:r>
        <w:rPr>
          <w:rFonts w:ascii="Courier New" w:cs="Courier New" w:eastAsia="Courier New" w:hAnsi="Courier New"/>
          <w:b/>
          <w:bCs/>
          <w:sz w:val="20"/>
          <w:szCs w:val="20"/>
        </w:rPr>
        <w:t xml:space="preserve">   X = Radio_yd * SIN(angulo_rad) + Cx</w:t>
      </w:r>
    </w:p>
    <w:p>
      <w:pPr>
        <w:spacing w:after="120" w:before="40"/>
      </w:pPr>
      <w:r>
        <w:rPr>
          <w:rFonts w:ascii="Courier New" w:cs="Courier New" w:eastAsia="Courier New" w:hAnsi="Courier New"/>
          <w:b/>
          <w:bCs/>
          <w:sz w:val="20"/>
          <w:szCs w:val="20"/>
        </w:rPr>
        <w:t xml:space="preserve">   Y = Radio_yd * COS(angulo_rad) + Cy</w:t>
      </w:r>
    </w:p>
    <w:p>
      <w:pPr>
        <w:spacing w:after="120"/>
        <w:jc w:val="both"/>
      </w:pPr>
      <w:r>
        <w:rPr>
          <w:rFonts w:ascii="Arial" w:cs="Arial" w:eastAsia="Arial" w:hAnsi="Arial"/>
          <w:sz w:val="20"/>
          <w:szCs w:val="20"/>
        </w:rPr>
        <w:t xml:space="preserve">Donde Radio_yd es el alcance del misil en yardas (ESSM: 25mn x 2025.4 = 50.635 yd; Sea Ceptor: 12mn x 2025.4 = 24.305 yd), y (Cx, Cy) es la posicion del buque calculada desde su distancia y marcacion al HVU.</w:t>
      </w:r>
    </w:p>
    <w:p>
      <w:pPr>
        <w:spacing w:after="120" w:before="240"/>
      </w:pPr>
      <w:r>
        <w:rPr>
          <w:rFonts w:ascii="Arial" w:cs="Arial" w:eastAsia="Arial" w:hAnsi="Arial"/>
          <w:b/>
          <w:bCs/>
          <w:color w:val="2E5090"/>
          <w:sz w:val="24"/>
          <w:szCs w:val="24"/>
        </w:rPr>
        <w:t xml:space="preserve">11.3 Circulos de Referencia Fijos</w:t>
      </w:r>
    </w:p>
    <w:p>
      <w:pPr>
        <w:spacing w:after="80"/>
      </w:pPr>
      <w:r>
        <w:rPr>
          <w:rFonts w:ascii="Arial" w:cs="Arial" w:eastAsia="Arial" w:hAnsi="Arial"/>
          <w:sz w:val="20"/>
          <w:szCs w:val="20"/>
        </w:rPr>
        <w:t xml:space="preserve">Ademas de los radios de misiles, el grafico muestra tres circulos de referencia centrados en el HVU:</w:t>
      </w:r>
    </w:p>
    <w:p>
      <w:pPr>
        <w:pStyle w:val="ListParagraph"/>
        <w:numPr>
          <w:ilvl w:val="0"/>
          <w:numId w:val="3"/>
        </w:numPr>
      </w:pPr>
      <w:r>
        <w:rPr>
          <w:rFonts w:ascii="Arial" w:cs="Arial" w:eastAsia="Arial" w:hAnsi="Arial"/>
          <w:sz w:val="20"/>
          <w:szCs w:val="20"/>
        </w:rPr>
        <w:t xml:space="preserve">R = 500 yardas: limite interior de la zona de operacion FF23 (linia punteada verde).</w:t>
      </w:r>
    </w:p>
    <w:p>
      <w:pPr>
        <w:pStyle w:val="ListParagraph"/>
        <w:numPr>
          <w:ilvl w:val="0"/>
          <w:numId w:val="3"/>
        </w:numPr>
      </w:pPr>
      <w:r>
        <w:rPr>
          <w:rFonts w:ascii="Arial" w:cs="Arial" w:eastAsia="Arial" w:hAnsi="Arial"/>
          <w:sz w:val="20"/>
          <w:szCs w:val="20"/>
        </w:rPr>
        <w:t xml:space="preserve">R = 2.000 yardas: limite exterior FF23 / limite interior FFG (linea punteada azul).</w:t>
      </w:r>
    </w:p>
    <w:p>
      <w:pPr>
        <w:pStyle w:val="ListParagraph"/>
        <w:numPr>
          <w:ilvl w:val="0"/>
          <w:numId w:val="3"/>
        </w:numPr>
      </w:pPr>
      <w:r>
        <w:rPr>
          <w:rFonts w:ascii="Arial" w:cs="Arial" w:eastAsia="Arial" w:hAnsi="Arial"/>
          <w:sz w:val="20"/>
          <w:szCs w:val="20"/>
        </w:rPr>
        <w:t xml:space="preserve">R = 5.000 yardas: limite exterior de posicionamiento FFG (linea punteada naranja).</w:t>
      </w:r>
    </w:p>
    <w:p>
      <w:pPr>
        <w:spacing w:after="120" w:before="240"/>
      </w:pPr>
      <w:r>
        <w:rPr>
          <w:rFonts w:ascii="Arial" w:cs="Arial" w:eastAsia="Arial" w:hAnsi="Arial"/>
          <w:b/>
          <w:bCs/>
          <w:color w:val="2E5090"/>
          <w:sz w:val="24"/>
          <w:szCs w:val="24"/>
        </w:rPr>
        <w:t xml:space="preserve">11.4 Configuraciones y Recomendaciones Tacticas</w:t>
      </w:r>
    </w:p>
    <w:p>
      <w:pPr>
        <w:spacing w:after="120"/>
      </w:pPr>
      <w:r>
        <w:rPr>
          <w:rFonts w:ascii="Arial" w:cs="Arial" w:eastAsia="Arial" w:hAnsi="Arial"/>
          <w:sz w:val="20"/>
          <w:szCs w:val="20"/>
        </w:rPr>
        <w:t xml:space="preserve">La tabla inferior de la hoja resume las 6 configuraciones posibles: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1200"/>
        <w:gridCol w:w="1200"/>
        <w:gridCol w:w="2160"/>
        <w:gridCol w:w="1200"/>
        <w:gridCol w:w="700"/>
      </w:tblGrid>
      <w:tr>
        <w:tc>
          <w:tcPr>
            <w:tcW w:type="dxa" w:w="2800"/>
            <w:tcBorders>
              <w:top w:val="single" w:color="CCCCCC" w:sz="1"/>
              <w:left w:val="single" w:color="CCCCCC" w:sz="1"/>
              <w:bottom w:val="single" w:color="CCCCCC" w:sz="1"/>
              <w:right w:val="single" w:color="CCCCCC" w:sz="1"/>
            </w:tcBorders>
            <w:shd w:fill="1F3864" w:val="clear"/>
            <w:tcMar>
              <w:top w:type="dxa" w:w="60"/>
              <w:left w:type="dxa" w:w="100"/>
              <w:bottom w:type="dxa" w:w="60"/>
              <w:right w:type="dxa" w:w="100"/>
            </w:tcMar>
          </w:tcPr>
          <w:p>
            <w:pPr>
              <w:jc w:val="center"/>
            </w:pPr>
            <w:r>
              <w:rPr>
                <w:rFonts w:ascii="Arial" w:cs="Arial" w:eastAsia="Arial" w:hAnsi="Arial"/>
                <w:b/>
                <w:bCs/>
                <w:color w:val="FFFFFF"/>
                <w:sz w:val="16"/>
                <w:szCs w:val="16"/>
              </w:rPr>
              <w:t xml:space="preserve">Configuracion</w:t>
            </w:r>
          </w:p>
        </w:tc>
        <w:tc>
          <w:tcPr>
            <w:tcW w:type="dxa" w:w="1200"/>
            <w:tcBorders>
              <w:top w:val="single" w:color="CCCCCC" w:sz="1"/>
              <w:left w:val="single" w:color="CCCCCC" w:sz="1"/>
              <w:bottom w:val="single" w:color="CCCCCC" w:sz="1"/>
              <w:right w:val="single" w:color="CCCCCC" w:sz="1"/>
            </w:tcBorders>
            <w:shd w:fill="1F3864" w:val="clear"/>
            <w:tcMar>
              <w:top w:type="dxa" w:w="60"/>
              <w:left w:type="dxa" w:w="100"/>
              <w:bottom w:type="dxa" w:w="60"/>
              <w:right w:type="dxa" w:w="100"/>
            </w:tcMar>
          </w:tcPr>
          <w:p>
            <w:pPr>
              <w:jc w:val="center"/>
            </w:pPr>
            <w:r>
              <w:rPr>
                <w:rFonts w:ascii="Arial" w:cs="Arial" w:eastAsia="Arial" w:hAnsi="Arial"/>
                <w:b/>
                <w:bCs/>
                <w:color w:val="FFFFFF"/>
                <w:sz w:val="16"/>
                <w:szCs w:val="16"/>
              </w:rPr>
              <w:t xml:space="preserve">FFG</w:t>
            </w:r>
          </w:p>
        </w:tc>
        <w:tc>
          <w:tcPr>
            <w:tcW w:type="dxa" w:w="1200"/>
            <w:tcBorders>
              <w:top w:val="single" w:color="CCCCCC" w:sz="1"/>
              <w:left w:val="single" w:color="CCCCCC" w:sz="1"/>
              <w:bottom w:val="single" w:color="CCCCCC" w:sz="1"/>
              <w:right w:val="single" w:color="CCCCCC" w:sz="1"/>
            </w:tcBorders>
            <w:shd w:fill="1F3864" w:val="clear"/>
            <w:tcMar>
              <w:top w:type="dxa" w:w="60"/>
              <w:left w:type="dxa" w:w="100"/>
              <w:bottom w:type="dxa" w:w="60"/>
              <w:right w:type="dxa" w:w="100"/>
            </w:tcMar>
          </w:tcPr>
          <w:p>
            <w:pPr>
              <w:jc w:val="center"/>
            </w:pPr>
            <w:r>
              <w:rPr>
                <w:rFonts w:ascii="Arial" w:cs="Arial" w:eastAsia="Arial" w:hAnsi="Arial"/>
                <w:b/>
                <w:bCs/>
                <w:color w:val="FFFFFF"/>
                <w:sz w:val="16"/>
                <w:szCs w:val="16"/>
              </w:rPr>
              <w:t xml:space="preserve">FF23</w:t>
            </w:r>
          </w:p>
        </w:tc>
        <w:tc>
          <w:tcPr>
            <w:tcW w:type="dxa" w:w="2160"/>
            <w:tcBorders>
              <w:top w:val="single" w:color="CCCCCC" w:sz="1"/>
              <w:left w:val="single" w:color="CCCCCC" w:sz="1"/>
              <w:bottom w:val="single" w:color="CCCCCC" w:sz="1"/>
              <w:right w:val="single" w:color="CCCCCC" w:sz="1"/>
            </w:tcBorders>
            <w:shd w:fill="1F3864" w:val="clear"/>
            <w:tcMar>
              <w:top w:type="dxa" w:w="60"/>
              <w:left w:type="dxa" w:w="100"/>
              <w:bottom w:type="dxa" w:w="60"/>
              <w:right w:type="dxa" w:w="100"/>
            </w:tcMar>
          </w:tcPr>
          <w:p>
            <w:pPr>
              <w:jc w:val="center"/>
            </w:pPr>
            <w:r>
              <w:rPr>
                <w:rFonts w:ascii="Arial" w:cs="Arial" w:eastAsia="Arial" w:hAnsi="Arial"/>
                <w:b/>
                <w:bCs/>
                <w:color w:val="FFFFFF"/>
                <w:sz w:val="16"/>
                <w:szCs w:val="16"/>
              </w:rPr>
              <w:t xml:space="preserve">Cobertura</w:t>
            </w:r>
          </w:p>
        </w:tc>
        <w:tc>
          <w:tcPr>
            <w:tcW w:type="dxa" w:w="1200"/>
            <w:tcBorders>
              <w:top w:val="single" w:color="CCCCCC" w:sz="1"/>
              <w:left w:val="single" w:color="CCCCCC" w:sz="1"/>
              <w:bottom w:val="single" w:color="CCCCCC" w:sz="1"/>
              <w:right w:val="single" w:color="CCCCCC" w:sz="1"/>
            </w:tcBorders>
            <w:shd w:fill="1F3864" w:val="clear"/>
            <w:tcMar>
              <w:top w:type="dxa" w:w="60"/>
              <w:left w:type="dxa" w:w="100"/>
              <w:bottom w:type="dxa" w:w="60"/>
              <w:right w:type="dxa" w:w="100"/>
            </w:tcMar>
          </w:tcPr>
          <w:p>
            <w:pPr>
              <w:jc w:val="center"/>
            </w:pPr>
            <w:r>
              <w:rPr>
                <w:rFonts w:ascii="Arial" w:cs="Arial" w:eastAsia="Arial" w:hAnsi="Arial"/>
                <w:b/>
                <w:bCs/>
                <w:color w:val="FFFFFF"/>
                <w:sz w:val="16"/>
                <w:szCs w:val="16"/>
              </w:rPr>
              <w:t xml:space="preserve">Recomendacion táctica</w:t>
            </w:r>
          </w:p>
        </w:tc>
        <w:tc>
          <w:tcPr>
            <w:tcW w:type="dxa" w:w="700"/>
            <w:tcBorders>
              <w:top w:val="single" w:color="CCCCCC" w:sz="1"/>
              <w:left w:val="single" w:color="CCCCCC" w:sz="1"/>
              <w:bottom w:val="single" w:color="CCCCCC" w:sz="1"/>
              <w:right w:val="single" w:color="CCCCCC" w:sz="1"/>
            </w:tcBorders>
            <w:shd w:fill="1F3864" w:val="clear"/>
            <w:tcMar>
              <w:top w:type="dxa" w:w="60"/>
              <w:left w:type="dxa" w:w="100"/>
              <w:bottom w:type="dxa" w:w="60"/>
              <w:right w:type="dxa" w:w="100"/>
            </w:tcMar>
          </w:tcPr>
          <w:p>
            <w:pPr>
              <w:jc w:val="center"/>
            </w:pPr>
            <w:r>
              <w:rPr>
                <w:rFonts w:ascii="Arial" w:cs="Arial" w:eastAsia="Arial" w:hAnsi="Arial"/>
                <w:b/>
                <w:bCs/>
                <w:color w:val="FFFFFF"/>
                <w:sz w:val="16"/>
                <w:szCs w:val="16"/>
              </w:rPr>
              <w:t xml:space="preserve">Optima</w:t>
            </w:r>
          </w:p>
        </w:tc>
      </w:tr>
      <w:tr>
        <w:tc>
          <w:tcPr>
            <w:tcW w:type="dxa" w:w="280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left"/>
            </w:pPr>
            <w:r>
              <w:rPr>
                <w:rFonts w:ascii="Arial" w:cs="Arial" w:eastAsia="Arial" w:hAnsi="Arial"/>
                <w:b w:val="false"/>
                <w:bCs w:val="false"/>
                <w:color w:val="000000"/>
                <w:sz w:val="16"/>
                <w:szCs w:val="16"/>
              </w:rPr>
              <w:t xml:space="preserve">1-FFG + 1-FF23</w:t>
            </w:r>
          </w:p>
        </w:tc>
        <w:tc>
          <w:tcPr>
            <w:tcW w:type="dxa" w:w="120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1</w:t>
            </w:r>
          </w:p>
        </w:tc>
        <w:tc>
          <w:tcPr>
            <w:tcW w:type="dxa" w:w="120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1</w:t>
            </w:r>
          </w:p>
        </w:tc>
        <w:tc>
          <w:tcPr>
            <w:tcW w:type="dxa" w:w="216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Básica</w:t>
            </w:r>
          </w:p>
        </w:tc>
        <w:tc>
          <w:tcPr>
            <w:tcW w:type="dxa" w:w="120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Solo eje principal</w:t>
            </w:r>
          </w:p>
        </w:tc>
        <w:tc>
          <w:tcPr>
            <w:tcW w:type="dxa" w:w="70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
            </w:r>
          </w:p>
        </w:tc>
      </w:tr>
      <w:tr>
        <w:tc>
          <w:tcPr>
            <w:tcW w:type="dxa" w:w="28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left"/>
            </w:pPr>
            <w:r>
              <w:rPr>
                <w:rFonts w:ascii="Arial" w:cs="Arial" w:eastAsia="Arial" w:hAnsi="Arial"/>
                <w:b w:val="false"/>
                <w:bCs w:val="false"/>
                <w:color w:val="000000"/>
                <w:sz w:val="16"/>
                <w:szCs w:val="16"/>
              </w:rPr>
              <w:t xml:space="preserve">1-FFG + 2-FF23</w:t>
            </w:r>
          </w:p>
        </w:tc>
        <w:tc>
          <w:tcPr>
            <w:tcW w:type="dxa" w:w="12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1</w:t>
            </w:r>
          </w:p>
        </w:tc>
        <w:tc>
          <w:tcPr>
            <w:tcW w:type="dxa" w:w="12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2</w:t>
            </w:r>
          </w:p>
        </w:tc>
        <w:tc>
          <w:tcPr>
            <w:tcW w:type="dxa" w:w="216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Media</w:t>
            </w:r>
          </w:p>
        </w:tc>
        <w:tc>
          <w:tcPr>
            <w:tcW w:type="dxa" w:w="12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FF23 en 225° y 315°</w:t>
            </w:r>
          </w:p>
        </w:tc>
        <w:tc>
          <w:tcPr>
            <w:tcW w:type="dxa" w:w="7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
            </w:r>
          </w:p>
        </w:tc>
      </w:tr>
      <w:tr>
        <w:tc>
          <w:tcPr>
            <w:tcW w:type="dxa" w:w="280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left"/>
            </w:pPr>
            <w:r>
              <w:rPr>
                <w:rFonts w:ascii="Arial" w:cs="Arial" w:eastAsia="Arial" w:hAnsi="Arial"/>
                <w:b w:val="false"/>
                <w:bCs w:val="false"/>
                <w:color w:val="000000"/>
                <w:sz w:val="16"/>
                <w:szCs w:val="16"/>
              </w:rPr>
              <w:t xml:space="preserve">1-FFG + 3-FF23</w:t>
            </w:r>
          </w:p>
        </w:tc>
        <w:tc>
          <w:tcPr>
            <w:tcW w:type="dxa" w:w="120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1</w:t>
            </w:r>
          </w:p>
        </w:tc>
        <w:tc>
          <w:tcPr>
            <w:tcW w:type="dxa" w:w="120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3</w:t>
            </w:r>
          </w:p>
        </w:tc>
        <w:tc>
          <w:tcPr>
            <w:tcW w:type="dxa" w:w="216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Alta punto</w:t>
            </w:r>
          </w:p>
        </w:tc>
        <w:tc>
          <w:tcPr>
            <w:tcW w:type="dxa" w:w="120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FF23 triple sector</w:t>
            </w:r>
          </w:p>
        </w:tc>
        <w:tc>
          <w:tcPr>
            <w:tcW w:type="dxa" w:w="700"/>
            <w:tcBorders>
              <w:top w:val="single" w:color="CCCCCC" w:sz="1"/>
              <w:left w:val="single" w:color="CCCCCC" w:sz="1"/>
              <w:bottom w:val="single" w:color="CCCCCC" w:sz="1"/>
              <w:right w:val="single" w:color="CCCCCC" w:sz="1"/>
            </w:tcBorders>
            <w:shd w:fill="F5F5F5"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
            </w:r>
          </w:p>
        </w:tc>
      </w:tr>
      <w:tr>
        <w:tc>
          <w:tcPr>
            <w:tcW w:type="dxa" w:w="28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left"/>
            </w:pPr>
            <w:r>
              <w:rPr>
                <w:rFonts w:ascii="Arial" w:cs="Arial" w:eastAsia="Arial" w:hAnsi="Arial"/>
                <w:b w:val="false"/>
                <w:bCs w:val="false"/>
                <w:color w:val="000000"/>
                <w:sz w:val="16"/>
                <w:szCs w:val="16"/>
              </w:rPr>
              <w:t xml:space="preserve">2-FFG + 1-FF23</w:t>
            </w:r>
          </w:p>
        </w:tc>
        <w:tc>
          <w:tcPr>
            <w:tcW w:type="dxa" w:w="12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2</w:t>
            </w:r>
          </w:p>
        </w:tc>
        <w:tc>
          <w:tcPr>
            <w:tcW w:type="dxa" w:w="12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1</w:t>
            </w:r>
          </w:p>
        </w:tc>
        <w:tc>
          <w:tcPr>
            <w:tcW w:type="dxa" w:w="216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Alta área</w:t>
            </w:r>
          </w:p>
        </w:tc>
        <w:tc>
          <w:tcPr>
            <w:tcW w:type="dxa" w:w="12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Doble ESSM frontal</w:t>
            </w:r>
          </w:p>
        </w:tc>
        <w:tc>
          <w:tcPr>
            <w:tcW w:type="dxa" w:w="7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
            </w:r>
          </w:p>
        </w:tc>
      </w:tr>
      <w:tr>
        <w:tc>
          <w:tcPr>
            <w:tcW w:type="dxa" w:w="2800"/>
            <w:tcBorders>
              <w:top w:val="single" w:color="CCCCCC" w:sz="1"/>
              <w:left w:val="single" w:color="CCCCCC" w:sz="1"/>
              <w:bottom w:val="single" w:color="CCCCCC" w:sz="1"/>
              <w:right w:val="single" w:color="CCCCCC" w:sz="1"/>
            </w:tcBorders>
            <w:shd w:fill="E8FFE8" w:val="clear"/>
            <w:tcMar>
              <w:top w:type="dxa" w:w="60"/>
              <w:left w:type="dxa" w:w="100"/>
              <w:bottom w:type="dxa" w:w="60"/>
              <w:right w:type="dxa" w:w="100"/>
            </w:tcMar>
          </w:tcPr>
          <w:p>
            <w:pPr>
              <w:jc w:val="left"/>
            </w:pPr>
            <w:r>
              <w:rPr>
                <w:rFonts w:ascii="Arial" w:cs="Arial" w:eastAsia="Arial" w:hAnsi="Arial"/>
                <w:b/>
                <w:bCs/>
                <w:color w:val="006400"/>
                <w:sz w:val="16"/>
                <w:szCs w:val="16"/>
              </w:rPr>
              <w:t xml:space="preserve">2-FFG + 2-FF23</w:t>
            </w:r>
          </w:p>
        </w:tc>
        <w:tc>
          <w:tcPr>
            <w:tcW w:type="dxa" w:w="1200"/>
            <w:tcBorders>
              <w:top w:val="single" w:color="CCCCCC" w:sz="1"/>
              <w:left w:val="single" w:color="CCCCCC" w:sz="1"/>
              <w:bottom w:val="single" w:color="CCCCCC" w:sz="1"/>
              <w:right w:val="single" w:color="CCCCCC" w:sz="1"/>
            </w:tcBorders>
            <w:shd w:fill="E8FFE8" w:val="clear"/>
            <w:tcMar>
              <w:top w:type="dxa" w:w="60"/>
              <w:left w:type="dxa" w:w="100"/>
              <w:bottom w:type="dxa" w:w="60"/>
              <w:right w:type="dxa" w:w="100"/>
            </w:tcMar>
          </w:tcPr>
          <w:p>
            <w:pPr>
              <w:jc w:val="center"/>
            </w:pPr>
            <w:r>
              <w:rPr>
                <w:rFonts w:ascii="Arial" w:cs="Arial" w:eastAsia="Arial" w:hAnsi="Arial"/>
                <w:b/>
                <w:bCs/>
                <w:color w:val="006400"/>
                <w:sz w:val="16"/>
                <w:szCs w:val="16"/>
              </w:rPr>
              <w:t xml:space="preserve">2</w:t>
            </w:r>
          </w:p>
        </w:tc>
        <w:tc>
          <w:tcPr>
            <w:tcW w:type="dxa" w:w="1200"/>
            <w:tcBorders>
              <w:top w:val="single" w:color="CCCCCC" w:sz="1"/>
              <w:left w:val="single" w:color="CCCCCC" w:sz="1"/>
              <w:bottom w:val="single" w:color="CCCCCC" w:sz="1"/>
              <w:right w:val="single" w:color="CCCCCC" w:sz="1"/>
            </w:tcBorders>
            <w:shd w:fill="E8FFE8" w:val="clear"/>
            <w:tcMar>
              <w:top w:type="dxa" w:w="60"/>
              <w:left w:type="dxa" w:w="100"/>
              <w:bottom w:type="dxa" w:w="60"/>
              <w:right w:type="dxa" w:w="100"/>
            </w:tcMar>
          </w:tcPr>
          <w:p>
            <w:pPr>
              <w:jc w:val="center"/>
            </w:pPr>
            <w:r>
              <w:rPr>
                <w:rFonts w:ascii="Arial" w:cs="Arial" w:eastAsia="Arial" w:hAnsi="Arial"/>
                <w:b/>
                <w:bCs/>
                <w:color w:val="006400"/>
                <w:sz w:val="16"/>
                <w:szCs w:val="16"/>
              </w:rPr>
              <w:t xml:space="preserve">2</w:t>
            </w:r>
          </w:p>
        </w:tc>
        <w:tc>
          <w:tcPr>
            <w:tcW w:type="dxa" w:w="2160"/>
            <w:tcBorders>
              <w:top w:val="single" w:color="CCCCCC" w:sz="1"/>
              <w:left w:val="single" w:color="CCCCCC" w:sz="1"/>
              <w:bottom w:val="single" w:color="CCCCCC" w:sz="1"/>
              <w:right w:val="single" w:color="CCCCCC" w:sz="1"/>
            </w:tcBorders>
            <w:shd w:fill="E8FFE8" w:val="clear"/>
            <w:tcMar>
              <w:top w:type="dxa" w:w="60"/>
              <w:left w:type="dxa" w:w="100"/>
              <w:bottom w:type="dxa" w:w="60"/>
              <w:right w:type="dxa" w:w="100"/>
            </w:tcMar>
          </w:tcPr>
          <w:p>
            <w:pPr>
              <w:jc w:val="center"/>
            </w:pPr>
            <w:r>
              <w:rPr>
                <w:rFonts w:ascii="Arial" w:cs="Arial" w:eastAsia="Arial" w:hAnsi="Arial"/>
                <w:b/>
                <w:bCs/>
                <w:color w:val="006400"/>
                <w:sz w:val="16"/>
                <w:szCs w:val="16"/>
              </w:rPr>
              <w:t xml:space="preserve">Alta OPTIMA</w:t>
            </w:r>
          </w:p>
        </w:tc>
        <w:tc>
          <w:tcPr>
            <w:tcW w:type="dxa" w:w="1200"/>
            <w:tcBorders>
              <w:top w:val="single" w:color="CCCCCC" w:sz="1"/>
              <w:left w:val="single" w:color="CCCCCC" w:sz="1"/>
              <w:bottom w:val="single" w:color="CCCCCC" w:sz="1"/>
              <w:right w:val="single" w:color="CCCCCC" w:sz="1"/>
            </w:tcBorders>
            <w:shd w:fill="E8FFE8" w:val="clear"/>
            <w:tcMar>
              <w:top w:type="dxa" w:w="60"/>
              <w:left w:type="dxa" w:w="100"/>
              <w:bottom w:type="dxa" w:w="60"/>
              <w:right w:type="dxa" w:w="100"/>
            </w:tcMar>
          </w:tcPr>
          <w:p>
            <w:pPr>
              <w:jc w:val="center"/>
            </w:pPr>
            <w:r>
              <w:rPr>
                <w:rFonts w:ascii="Arial" w:cs="Arial" w:eastAsia="Arial" w:hAnsi="Arial"/>
                <w:b/>
                <w:bCs/>
                <w:color w:val="006400"/>
                <w:sz w:val="16"/>
                <w:szCs w:val="16"/>
              </w:rPr>
              <w:t xml:space="preserve">FFG 180°/160° + FF23 225°/315°</w:t>
            </w:r>
          </w:p>
        </w:tc>
        <w:tc>
          <w:tcPr>
            <w:tcW w:type="dxa" w:w="700"/>
            <w:tcBorders>
              <w:top w:val="single" w:color="CCCCCC" w:sz="1"/>
              <w:left w:val="single" w:color="CCCCCC" w:sz="1"/>
              <w:bottom w:val="single" w:color="CCCCCC" w:sz="1"/>
              <w:right w:val="single" w:color="CCCCCC" w:sz="1"/>
            </w:tcBorders>
            <w:shd w:fill="E8FFE8" w:val="clear"/>
            <w:tcMar>
              <w:top w:type="dxa" w:w="60"/>
              <w:left w:type="dxa" w:w="100"/>
              <w:bottom w:type="dxa" w:w="60"/>
              <w:right w:type="dxa" w:w="100"/>
            </w:tcMar>
          </w:tcPr>
          <w:p>
            <w:pPr>
              <w:jc w:val="center"/>
            </w:pPr>
            <w:r>
              <w:rPr>
                <w:rFonts w:ascii="Arial" w:cs="Arial" w:eastAsia="Arial" w:hAnsi="Arial"/>
                <w:b/>
                <w:bCs/>
                <w:color w:val="006400"/>
                <w:sz w:val="16"/>
                <w:szCs w:val="16"/>
              </w:rPr>
              <w:t xml:space="preserve">★</w:t>
            </w:r>
          </w:p>
        </w:tc>
      </w:tr>
      <w:tr>
        <w:tc>
          <w:tcPr>
            <w:tcW w:type="dxa" w:w="28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left"/>
            </w:pPr>
            <w:r>
              <w:rPr>
                <w:rFonts w:ascii="Arial" w:cs="Arial" w:eastAsia="Arial" w:hAnsi="Arial"/>
                <w:b w:val="false"/>
                <w:bCs w:val="false"/>
                <w:color w:val="000000"/>
                <w:sz w:val="16"/>
                <w:szCs w:val="16"/>
              </w:rPr>
              <w:t xml:space="preserve">2-FFG + 3-FF23</w:t>
            </w:r>
          </w:p>
        </w:tc>
        <w:tc>
          <w:tcPr>
            <w:tcW w:type="dxa" w:w="12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2</w:t>
            </w:r>
          </w:p>
        </w:tc>
        <w:tc>
          <w:tcPr>
            <w:tcW w:type="dxa" w:w="12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3</w:t>
            </w:r>
          </w:p>
        </w:tc>
        <w:tc>
          <w:tcPr>
            <w:tcW w:type="dxa" w:w="216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Máxima</w:t>
            </w:r>
          </w:p>
        </w:tc>
        <w:tc>
          <w:tcPr>
            <w:tcW w:type="dxa" w:w="12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Max. recursos</w:t>
            </w:r>
          </w:p>
        </w:tc>
        <w:tc>
          <w:tcPr>
            <w:tcW w:type="dxa" w:w="700"/>
            <w:tcBorders>
              <w:top w:val="single" w:color="CCCCCC" w:sz="1"/>
              <w:left w:val="single" w:color="CCCCCC" w:sz="1"/>
              <w:bottom w:val="single" w:color="CCCCCC" w:sz="1"/>
              <w:right w:val="single" w:color="CCCCCC" w:sz="1"/>
            </w:tcBorders>
            <w:shd w:fill="FFFFFF" w:val="clear"/>
            <w:tcMar>
              <w:top w:type="dxa" w:w="60"/>
              <w:left w:type="dxa" w:w="100"/>
              <w:bottom w:type="dxa" w:w="60"/>
              <w:right w:type="dxa" w:w="100"/>
            </w:tcMar>
          </w:tcPr>
          <w:p>
            <w:pPr>
              <w:jc w:val="center"/>
            </w:pPr>
            <w:r>
              <w:rPr>
                <w:rFonts w:ascii="Arial" w:cs="Arial" w:eastAsia="Arial" w:hAnsi="Arial"/>
                <w:b w:val="false"/>
                <w:bCs w:val="false"/>
                <w:color w:val="000000"/>
                <w:sz w:val="16"/>
                <w:szCs w:val="16"/>
              </w:rPr>
              <w:t xml:space="preserve"/>
            </w:r>
          </w:p>
        </w:tc>
      </w:tr>
    </w:tbl>
    <w:sectPr>
      <w:pgSz w:w="12240" w:h="15840" w:orient="portrait"/>
      <w:pgMar w:top="1440" w:right="1260" w:bottom="1440" w:left="126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3">
    <w:abstractNumId w:val="3"/>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80" w:before="360"/>
      <w:outlineLvl w:val="0"/>
    </w:pPr>
    <w:rPr>
      <w:rFonts w:ascii="Arial" w:cs="Arial" w:eastAsia="Arial" w:hAnsi="Arial"/>
      <w:b/>
      <w:bCs/>
      <w:color w:val="1F3864"/>
      <w:sz w:val="28"/>
      <w:szCs w:val="28"/>
    </w:rPr>
  </w:style>
  <w:style w:type="paragraph" w:styleId="Heading2">
    <w:name w:val="Heading 2"/>
    <w:basedOn w:val="Normal"/>
    <w:next w:val="Normal"/>
    <w:qFormat/>
    <w:pPr>
      <w:spacing w:after="120" w:before="240"/>
      <w:outlineLvl w:val="1"/>
    </w:pPr>
    <w:rPr>
      <w:rFonts w:ascii="Arial" w:cs="Arial" w:eastAsia="Arial" w:hAnsi="Arial"/>
      <w:b/>
      <w:bCs/>
      <w:color w:val="2E5090"/>
      <w:sz w:val="24"/>
      <w:szCs w:val="24"/>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2026-04-08T00:26:26.486Z</dcterms:created>
  <dcterms:modified xsi:type="dcterms:W3CDTF">2026-04-08T00:26:26.486Z</dcterms:modified>
</cp:coreProperties>
</file>

<file path=docProps/custom.xml><?xml version="1.0" encoding="utf-8"?>
<Properties xmlns="http://schemas.openxmlformats.org/officeDocument/2006/custom-properties" xmlns:vt="http://schemas.openxmlformats.org/officeDocument/2006/docPropsVTypes"/>
</file>