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1ECFAF4" w14:textId="77777777" w:rsidR="0039122C" w:rsidRDefault="00000000" w:rsidP="0079115C">
      <w:pPr>
        <w:spacing w:before="120" w:after="10"/>
        <w:jc w:val="center"/>
      </w:pPr>
      <w:r>
        <w:rPr>
          <w:b/>
          <w:bCs/>
          <w:color w:val="C9A24B"/>
          <w:spacing w:val="40"/>
          <w:sz w:val="24"/>
          <w:szCs w:val="24"/>
        </w:rPr>
        <w:t>RESUMEN EJECUTIVO</w:t>
      </w:r>
    </w:p>
    <w:p w14:paraId="3B643D4E" w14:textId="77777777" w:rsidR="0039122C" w:rsidRDefault="00000000" w:rsidP="0079115C">
      <w:pPr>
        <w:spacing w:after="30"/>
        <w:jc w:val="center"/>
        <w:rPr>
          <w:b/>
          <w:bCs/>
          <w:color w:val="0B1F3A"/>
          <w:sz w:val="40"/>
          <w:szCs w:val="40"/>
        </w:rPr>
      </w:pPr>
      <w:r>
        <w:rPr>
          <w:b/>
          <w:bCs/>
          <w:color w:val="0B1F3A"/>
          <w:sz w:val="40"/>
          <w:szCs w:val="40"/>
        </w:rPr>
        <w:t>Reunión de Directores Técnicos</w:t>
      </w:r>
    </w:p>
    <w:p w14:paraId="73029578" w14:textId="77777777" w:rsidR="0079115C" w:rsidRDefault="0079115C" w:rsidP="0079115C">
      <w:pPr>
        <w:spacing w:after="30"/>
        <w:jc w:val="center"/>
      </w:pPr>
    </w:p>
    <w:p w14:paraId="0F90AAF0" w14:textId="77777777" w:rsidR="0039122C" w:rsidRDefault="00000000">
      <w:pPr>
        <w:pBdr>
          <w:bottom w:val="single" w:sz="8" w:space="8" w:color="C9A24B"/>
        </w:pBdr>
        <w:spacing w:after="60"/>
      </w:pPr>
      <w:r>
        <w:rPr>
          <w:i/>
          <w:iCs/>
          <w:color w:val="5A6675"/>
          <w:sz w:val="21"/>
          <w:szCs w:val="21"/>
        </w:rPr>
        <w:t>Dirección de Abastecimiento  ·  09 de julio de 2026</w:t>
      </w:r>
    </w:p>
    <w:p w14:paraId="100AF43C" w14:textId="77777777" w:rsidR="0039122C" w:rsidRDefault="00000000">
      <w:pPr>
        <w:pStyle w:val="Ttulo1"/>
        <w:spacing w:before="300" w:after="100"/>
      </w:pPr>
      <w:r>
        <w:rPr>
          <w:color w:val="C9A24B"/>
        </w:rPr>
        <w:t xml:space="preserve">01   </w:t>
      </w:r>
      <w:r>
        <w:t xml:space="preserve">Resolución </w:t>
      </w:r>
      <w:proofErr w:type="spellStart"/>
      <w:r>
        <w:t>N°</w:t>
      </w:r>
      <w:proofErr w:type="spellEnd"/>
      <w:r>
        <w:t xml:space="preserve"> 1054 D.N.A.</w:t>
      </w:r>
    </w:p>
    <w:p w14:paraId="0F486D2E" w14:textId="77777777" w:rsidR="0039122C" w:rsidRDefault="00000000">
      <w:pPr>
        <w:spacing w:after="140" w:line="276" w:lineRule="auto"/>
        <w:jc w:val="both"/>
      </w:pPr>
      <w:r>
        <w:t xml:space="preserve">La primera materia aborda la implementación de la Resolución </w:t>
      </w:r>
      <w:proofErr w:type="spellStart"/>
      <w:r>
        <w:t>N°</w:t>
      </w:r>
      <w:proofErr w:type="spellEnd"/>
      <w:r>
        <w:t xml:space="preserve"> 1054 de la Dirección Nacional de Aduanas, que entrará en vigencia el 9 de mayo de 2027 y regula la calificación aduanera de las mercancías consideradas pertrecho. Entre las gestiones ya realizadas destacan la entrega de una minuta de protocolo para el resguardo de la información secreta, la remisión de los listados de mercancías calificadas —compartidos con ASMAR y el Ejército a solicitud de ambas instituciones— y la solicitud a las Direcciones Técnicas de emitir los informes técnicos correspondientes.</w:t>
      </w:r>
    </w:p>
    <w:p w14:paraId="689126D8" w14:textId="77777777" w:rsidR="0039122C" w:rsidRDefault="00000000">
      <w:pPr>
        <w:spacing w:after="140" w:line="276" w:lineRule="auto"/>
        <w:jc w:val="both"/>
      </w:pPr>
      <w:r>
        <w:t>De cara a los próximos hitos, la Institución mantiene como fecha límite el 9 de agosto de 2026 para remitir los listados autorizados y quedará a la espera de las observaciones de la Aduana, cuyos códigos deberán incorporarse a las órdenes de compra, contratos y bases de licitación. En este ámbito se informa, además, el caso de los vehículos militares KIA Tasman, cuya importación fue rechazada al clasificarse como automóvil; ante ello, la Armada interpuso un recurso de reposición sustentado en su doble función civil-militar y en su condición de componente de un Sistema de Mando y Control.</w:t>
      </w:r>
    </w:p>
    <w:p w14:paraId="238C21F5" w14:textId="77777777" w:rsidR="0039122C" w:rsidRDefault="00000000">
      <w:pPr>
        <w:pStyle w:val="Ttulo1"/>
        <w:spacing w:before="300" w:after="100"/>
      </w:pPr>
      <w:r>
        <w:rPr>
          <w:color w:val="C9A24B"/>
        </w:rPr>
        <w:t xml:space="preserve">02   </w:t>
      </w:r>
      <w:r>
        <w:t>Oficina de Catalogación</w:t>
      </w:r>
    </w:p>
    <w:p w14:paraId="51FF86A6" w14:textId="77777777" w:rsidR="0039122C" w:rsidRDefault="00000000">
      <w:pPr>
        <w:spacing w:after="140" w:line="276" w:lineRule="auto"/>
        <w:jc w:val="both"/>
      </w:pPr>
      <w:r>
        <w:t xml:space="preserve">La Oficina de Catalogación de la Armada avanza hacia su operación plena. En materia de habilitación, se encuentra a la espera del </w:t>
      </w:r>
      <w:proofErr w:type="spellStart"/>
      <w:r>
        <w:t>compliance</w:t>
      </w:r>
      <w:proofErr w:type="spellEnd"/>
      <w:r>
        <w:t xml:space="preserve"> test —estimado para agosto, con una duración de entre dos y cuatro semanas—, tras el cual, una vez notificado el Estado de Chile, se alcanzará el Nivel Tier II. Complementan este esfuerzo la capacitación de la Jefa OCA en el CASLODE, en Brasil; la habilitación de una conexión segura vía internet, con el visto bueno de DIRINTA, y la adquisición de diez computadores para la oficina; y la puesta en marcha del software MC Catalogue, certificado por la OTAN, con el que se iniciará la catalogación de las unidades VIEL, LCM y Proyecto Escotillón.</w:t>
      </w:r>
    </w:p>
    <w:p w14:paraId="3EAA3C02" w14:textId="2130AFC4" w:rsidR="0079115C" w:rsidRDefault="00000000">
      <w:pPr>
        <w:spacing w:after="140" w:line="276" w:lineRule="auto"/>
        <w:jc w:val="both"/>
      </w:pPr>
      <w:r>
        <w:t>En cuanto al proyecto VIEL, se verifica la data entregada por DIPRIDA y se efectuará una visita técnica a Talcahuano para instruir sobre catalogación e incorporar los artículos de abastecimiento al sistema SALINO. Resta completar, con apoyo de las Direcciones Técnicas, la relación repuesto-equipo —de la cual DIRISNAV ya aportó un listado de 2.122 equipos— y depurar la documentación del Proyecto Antártica I, cuyos manuales presentan información incompleta.</w:t>
      </w:r>
    </w:p>
    <w:p w14:paraId="14F3ADF8" w14:textId="77777777" w:rsidR="0039122C" w:rsidRDefault="00000000">
      <w:pPr>
        <w:pStyle w:val="Ttulo1"/>
        <w:spacing w:before="300" w:after="100"/>
      </w:pPr>
      <w:r>
        <w:rPr>
          <w:color w:val="C9A24B"/>
        </w:rPr>
        <w:t xml:space="preserve">03   </w:t>
      </w:r>
      <w:r>
        <w:t>Registro Especial de Proveedores</w:t>
      </w:r>
    </w:p>
    <w:p w14:paraId="6365AD5A" w14:textId="77777777" w:rsidR="0039122C" w:rsidRDefault="00000000">
      <w:pPr>
        <w:spacing w:after="140" w:line="276" w:lineRule="auto"/>
        <w:jc w:val="both"/>
      </w:pPr>
      <w:r>
        <w:t xml:space="preserve">El tercer tema expone el proyecto de digitalización del Registro Especial de Proveedores, orientado a modernizar la inscripción, renovación y reincorporación de las empresas nacionales, y a depurar los antecedentes para evitar duplicados e inconsistencias. En el plano normativo, el Decreto Supremo </w:t>
      </w:r>
      <w:proofErr w:type="spellStart"/>
      <w:r>
        <w:t>N°</w:t>
      </w:r>
      <w:proofErr w:type="spellEnd"/>
      <w:r>
        <w:t xml:space="preserve"> 746 mantiene su vigencia; el D.S. </w:t>
      </w:r>
      <w:proofErr w:type="spellStart"/>
      <w:r>
        <w:t>N°</w:t>
      </w:r>
      <w:proofErr w:type="spellEnd"/>
      <w:r>
        <w:t xml:space="preserve"> 290, ingresado a la Contraloría en </w:t>
      </w:r>
      <w:r>
        <w:lastRenderedPageBreak/>
        <w:t>enero de 2026, fue retirado sin tramitar en marzo del mismo año, sin que a la fecha existan nuevos avances. El desarrollo se estructura en cinco fases, que van desde la capacitación inicial hasta la operación con mesa de ayuda; actualmente se corrigen observaciones en los formularios y resta validar dichas correcciones con Gobierno Digital y comunicar la plataforma en operación a la D.G.S.A.</w:t>
      </w:r>
    </w:p>
    <w:p w14:paraId="4EB8409E" w14:textId="77777777" w:rsidR="0039122C" w:rsidRDefault="00000000">
      <w:pPr>
        <w:pStyle w:val="Ttulo1"/>
        <w:spacing w:before="300" w:after="100"/>
      </w:pPr>
      <w:r>
        <w:rPr>
          <w:color w:val="C9A24B"/>
        </w:rPr>
        <w:t xml:space="preserve">04   </w:t>
      </w:r>
      <w:r>
        <w:t>Análisis de Compra Conjunta de Combustible JET A-1</w:t>
      </w:r>
    </w:p>
    <w:p w14:paraId="0D93CEF5" w14:textId="77777777" w:rsidR="0039122C" w:rsidRDefault="00000000">
      <w:pPr>
        <w:spacing w:after="140" w:line="276" w:lineRule="auto"/>
        <w:jc w:val="both"/>
      </w:pPr>
      <w:r>
        <w:t>Por instrucción del Jefe del Estado Mayor Conjunto, se analiza una eventual compra conjunta de combustible de aviación JET A-1 con la Fuerza Aérea, materia abordada en una reunión preliminar sostenida el 1 de julio. La propuesta ofrece ventajas por la vía de la importación bajo la modalidad MPB: un mejor precio por metro cúbico y la exención de la toma de razón de la Contraloría y del pago de IVA en la internación del combustible.</w:t>
      </w:r>
    </w:p>
    <w:p w14:paraId="7A775382" w14:textId="77777777" w:rsidR="0039122C" w:rsidRDefault="00000000">
      <w:pPr>
        <w:spacing w:after="140" w:line="276" w:lineRule="auto"/>
        <w:jc w:val="both"/>
      </w:pPr>
      <w:r>
        <w:t>No obstante, la Armada cuenta con un contrato vigente de JET A-1 a granel, financiado con aporte fiscal libre y con cobertura nacional que incluye muelles navales y civiles, cuya continuidad se proyecta mediante una nueva licitación a mayor plazo y con múltiples fuentes de financiamiento. Ponderados ambos escenarios, se recomienda mantener la estructura contractual actual, por su mayor robustez, cobertura y financiamiento, y porque la formulación presupuestaria 2027 no contempló la modalidad de importación, cuya incorporación a esta altura resultaría extemporánea.</w:t>
      </w:r>
    </w:p>
    <w:p w14:paraId="4ECB9F82" w14:textId="77777777" w:rsidR="0039122C" w:rsidRDefault="00000000">
      <w:pPr>
        <w:pStyle w:val="Ttulo1"/>
        <w:spacing w:before="300" w:after="100"/>
      </w:pPr>
      <w:r>
        <w:rPr>
          <w:color w:val="C9A24B"/>
        </w:rPr>
        <w:t xml:space="preserve">05   </w:t>
      </w:r>
      <w:r>
        <w:t xml:space="preserve">Instructivo CGR </w:t>
      </w:r>
      <w:proofErr w:type="spellStart"/>
      <w:r>
        <w:t>N°</w:t>
      </w:r>
      <w:proofErr w:type="spellEnd"/>
      <w:r>
        <w:t xml:space="preserve"> IN18N26 (D.I.P.)</w:t>
      </w:r>
    </w:p>
    <w:p w14:paraId="74B30CAC" w14:textId="77777777" w:rsidR="0039122C" w:rsidRDefault="00000000">
      <w:pPr>
        <w:spacing w:after="140" w:line="276" w:lineRule="auto"/>
        <w:jc w:val="both"/>
      </w:pPr>
      <w:r>
        <w:t xml:space="preserve">Por último, se presenta el Instructivo </w:t>
      </w:r>
      <w:proofErr w:type="spellStart"/>
      <w:r>
        <w:t>N°</w:t>
      </w:r>
      <w:proofErr w:type="spellEnd"/>
      <w:r>
        <w:t xml:space="preserve"> IN18N26 de la Contraloría General de la República, de mayo de 2026, que imparte instrucciones sobre la Declaración de Intereses y Patrimonio exigible a quienes participan en los procesos de contratación regidos por la Ley </w:t>
      </w:r>
      <w:proofErr w:type="spellStart"/>
      <w:r>
        <w:t>N°</w:t>
      </w:r>
      <w:proofErr w:type="spellEnd"/>
      <w:r>
        <w:t xml:space="preserve"> 19.886. Con fundamento en la Ley </w:t>
      </w:r>
      <w:proofErr w:type="spellStart"/>
      <w:r>
        <w:t>N°</w:t>
      </w:r>
      <w:proofErr w:type="spellEnd"/>
      <w:r>
        <w:t xml:space="preserve"> 20.880 y su modernización por la Ley </w:t>
      </w:r>
      <w:proofErr w:type="spellStart"/>
      <w:r>
        <w:t>N°</w:t>
      </w:r>
      <w:proofErr w:type="spellEnd"/>
      <w:r>
        <w:t xml:space="preserve"> 21.634, el instructivo obliga a los organismos a registrar la nómina del personal interviniente y a que este realice y mantenga actualizada su declaración. El documento precisa, además, las seis funciones alcanzadas por esta obligación —requirente de compra, participantes de la unidad de compra, evaluador o comisión evaluadora, </w:t>
      </w:r>
      <w:proofErr w:type="spellStart"/>
      <w:r>
        <w:t>visador</w:t>
      </w:r>
      <w:proofErr w:type="spellEnd"/>
      <w:r>
        <w:t xml:space="preserve"> jurídico, administrador de contrato y firmante— y se acompaña de los mensajes y referencias institucionales que enmarcan su aplicación.</w:t>
      </w:r>
    </w:p>
    <w:sectPr w:rsidR="0039122C">
      <w:headerReference w:type="default" r:id="rId7"/>
      <w:footerReference w:type="default" r:id="rId8"/>
      <w:pgSz w:w="12240" w:h="15840"/>
      <w:pgMar w:top="1300" w:right="1500" w:bottom="1200" w:left="15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81794EE" w14:textId="77777777" w:rsidR="00F21FCE" w:rsidRDefault="00F21FCE">
      <w:r>
        <w:separator/>
      </w:r>
    </w:p>
  </w:endnote>
  <w:endnote w:type="continuationSeparator" w:id="0">
    <w:p w14:paraId="7CD2B241" w14:textId="77777777" w:rsidR="00F21FCE" w:rsidRDefault="00F21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995C79" w14:textId="77777777" w:rsidR="0039122C" w:rsidRDefault="00000000">
    <w:pPr>
      <w:tabs>
        <w:tab w:val="right" w:pos="9026"/>
      </w:tabs>
    </w:pPr>
    <w:r>
      <w:rPr>
        <w:color w:val="5A6675"/>
        <w:sz w:val="14"/>
        <w:szCs w:val="14"/>
      </w:rPr>
      <w:t>Reunión de Directores Técnicos · 09 de julio de 2026</w:t>
    </w:r>
    <w:r>
      <w:rPr>
        <w:sz w:val="14"/>
        <w:szCs w:val="14"/>
      </w:rPr>
      <w:tab/>
    </w:r>
    <w:r>
      <w:rPr>
        <w:color w:val="5A6675"/>
        <w:sz w:val="14"/>
        <w:szCs w:val="14"/>
      </w:rPr>
      <w:fldChar w:fldCharType="begin"/>
    </w:r>
    <w:r>
      <w:rPr>
        <w:color w:val="5A6675"/>
        <w:sz w:val="14"/>
        <w:szCs w:val="14"/>
      </w:rPr>
      <w:instrText>PAGE</w:instrText>
    </w:r>
    <w:r>
      <w:rPr>
        <w:color w:val="5A6675"/>
        <w:sz w:val="14"/>
        <w:szCs w:val="14"/>
      </w:rPr>
      <w:fldChar w:fldCharType="separate"/>
    </w:r>
    <w:r w:rsidR="0079115C">
      <w:rPr>
        <w:noProof/>
        <w:color w:val="5A6675"/>
        <w:sz w:val="14"/>
        <w:szCs w:val="14"/>
      </w:rPr>
      <w:t>1</w:t>
    </w:r>
    <w:r>
      <w:rPr>
        <w:color w:val="5A6675"/>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76E93B5" w14:textId="77777777" w:rsidR="00F21FCE" w:rsidRDefault="00F21FCE">
      <w:r>
        <w:separator/>
      </w:r>
    </w:p>
  </w:footnote>
  <w:footnote w:type="continuationSeparator" w:id="0">
    <w:p w14:paraId="60DCEC03" w14:textId="77777777" w:rsidR="00F21FCE" w:rsidRDefault="00F21F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719FA8" w14:textId="5D6E8131" w:rsidR="0039122C" w:rsidRDefault="0039122C">
    <w:pPr>
      <w:spacing w:after="3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8A438EA"/>
    <w:multiLevelType w:val="hybridMultilevel"/>
    <w:tmpl w:val="6B2E21D4"/>
    <w:lvl w:ilvl="0" w:tplc="4BE4DDB4">
      <w:start w:val="1"/>
      <w:numFmt w:val="bullet"/>
      <w:lvlText w:val="●"/>
      <w:lvlJc w:val="left"/>
      <w:pPr>
        <w:ind w:left="720" w:hanging="360"/>
      </w:pPr>
    </w:lvl>
    <w:lvl w:ilvl="1" w:tplc="CED2FF32">
      <w:start w:val="1"/>
      <w:numFmt w:val="bullet"/>
      <w:lvlText w:val="○"/>
      <w:lvlJc w:val="left"/>
      <w:pPr>
        <w:ind w:left="1440" w:hanging="360"/>
      </w:pPr>
    </w:lvl>
    <w:lvl w:ilvl="2" w:tplc="ABD456BC">
      <w:start w:val="1"/>
      <w:numFmt w:val="bullet"/>
      <w:lvlText w:val="■"/>
      <w:lvlJc w:val="left"/>
      <w:pPr>
        <w:ind w:left="2160" w:hanging="360"/>
      </w:pPr>
    </w:lvl>
    <w:lvl w:ilvl="3" w:tplc="D636511E">
      <w:start w:val="1"/>
      <w:numFmt w:val="bullet"/>
      <w:lvlText w:val="●"/>
      <w:lvlJc w:val="left"/>
      <w:pPr>
        <w:ind w:left="2880" w:hanging="360"/>
      </w:pPr>
    </w:lvl>
    <w:lvl w:ilvl="4" w:tplc="49F6E12C">
      <w:start w:val="1"/>
      <w:numFmt w:val="bullet"/>
      <w:lvlText w:val="○"/>
      <w:lvlJc w:val="left"/>
      <w:pPr>
        <w:ind w:left="3600" w:hanging="360"/>
      </w:pPr>
    </w:lvl>
    <w:lvl w:ilvl="5" w:tplc="EBD6292E">
      <w:start w:val="1"/>
      <w:numFmt w:val="bullet"/>
      <w:lvlText w:val="■"/>
      <w:lvlJc w:val="left"/>
      <w:pPr>
        <w:ind w:left="4320" w:hanging="360"/>
      </w:pPr>
    </w:lvl>
    <w:lvl w:ilvl="6" w:tplc="22BAC00E">
      <w:start w:val="1"/>
      <w:numFmt w:val="bullet"/>
      <w:lvlText w:val="●"/>
      <w:lvlJc w:val="left"/>
      <w:pPr>
        <w:ind w:left="5040" w:hanging="360"/>
      </w:pPr>
    </w:lvl>
    <w:lvl w:ilvl="7" w:tplc="4EFA2C20">
      <w:start w:val="1"/>
      <w:numFmt w:val="bullet"/>
      <w:lvlText w:val="●"/>
      <w:lvlJc w:val="left"/>
      <w:pPr>
        <w:ind w:left="5760" w:hanging="360"/>
      </w:pPr>
    </w:lvl>
    <w:lvl w:ilvl="8" w:tplc="0BDC41C8">
      <w:start w:val="1"/>
      <w:numFmt w:val="bullet"/>
      <w:lvlText w:val="●"/>
      <w:lvlJc w:val="left"/>
      <w:pPr>
        <w:ind w:left="6480" w:hanging="360"/>
      </w:pPr>
    </w:lvl>
  </w:abstractNum>
  <w:num w:numId="1" w16cid:durableId="1184173156">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22C"/>
    <w:rsid w:val="003066AF"/>
    <w:rsid w:val="0039122C"/>
    <w:rsid w:val="0079115C"/>
    <w:rsid w:val="00F21FC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390B2422"/>
  <w15:docId w15:val="{31A18640-93C8-1E44-8B85-67D00D10F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color w:val="22303C"/>
        <w:sz w:val="22"/>
        <w:szCs w:val="22"/>
        <w:lang w:val="es-CL"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b/>
      <w:bCs/>
      <w:color w:val="0B1F3A"/>
      <w:sz w:val="24"/>
      <w:szCs w:val="24"/>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79115C"/>
    <w:pPr>
      <w:tabs>
        <w:tab w:val="center" w:pos="4252"/>
        <w:tab w:val="right" w:pos="8504"/>
      </w:tabs>
    </w:pPr>
  </w:style>
  <w:style w:type="character" w:customStyle="1" w:styleId="EncabezadoCar">
    <w:name w:val="Encabezado Car"/>
    <w:basedOn w:val="Fuentedeprrafopredeter"/>
    <w:link w:val="Encabezado"/>
    <w:uiPriority w:val="99"/>
    <w:rsid w:val="0079115C"/>
  </w:style>
  <w:style w:type="paragraph" w:styleId="Piedepgina">
    <w:name w:val="footer"/>
    <w:basedOn w:val="Normal"/>
    <w:link w:val="PiedepginaCar"/>
    <w:uiPriority w:val="99"/>
    <w:unhideWhenUsed/>
    <w:rsid w:val="0079115C"/>
    <w:pPr>
      <w:tabs>
        <w:tab w:val="center" w:pos="4252"/>
        <w:tab w:val="right" w:pos="8504"/>
      </w:tabs>
    </w:pPr>
  </w:style>
  <w:style w:type="character" w:customStyle="1" w:styleId="PiedepginaCar">
    <w:name w:val="Pie de página Car"/>
    <w:basedOn w:val="Fuentedeprrafopredeter"/>
    <w:link w:val="Piedepgina"/>
    <w:uiPriority w:val="99"/>
    <w:rsid w:val="007911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800</Words>
  <Characters>4403</Characters>
  <Application>Microsoft Office Word</Application>
  <DocSecurity>0</DocSecurity>
  <Lines>36</Lines>
  <Paragraphs>10</Paragraphs>
  <ScaleCrop>false</ScaleCrop>
  <Company/>
  <LinksUpToDate>false</LinksUpToDate>
  <CharactersWithSpaces>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a5693</cp:lastModifiedBy>
  <cp:revision>2</cp:revision>
  <dcterms:created xsi:type="dcterms:W3CDTF">2026-07-08T14:40:00Z</dcterms:created>
  <dcterms:modified xsi:type="dcterms:W3CDTF">2026-07-08T14:40:00Z</dcterms:modified>
</cp:coreProperties>
</file>