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9F208" w14:textId="75C3A42C" w:rsidR="00DE02C8" w:rsidRPr="00F307AE" w:rsidRDefault="00F307AE" w:rsidP="00E67B96">
      <w:pPr>
        <w:pStyle w:val="Sinespaciado"/>
        <w:spacing w:line="360" w:lineRule="auto"/>
        <w:jc w:val="center"/>
        <w:rPr>
          <w:rFonts w:ascii="Arial" w:hAnsi="Arial" w:cs="Arial"/>
          <w:b/>
          <w:bCs/>
        </w:rPr>
      </w:pPr>
      <w:r w:rsidRPr="00F307AE">
        <w:rPr>
          <w:rFonts w:ascii="Arial" w:hAnsi="Arial" w:cs="Arial"/>
          <w:b/>
          <w:bCs/>
        </w:rPr>
        <w:t>¿Qué aspectos de la BRd45 deben ser adaptados a la realidad nacional?</w:t>
      </w:r>
    </w:p>
    <w:p w14:paraId="1A8F3A29" w14:textId="77777777" w:rsidR="00B3512E" w:rsidRDefault="00B3512E" w:rsidP="00B3512E">
      <w:pPr>
        <w:pStyle w:val="Sinespaciado"/>
        <w:spacing w:line="360" w:lineRule="auto"/>
        <w:jc w:val="both"/>
        <w:rPr>
          <w:rFonts w:ascii="Arial" w:hAnsi="Arial" w:cs="Arial"/>
        </w:rPr>
      </w:pPr>
    </w:p>
    <w:p w14:paraId="1DC24FFB" w14:textId="4BB4D111" w:rsidR="00F307AE" w:rsidRDefault="00F307AE" w:rsidP="00F307AE">
      <w:pPr>
        <w:pStyle w:val="Sinespaciado"/>
        <w:spacing w:line="360" w:lineRule="auto"/>
        <w:rPr>
          <w:rFonts w:ascii="Arial" w:hAnsi="Arial" w:cs="Arial"/>
        </w:rPr>
      </w:pPr>
      <w:r>
        <w:rPr>
          <w:rFonts w:ascii="Arial" w:hAnsi="Arial" w:cs="Arial"/>
        </w:rPr>
        <w:t>CC Francisco Descalzi Solari</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CCASS 2024</w:t>
      </w:r>
    </w:p>
    <w:p w14:paraId="399D2022" w14:textId="77777777" w:rsidR="00F307AE" w:rsidRDefault="00F307AE" w:rsidP="00B3512E">
      <w:pPr>
        <w:pStyle w:val="Sinespaciado"/>
        <w:spacing w:line="360" w:lineRule="auto"/>
        <w:jc w:val="both"/>
        <w:rPr>
          <w:rFonts w:ascii="Arial" w:hAnsi="Arial" w:cs="Arial"/>
        </w:rPr>
      </w:pPr>
    </w:p>
    <w:p w14:paraId="286DD24C" w14:textId="636A4567" w:rsidR="00B3512E" w:rsidRDefault="00B3512E" w:rsidP="00B3512E">
      <w:pPr>
        <w:pStyle w:val="Sinespaciado"/>
        <w:spacing w:line="360" w:lineRule="auto"/>
        <w:jc w:val="both"/>
        <w:rPr>
          <w:rFonts w:ascii="Arial" w:hAnsi="Arial" w:cs="Arial"/>
        </w:rPr>
      </w:pPr>
      <w:r>
        <w:rPr>
          <w:rFonts w:ascii="Arial" w:hAnsi="Arial" w:cs="Arial"/>
        </w:rPr>
        <w:t xml:space="preserve">La navegación se define básicamente como la acción de navegar, de efectuar un desplazamiento, travesía o singladura que se realiza con una nave, desde un punto a otro </w:t>
      </w:r>
      <w:sdt>
        <w:sdtPr>
          <w:rPr>
            <w:rFonts w:ascii="Arial" w:hAnsi="Arial" w:cs="Arial"/>
          </w:rPr>
          <w:id w:val="-285431877"/>
          <w:citation/>
        </w:sdtPr>
        <w:sdtContent>
          <w:r>
            <w:rPr>
              <w:rFonts w:ascii="Arial" w:hAnsi="Arial" w:cs="Arial"/>
            </w:rPr>
            <w:fldChar w:fldCharType="begin"/>
          </w:r>
          <w:r>
            <w:rPr>
              <w:rFonts w:ascii="Arial" w:hAnsi="Arial" w:cs="Arial"/>
            </w:rPr>
            <w:instrText xml:space="preserve"> CITATION Rea23 \l 13322 </w:instrText>
          </w:r>
          <w:r>
            <w:rPr>
              <w:rFonts w:ascii="Arial" w:hAnsi="Arial" w:cs="Arial"/>
            </w:rPr>
            <w:fldChar w:fldCharType="separate"/>
          </w:r>
          <w:r w:rsidRPr="00B3512E">
            <w:rPr>
              <w:rFonts w:ascii="Arial" w:hAnsi="Arial" w:cs="Arial"/>
              <w:noProof/>
            </w:rPr>
            <w:t>(Real Academia Española, 2023)</w:t>
          </w:r>
          <w:r>
            <w:rPr>
              <w:rFonts w:ascii="Arial" w:hAnsi="Arial" w:cs="Arial"/>
            </w:rPr>
            <w:fldChar w:fldCharType="end"/>
          </w:r>
        </w:sdtContent>
      </w:sdt>
      <w:r>
        <w:rPr>
          <w:rFonts w:ascii="Arial" w:hAnsi="Arial" w:cs="Arial"/>
        </w:rPr>
        <w:t>. De manera más conceptual, la navegación es la ciencia y arte de navegar, debiéndose tener la capacidad y habilidad para realizarlo a través de un conjunto de conocimientos obtenidos mediante la observación y el razonamiento</w:t>
      </w:r>
      <w:r w:rsidR="00CA33C1">
        <w:rPr>
          <w:rFonts w:ascii="Arial" w:hAnsi="Arial" w:cs="Arial"/>
        </w:rPr>
        <w:t xml:space="preserve">, los cuales de deducen en principios y leyes generales </w:t>
      </w:r>
      <w:sdt>
        <w:sdtPr>
          <w:rPr>
            <w:rFonts w:ascii="Arial" w:hAnsi="Arial" w:cs="Arial"/>
          </w:rPr>
          <w:id w:val="1715773218"/>
          <w:citation/>
        </w:sdtPr>
        <w:sdtContent>
          <w:r w:rsidR="00CA33C1">
            <w:rPr>
              <w:rFonts w:ascii="Arial" w:hAnsi="Arial" w:cs="Arial"/>
            </w:rPr>
            <w:fldChar w:fldCharType="begin"/>
          </w:r>
          <w:r w:rsidR="00CA33C1">
            <w:rPr>
              <w:rFonts w:ascii="Arial" w:hAnsi="Arial" w:cs="Arial"/>
            </w:rPr>
            <w:instrText xml:space="preserve"> CITATION Rea231 \l 13322 </w:instrText>
          </w:r>
          <w:r w:rsidR="00CA33C1">
            <w:rPr>
              <w:rFonts w:ascii="Arial" w:hAnsi="Arial" w:cs="Arial"/>
            </w:rPr>
            <w:fldChar w:fldCharType="separate"/>
          </w:r>
          <w:r w:rsidR="00CA33C1" w:rsidRPr="00CA33C1">
            <w:rPr>
              <w:rFonts w:ascii="Arial" w:hAnsi="Arial" w:cs="Arial"/>
              <w:noProof/>
            </w:rPr>
            <w:t>(Real Academia Española, 2023)</w:t>
          </w:r>
          <w:r w:rsidR="00CA33C1">
            <w:rPr>
              <w:rFonts w:ascii="Arial" w:hAnsi="Arial" w:cs="Arial"/>
            </w:rPr>
            <w:fldChar w:fldCharType="end"/>
          </w:r>
        </w:sdtContent>
      </w:sdt>
      <w:r w:rsidR="00CA33C1">
        <w:rPr>
          <w:rFonts w:ascii="Arial" w:hAnsi="Arial" w:cs="Arial"/>
        </w:rPr>
        <w:t>. Por lo anterior, es necesario contar con guías y apoyos que permitan establecer criterios comunes entre los navegantes para la preparación y ejecución de navegaciones por los diferentes océanos.</w:t>
      </w:r>
    </w:p>
    <w:p w14:paraId="2A34B25E" w14:textId="77777777" w:rsidR="00CA33C1" w:rsidRDefault="00CA33C1" w:rsidP="00B3512E">
      <w:pPr>
        <w:pStyle w:val="Sinespaciado"/>
        <w:spacing w:line="360" w:lineRule="auto"/>
        <w:jc w:val="both"/>
        <w:rPr>
          <w:rFonts w:ascii="Arial" w:hAnsi="Arial" w:cs="Arial"/>
        </w:rPr>
      </w:pPr>
    </w:p>
    <w:p w14:paraId="4AB8622C" w14:textId="4DC1DA9F" w:rsidR="00CA33C1" w:rsidRDefault="00B54A62" w:rsidP="00B3512E">
      <w:pPr>
        <w:pStyle w:val="Sinespaciado"/>
        <w:spacing w:line="360" w:lineRule="auto"/>
        <w:jc w:val="both"/>
        <w:rPr>
          <w:rFonts w:ascii="Arial" w:hAnsi="Arial" w:cs="Arial"/>
        </w:rPr>
      </w:pPr>
      <w:r>
        <w:rPr>
          <w:rFonts w:ascii="Arial" w:hAnsi="Arial" w:cs="Arial"/>
        </w:rPr>
        <w:t xml:space="preserve">El Almirantazgo de la </w:t>
      </w:r>
      <w:r w:rsidR="00CA33C1">
        <w:rPr>
          <w:rFonts w:ascii="Arial" w:hAnsi="Arial" w:cs="Arial"/>
        </w:rPr>
        <w:t>Real Armada del Reino Unido</w:t>
      </w:r>
      <w:r>
        <w:rPr>
          <w:rFonts w:ascii="Arial" w:hAnsi="Arial" w:cs="Arial"/>
        </w:rPr>
        <w:t xml:space="preserve"> publicó un Manual de Navegación destinado a preparar e instruir a los oficiales de la flota en lo relacionado a las técnicas de navegación, pilotaje, navegación astronómica y aspectos matemáticos destinados a perfeccionar los conceptos anteriormente señalados. </w:t>
      </w:r>
      <w:r w:rsidR="0061029F">
        <w:rPr>
          <w:rFonts w:ascii="Arial" w:hAnsi="Arial" w:cs="Arial"/>
        </w:rPr>
        <w:t xml:space="preserve">Este manual, publicado originalmente en 1914 y se ha ido actualizando de acuerdo con los avances tecnológicos y nuevas herramientas disponibles </w:t>
      </w:r>
      <w:sdt>
        <w:sdtPr>
          <w:rPr>
            <w:rFonts w:ascii="Arial" w:hAnsi="Arial" w:cs="Arial"/>
          </w:rPr>
          <w:id w:val="-1997104458"/>
          <w:citation/>
        </w:sdtPr>
        <w:sdtContent>
          <w:r w:rsidR="0061029F">
            <w:rPr>
              <w:rFonts w:ascii="Arial" w:hAnsi="Arial" w:cs="Arial"/>
            </w:rPr>
            <w:fldChar w:fldCharType="begin"/>
          </w:r>
          <w:r w:rsidR="0061029F">
            <w:rPr>
              <w:rFonts w:ascii="Arial" w:hAnsi="Arial" w:cs="Arial"/>
            </w:rPr>
            <w:instrText xml:space="preserve"> CITATION UKD18 \l 13322 </w:instrText>
          </w:r>
          <w:r w:rsidR="0061029F">
            <w:rPr>
              <w:rFonts w:ascii="Arial" w:hAnsi="Arial" w:cs="Arial"/>
            </w:rPr>
            <w:fldChar w:fldCharType="separate"/>
          </w:r>
          <w:r w:rsidR="0061029F" w:rsidRPr="0061029F">
            <w:rPr>
              <w:rFonts w:ascii="Arial" w:hAnsi="Arial" w:cs="Arial"/>
              <w:noProof/>
            </w:rPr>
            <w:t>(UK DOD, 2018)</w:t>
          </w:r>
          <w:r w:rsidR="0061029F">
            <w:rPr>
              <w:rFonts w:ascii="Arial" w:hAnsi="Arial" w:cs="Arial"/>
            </w:rPr>
            <w:fldChar w:fldCharType="end"/>
          </w:r>
        </w:sdtContent>
      </w:sdt>
      <w:r w:rsidR="0061029F">
        <w:rPr>
          <w:rFonts w:ascii="Arial" w:hAnsi="Arial" w:cs="Arial"/>
        </w:rPr>
        <w:t xml:space="preserve">. Dentro de estos avances, se encuentra el empleo de las radiobalizas, GPS y finalmente cartografía electrónica, además de técnicas y </w:t>
      </w:r>
      <w:r w:rsidR="007503CD">
        <w:rPr>
          <w:rFonts w:ascii="Arial" w:hAnsi="Arial" w:cs="Arial"/>
        </w:rPr>
        <w:t xml:space="preserve">nomenclatura necesarias para optimizar el trabajo de los navegantes de la Royal </w:t>
      </w:r>
      <w:proofErr w:type="spellStart"/>
      <w:r w:rsidR="007503CD">
        <w:rPr>
          <w:rFonts w:ascii="Arial" w:hAnsi="Arial" w:cs="Arial"/>
        </w:rPr>
        <w:t>Navy</w:t>
      </w:r>
      <w:proofErr w:type="spellEnd"/>
      <w:r w:rsidR="007503CD">
        <w:rPr>
          <w:rFonts w:ascii="Arial" w:hAnsi="Arial" w:cs="Arial"/>
        </w:rPr>
        <w:t>.</w:t>
      </w:r>
    </w:p>
    <w:p w14:paraId="3CF9E9B5" w14:textId="77777777" w:rsidR="007503CD" w:rsidRDefault="007503CD" w:rsidP="00B3512E">
      <w:pPr>
        <w:pStyle w:val="Sinespaciado"/>
        <w:spacing w:line="360" w:lineRule="auto"/>
        <w:jc w:val="both"/>
        <w:rPr>
          <w:rFonts w:ascii="Arial" w:hAnsi="Arial" w:cs="Arial"/>
        </w:rPr>
      </w:pPr>
    </w:p>
    <w:p w14:paraId="34429BF7" w14:textId="4F445B61" w:rsidR="00E2571A" w:rsidRDefault="007503CD" w:rsidP="00B3512E">
      <w:pPr>
        <w:pStyle w:val="Sinespaciado"/>
        <w:spacing w:line="360" w:lineRule="auto"/>
        <w:jc w:val="both"/>
        <w:rPr>
          <w:rFonts w:ascii="Arial" w:hAnsi="Arial" w:cs="Arial"/>
        </w:rPr>
      </w:pPr>
      <w:r>
        <w:rPr>
          <w:rFonts w:ascii="Arial" w:hAnsi="Arial" w:cs="Arial"/>
        </w:rPr>
        <w:t>En nuestra institución, la</w:t>
      </w:r>
      <w:r w:rsidR="00A86C1B">
        <w:rPr>
          <w:rFonts w:ascii="Arial" w:hAnsi="Arial" w:cs="Arial"/>
        </w:rPr>
        <w:t xml:space="preserve"> publicación que cumplía con el objetivo de contribuir a la formación del estudio de la navegación era el Manual de Navegación, publicación 3030 del Servicio Hidrográfico de la Armada. La última edición de esta publicación nacional </w:t>
      </w:r>
      <w:r w:rsidR="003A3AA7">
        <w:rPr>
          <w:rFonts w:ascii="Arial" w:hAnsi="Arial" w:cs="Arial"/>
        </w:rPr>
        <w:t xml:space="preserve">fue la cuarta, publicada el año 2012, la cual era complementada para la preparación de navegación en aguas interiores por la publicación 3011, también publicada por última vez en el año 2012, en su octava edición </w:t>
      </w:r>
      <w:sdt>
        <w:sdtPr>
          <w:rPr>
            <w:rFonts w:ascii="Arial" w:hAnsi="Arial" w:cs="Arial"/>
          </w:rPr>
          <w:id w:val="961149617"/>
          <w:citation/>
        </w:sdtPr>
        <w:sdtContent>
          <w:r w:rsidR="003A3AA7">
            <w:rPr>
              <w:rFonts w:ascii="Arial" w:hAnsi="Arial" w:cs="Arial"/>
            </w:rPr>
            <w:fldChar w:fldCharType="begin"/>
          </w:r>
          <w:r w:rsidR="003A3AA7">
            <w:rPr>
              <w:rFonts w:ascii="Arial" w:hAnsi="Arial" w:cs="Arial"/>
            </w:rPr>
            <w:instrText xml:space="preserve"> CITATION SHO24 \l 13322 </w:instrText>
          </w:r>
          <w:r w:rsidR="003A3AA7">
            <w:rPr>
              <w:rFonts w:ascii="Arial" w:hAnsi="Arial" w:cs="Arial"/>
            </w:rPr>
            <w:fldChar w:fldCharType="separate"/>
          </w:r>
          <w:r w:rsidR="003A3AA7" w:rsidRPr="003A3AA7">
            <w:rPr>
              <w:rFonts w:ascii="Arial" w:hAnsi="Arial" w:cs="Arial"/>
              <w:noProof/>
            </w:rPr>
            <w:t>(SHOA, 2024)</w:t>
          </w:r>
          <w:r w:rsidR="003A3AA7">
            <w:rPr>
              <w:rFonts w:ascii="Arial" w:hAnsi="Arial" w:cs="Arial"/>
            </w:rPr>
            <w:fldChar w:fldCharType="end"/>
          </w:r>
        </w:sdtContent>
      </w:sdt>
      <w:r w:rsidR="003A3AA7">
        <w:rPr>
          <w:rFonts w:ascii="Arial" w:hAnsi="Arial" w:cs="Arial"/>
        </w:rPr>
        <w:t xml:space="preserve">. Si bien anteriormente la influencia de la BR45 estaba presente en la Armada, a contar del </w:t>
      </w:r>
      <w:r w:rsidR="003A3AA7">
        <w:rPr>
          <w:rFonts w:ascii="Arial" w:hAnsi="Arial" w:cs="Arial"/>
        </w:rPr>
        <w:lastRenderedPageBreak/>
        <w:t xml:space="preserve">año 2017 su empleo comenzó a ser </w:t>
      </w:r>
      <w:r w:rsidR="00B27555">
        <w:rPr>
          <w:rFonts w:ascii="Arial" w:hAnsi="Arial" w:cs="Arial"/>
        </w:rPr>
        <w:t>rectora</w:t>
      </w:r>
      <w:r w:rsidR="003A3AA7">
        <w:rPr>
          <w:rFonts w:ascii="Arial" w:hAnsi="Arial" w:cs="Arial"/>
        </w:rPr>
        <w:t xml:space="preserve"> para la navegación y en cómo afrontar los desafíos que esta presenta</w:t>
      </w:r>
      <w:r w:rsidR="00B27555">
        <w:rPr>
          <w:rFonts w:ascii="Arial" w:hAnsi="Arial" w:cs="Arial"/>
        </w:rPr>
        <w:t>.</w:t>
      </w:r>
    </w:p>
    <w:p w14:paraId="5C610670" w14:textId="77777777" w:rsidR="00702C3D" w:rsidRDefault="00702C3D" w:rsidP="00B3512E">
      <w:pPr>
        <w:pStyle w:val="Sinespaciado"/>
        <w:spacing w:line="360" w:lineRule="auto"/>
        <w:jc w:val="both"/>
        <w:rPr>
          <w:rFonts w:ascii="Arial" w:hAnsi="Arial" w:cs="Arial"/>
        </w:rPr>
      </w:pPr>
    </w:p>
    <w:p w14:paraId="6FD40011" w14:textId="77777777" w:rsidR="005942B1" w:rsidRDefault="00E2571A" w:rsidP="00B3512E">
      <w:pPr>
        <w:pStyle w:val="Sinespaciado"/>
        <w:spacing w:line="360" w:lineRule="auto"/>
        <w:jc w:val="both"/>
        <w:rPr>
          <w:rFonts w:ascii="Arial" w:hAnsi="Arial" w:cs="Arial"/>
        </w:rPr>
      </w:pPr>
      <w:r>
        <w:rPr>
          <w:rFonts w:ascii="Arial" w:hAnsi="Arial" w:cs="Arial"/>
        </w:rPr>
        <w:t>El objeto de este ensayo es analizar qué aspectos de la publicación británica pueden ser adaptados a la realidad nacional, teniendo presente que la BR45 se encuentra en vigencia y es la principal referencia</w:t>
      </w:r>
      <w:r w:rsidR="005942B1">
        <w:rPr>
          <w:rFonts w:ascii="Arial" w:hAnsi="Arial" w:cs="Arial"/>
        </w:rPr>
        <w:t>. El análisis se realizará principalmente en las áreas de navegación y cartografía electrónica, las que, a juicio del autor, presentan un mayor grado de adaptación. Lo anterior, no sólo considerando la navegación submarina, sino también en aspectos generales y como aporte a las unidades de superficie.</w:t>
      </w:r>
    </w:p>
    <w:p w14:paraId="0B2EEE57" w14:textId="77777777" w:rsidR="005942B1" w:rsidRDefault="005942B1" w:rsidP="00B3512E">
      <w:pPr>
        <w:pStyle w:val="Sinespaciado"/>
        <w:spacing w:line="360" w:lineRule="auto"/>
        <w:jc w:val="both"/>
        <w:rPr>
          <w:rFonts w:ascii="Arial" w:hAnsi="Arial" w:cs="Arial"/>
        </w:rPr>
      </w:pPr>
    </w:p>
    <w:p w14:paraId="52BD76EC" w14:textId="77777777" w:rsidR="00422F53" w:rsidRDefault="00422F53" w:rsidP="005942B1">
      <w:pPr>
        <w:pStyle w:val="Sinespaciado"/>
        <w:numPr>
          <w:ilvl w:val="0"/>
          <w:numId w:val="1"/>
        </w:numPr>
        <w:spacing w:line="360" w:lineRule="auto"/>
        <w:ind w:left="426" w:hanging="426"/>
        <w:jc w:val="both"/>
        <w:rPr>
          <w:rFonts w:ascii="Arial" w:hAnsi="Arial" w:cs="Arial"/>
        </w:rPr>
      </w:pPr>
      <w:r>
        <w:rPr>
          <w:rFonts w:ascii="Arial" w:hAnsi="Arial" w:cs="Arial"/>
        </w:rPr>
        <w:t>Fondeo de múltiples unidades.</w:t>
      </w:r>
    </w:p>
    <w:p w14:paraId="3B91C1BB" w14:textId="75E2767B" w:rsidR="00E2571A" w:rsidRDefault="00422F53" w:rsidP="00422F53">
      <w:pPr>
        <w:pStyle w:val="Sinespaciado"/>
        <w:spacing w:line="360" w:lineRule="auto"/>
        <w:ind w:left="426"/>
        <w:jc w:val="both"/>
        <w:rPr>
          <w:rFonts w:ascii="Arial" w:hAnsi="Arial" w:cs="Arial"/>
        </w:rPr>
      </w:pPr>
      <w:r>
        <w:rPr>
          <w:rFonts w:ascii="Arial" w:hAnsi="Arial" w:cs="Arial"/>
        </w:rPr>
        <w:t xml:space="preserve">La BR45 plantea varios métodos </w:t>
      </w:r>
      <w:r w:rsidR="00440AA0">
        <w:rPr>
          <w:rFonts w:ascii="Arial" w:hAnsi="Arial" w:cs="Arial"/>
        </w:rPr>
        <w:t>para determinar las distancias de los puntos de fondeo</w:t>
      </w:r>
      <w:r w:rsidR="00E2571A">
        <w:rPr>
          <w:rFonts w:ascii="Arial" w:hAnsi="Arial" w:cs="Arial"/>
        </w:rPr>
        <w:t xml:space="preserve"> </w:t>
      </w:r>
      <w:r w:rsidR="00B27555">
        <w:rPr>
          <w:rFonts w:ascii="Arial" w:hAnsi="Arial" w:cs="Arial"/>
        </w:rPr>
        <w:t xml:space="preserve">entre varias unidades en un mismo sector. Para lo anterior, se calculan diferentes variantes del </w:t>
      </w:r>
      <w:proofErr w:type="spellStart"/>
      <w:r w:rsidR="00B27555">
        <w:rPr>
          <w:rFonts w:ascii="Arial" w:hAnsi="Arial" w:cs="Arial"/>
        </w:rPr>
        <w:t>Minimum</w:t>
      </w:r>
      <w:proofErr w:type="spellEnd"/>
      <w:r w:rsidR="00B27555">
        <w:rPr>
          <w:rFonts w:ascii="Arial" w:hAnsi="Arial" w:cs="Arial"/>
        </w:rPr>
        <w:t xml:space="preserve"> </w:t>
      </w:r>
      <w:proofErr w:type="spellStart"/>
      <w:r w:rsidR="00B27555">
        <w:rPr>
          <w:rFonts w:ascii="Arial" w:hAnsi="Arial" w:cs="Arial"/>
        </w:rPr>
        <w:t>Swinging</w:t>
      </w:r>
      <w:proofErr w:type="spellEnd"/>
      <w:r w:rsidR="00B27555">
        <w:rPr>
          <w:rFonts w:ascii="Arial" w:hAnsi="Arial" w:cs="Arial"/>
        </w:rPr>
        <w:t xml:space="preserve"> </w:t>
      </w:r>
      <w:proofErr w:type="spellStart"/>
      <w:r w:rsidR="00B27555">
        <w:rPr>
          <w:rFonts w:ascii="Arial" w:hAnsi="Arial" w:cs="Arial"/>
        </w:rPr>
        <w:t>Radius</w:t>
      </w:r>
      <w:proofErr w:type="spellEnd"/>
      <w:r w:rsidR="00B27555">
        <w:rPr>
          <w:rFonts w:ascii="Arial" w:hAnsi="Arial" w:cs="Arial"/>
        </w:rPr>
        <w:t xml:space="preserve"> (MSR), o radio de fondeo mínimo</w:t>
      </w:r>
      <w:r w:rsidR="00F307AE">
        <w:rPr>
          <w:rFonts w:ascii="Arial" w:hAnsi="Arial" w:cs="Arial"/>
        </w:rPr>
        <w:t>. Estas variantes se definen de la siguiente manera</w:t>
      </w:r>
      <w:r w:rsidR="00702C3D">
        <w:rPr>
          <w:rFonts w:ascii="Arial" w:hAnsi="Arial" w:cs="Arial"/>
        </w:rPr>
        <w:t xml:space="preserve"> </w:t>
      </w:r>
      <w:sdt>
        <w:sdtPr>
          <w:rPr>
            <w:rFonts w:ascii="Arial" w:hAnsi="Arial" w:cs="Arial"/>
          </w:rPr>
          <w:id w:val="1682081743"/>
          <w:citation/>
        </w:sdtPr>
        <w:sdtContent>
          <w:r w:rsidR="00702C3D">
            <w:rPr>
              <w:rFonts w:ascii="Arial" w:hAnsi="Arial" w:cs="Arial"/>
            </w:rPr>
            <w:fldChar w:fldCharType="begin"/>
          </w:r>
          <w:r w:rsidR="00702C3D">
            <w:rPr>
              <w:rFonts w:ascii="Arial" w:hAnsi="Arial" w:cs="Arial"/>
            </w:rPr>
            <w:instrText xml:space="preserve"> CITATION UKD18 \l 13322 </w:instrText>
          </w:r>
          <w:r w:rsidR="00702C3D">
            <w:rPr>
              <w:rFonts w:ascii="Arial" w:hAnsi="Arial" w:cs="Arial"/>
            </w:rPr>
            <w:fldChar w:fldCharType="separate"/>
          </w:r>
          <w:r w:rsidR="00702C3D" w:rsidRPr="00702C3D">
            <w:rPr>
              <w:rFonts w:ascii="Arial" w:hAnsi="Arial" w:cs="Arial"/>
              <w:noProof/>
            </w:rPr>
            <w:t>(UK DOD, 2018)</w:t>
          </w:r>
          <w:r w:rsidR="00702C3D">
            <w:rPr>
              <w:rFonts w:ascii="Arial" w:hAnsi="Arial" w:cs="Arial"/>
            </w:rPr>
            <w:fldChar w:fldCharType="end"/>
          </w:r>
        </w:sdtContent>
      </w:sdt>
      <w:r w:rsidR="00F307AE">
        <w:rPr>
          <w:rFonts w:ascii="Arial" w:hAnsi="Arial" w:cs="Arial"/>
        </w:rPr>
        <w:t>:</w:t>
      </w:r>
    </w:p>
    <w:p w14:paraId="413F74D5" w14:textId="6A63C1F3" w:rsidR="00F307AE" w:rsidRDefault="00F307AE" w:rsidP="00F307AE">
      <w:pPr>
        <w:pStyle w:val="Sinespaciado"/>
        <w:numPr>
          <w:ilvl w:val="0"/>
          <w:numId w:val="2"/>
        </w:numPr>
        <w:spacing w:line="360" w:lineRule="auto"/>
        <w:jc w:val="both"/>
        <w:rPr>
          <w:rFonts w:ascii="Arial" w:hAnsi="Arial" w:cs="Arial"/>
        </w:rPr>
      </w:pPr>
      <w:proofErr w:type="spellStart"/>
      <w:r>
        <w:rPr>
          <w:rFonts w:ascii="Arial" w:hAnsi="Arial" w:cs="Arial"/>
        </w:rPr>
        <w:t>Double</w:t>
      </w:r>
      <w:proofErr w:type="spellEnd"/>
      <w:r>
        <w:rPr>
          <w:rFonts w:ascii="Arial" w:hAnsi="Arial" w:cs="Arial"/>
        </w:rPr>
        <w:t xml:space="preserve"> </w:t>
      </w:r>
      <w:r w:rsidR="00352EC0">
        <w:rPr>
          <w:rFonts w:ascii="Arial" w:hAnsi="Arial" w:cs="Arial"/>
        </w:rPr>
        <w:t>n</w:t>
      </w:r>
      <w:r>
        <w:rPr>
          <w:rFonts w:ascii="Arial" w:hAnsi="Arial" w:cs="Arial"/>
        </w:rPr>
        <w:t>ormal MSR. Los buques se espacian a la total distancia de los MSR normales de las unidades, minimizando el riesgo de abordaje.</w:t>
      </w:r>
    </w:p>
    <w:p w14:paraId="64A791DF" w14:textId="7D34411E" w:rsidR="00F307AE" w:rsidRDefault="00F307AE" w:rsidP="00F307AE">
      <w:pPr>
        <w:pStyle w:val="Sinespaciado"/>
        <w:numPr>
          <w:ilvl w:val="0"/>
          <w:numId w:val="2"/>
        </w:numPr>
        <w:spacing w:line="360" w:lineRule="auto"/>
        <w:jc w:val="both"/>
        <w:rPr>
          <w:rFonts w:ascii="Arial" w:hAnsi="Arial" w:cs="Arial"/>
        </w:rPr>
      </w:pPr>
      <w:proofErr w:type="gramStart"/>
      <w:r>
        <w:rPr>
          <w:rFonts w:ascii="Arial" w:hAnsi="Arial" w:cs="Arial"/>
        </w:rPr>
        <w:t>Single</w:t>
      </w:r>
      <w:proofErr w:type="gramEnd"/>
      <w:r>
        <w:rPr>
          <w:rFonts w:ascii="Arial" w:hAnsi="Arial" w:cs="Arial"/>
        </w:rPr>
        <w:t xml:space="preserve"> </w:t>
      </w:r>
      <w:r w:rsidR="00352EC0">
        <w:rPr>
          <w:rFonts w:ascii="Arial" w:hAnsi="Arial" w:cs="Arial"/>
        </w:rPr>
        <w:t>n</w:t>
      </w:r>
      <w:r>
        <w:rPr>
          <w:rFonts w:ascii="Arial" w:hAnsi="Arial" w:cs="Arial"/>
        </w:rPr>
        <w:t xml:space="preserve">ormal MSR. </w:t>
      </w:r>
      <w:r w:rsidR="007A6A7D">
        <w:rPr>
          <w:rFonts w:ascii="Arial" w:hAnsi="Arial" w:cs="Arial"/>
        </w:rPr>
        <w:t xml:space="preserve">El espacio entre buques es una MSR normal, lo que aumenta </w:t>
      </w:r>
      <w:r w:rsidR="00352EC0">
        <w:rPr>
          <w:rFonts w:ascii="Arial" w:hAnsi="Arial" w:cs="Arial"/>
        </w:rPr>
        <w:t>el riesgo, pero disminuye el área requerida.</w:t>
      </w:r>
    </w:p>
    <w:p w14:paraId="0EEAC640" w14:textId="36D7486F" w:rsidR="00352EC0" w:rsidRDefault="00352EC0" w:rsidP="00F307AE">
      <w:pPr>
        <w:pStyle w:val="Sinespaciado"/>
        <w:numPr>
          <w:ilvl w:val="0"/>
          <w:numId w:val="2"/>
        </w:numPr>
        <w:spacing w:line="360" w:lineRule="auto"/>
        <w:jc w:val="both"/>
        <w:rPr>
          <w:rFonts w:ascii="Arial" w:hAnsi="Arial" w:cs="Arial"/>
        </w:rPr>
      </w:pPr>
      <w:proofErr w:type="spellStart"/>
      <w:r>
        <w:rPr>
          <w:rFonts w:ascii="Arial" w:hAnsi="Arial" w:cs="Arial"/>
        </w:rPr>
        <w:t>Double</w:t>
      </w:r>
      <w:proofErr w:type="spellEnd"/>
      <w:r>
        <w:rPr>
          <w:rFonts w:ascii="Arial" w:hAnsi="Arial" w:cs="Arial"/>
        </w:rPr>
        <w:t xml:space="preserve"> </w:t>
      </w:r>
      <w:proofErr w:type="spellStart"/>
      <w:r>
        <w:rPr>
          <w:rFonts w:ascii="Arial" w:hAnsi="Arial" w:cs="Arial"/>
        </w:rPr>
        <w:t>reduced</w:t>
      </w:r>
      <w:proofErr w:type="spellEnd"/>
      <w:r>
        <w:rPr>
          <w:rFonts w:ascii="Arial" w:hAnsi="Arial" w:cs="Arial"/>
        </w:rPr>
        <w:t xml:space="preserve"> MSR. Los buques están espaciados a dos MSR reducidos, reduciendo el área requerida, pero aumenta el riesgo de abordaje.</w:t>
      </w:r>
    </w:p>
    <w:p w14:paraId="41E98670" w14:textId="32554351" w:rsidR="00352EC0" w:rsidRDefault="00352EC0" w:rsidP="00F307AE">
      <w:pPr>
        <w:pStyle w:val="Sinespaciado"/>
        <w:numPr>
          <w:ilvl w:val="0"/>
          <w:numId w:val="2"/>
        </w:numPr>
        <w:spacing w:line="360" w:lineRule="auto"/>
        <w:jc w:val="both"/>
        <w:rPr>
          <w:rFonts w:ascii="Arial" w:hAnsi="Arial" w:cs="Arial"/>
        </w:rPr>
      </w:pPr>
      <w:proofErr w:type="gramStart"/>
      <w:r>
        <w:rPr>
          <w:rFonts w:ascii="Arial" w:hAnsi="Arial" w:cs="Arial"/>
        </w:rPr>
        <w:t>Single</w:t>
      </w:r>
      <w:proofErr w:type="gramEnd"/>
      <w:r>
        <w:rPr>
          <w:rFonts w:ascii="Arial" w:hAnsi="Arial" w:cs="Arial"/>
        </w:rPr>
        <w:t xml:space="preserve"> </w:t>
      </w:r>
      <w:proofErr w:type="spellStart"/>
      <w:r>
        <w:rPr>
          <w:rFonts w:ascii="Arial" w:hAnsi="Arial" w:cs="Arial"/>
        </w:rPr>
        <w:t>reduced</w:t>
      </w:r>
      <w:proofErr w:type="spellEnd"/>
      <w:r>
        <w:rPr>
          <w:rFonts w:ascii="Arial" w:hAnsi="Arial" w:cs="Arial"/>
        </w:rPr>
        <w:t xml:space="preserve"> MSR. El espacio de las unidades equivale a un MSR reducido, lo que reduce al máximo el área requerida, pero el riesgo de colisión es muy alto.</w:t>
      </w:r>
    </w:p>
    <w:p w14:paraId="1AF3DF77" w14:textId="77777777" w:rsidR="00352EC0" w:rsidRDefault="00352EC0" w:rsidP="00352EC0">
      <w:pPr>
        <w:pStyle w:val="Sinespaciado"/>
        <w:spacing w:line="360" w:lineRule="auto"/>
        <w:ind w:left="426"/>
        <w:jc w:val="both"/>
        <w:rPr>
          <w:rFonts w:ascii="Arial" w:hAnsi="Arial" w:cs="Arial"/>
        </w:rPr>
      </w:pPr>
    </w:p>
    <w:p w14:paraId="184F3998" w14:textId="1C2C7094" w:rsidR="00352EC0" w:rsidRDefault="00352EC0" w:rsidP="00352EC0">
      <w:pPr>
        <w:pStyle w:val="Sinespaciado"/>
        <w:spacing w:line="360" w:lineRule="auto"/>
        <w:ind w:left="426"/>
        <w:jc w:val="both"/>
        <w:rPr>
          <w:rFonts w:ascii="Arial" w:hAnsi="Arial" w:cs="Arial"/>
        </w:rPr>
      </w:pPr>
      <w:r>
        <w:rPr>
          <w:rFonts w:ascii="Arial" w:hAnsi="Arial" w:cs="Arial"/>
        </w:rPr>
        <w:t>Además, se debe considerar que la fórmula de obtención del MSR variará si se realiza para cartografía normal o para WECDIS,</w:t>
      </w:r>
      <w:r w:rsidR="00702C3D">
        <w:rPr>
          <w:rFonts w:ascii="Arial" w:hAnsi="Arial" w:cs="Arial"/>
        </w:rPr>
        <w:t xml:space="preserve"> denominado “Drag </w:t>
      </w:r>
      <w:proofErr w:type="spellStart"/>
      <w:r w:rsidR="00702C3D">
        <w:rPr>
          <w:rFonts w:ascii="Arial" w:hAnsi="Arial" w:cs="Arial"/>
        </w:rPr>
        <w:t>Circle</w:t>
      </w:r>
      <w:proofErr w:type="spellEnd"/>
      <w:r w:rsidR="00702C3D">
        <w:rPr>
          <w:rFonts w:ascii="Arial" w:hAnsi="Arial" w:cs="Arial"/>
        </w:rPr>
        <w:t>”,</w:t>
      </w:r>
      <w:r>
        <w:rPr>
          <w:rFonts w:ascii="Arial" w:hAnsi="Arial" w:cs="Arial"/>
        </w:rPr>
        <w:t xml:space="preserve"> </w:t>
      </w:r>
      <w:r w:rsidR="00702C3D">
        <w:rPr>
          <w:rFonts w:ascii="Arial" w:hAnsi="Arial" w:cs="Arial"/>
        </w:rPr>
        <w:t>el cual asume</w:t>
      </w:r>
      <w:r>
        <w:rPr>
          <w:rFonts w:ascii="Arial" w:hAnsi="Arial" w:cs="Arial"/>
        </w:rPr>
        <w:t xml:space="preserve"> un error base de 50 yardas</w:t>
      </w:r>
      <w:r w:rsidR="00702C3D">
        <w:rPr>
          <w:rFonts w:ascii="Arial" w:hAnsi="Arial" w:cs="Arial"/>
        </w:rPr>
        <w:t>,</w:t>
      </w:r>
      <w:r>
        <w:rPr>
          <w:rFonts w:ascii="Arial" w:hAnsi="Arial" w:cs="Arial"/>
        </w:rPr>
        <w:t xml:space="preserve"> </w:t>
      </w:r>
      <w:r w:rsidR="00A93A54">
        <w:rPr>
          <w:rFonts w:ascii="Arial" w:hAnsi="Arial" w:cs="Arial"/>
        </w:rPr>
        <w:t>que debe ser incluido</w:t>
      </w:r>
      <w:r w:rsidR="00702C3D">
        <w:rPr>
          <w:rFonts w:ascii="Arial" w:hAnsi="Arial" w:cs="Arial"/>
        </w:rPr>
        <w:t xml:space="preserve"> </w:t>
      </w:r>
      <w:sdt>
        <w:sdtPr>
          <w:rPr>
            <w:rFonts w:ascii="Arial" w:hAnsi="Arial" w:cs="Arial"/>
          </w:rPr>
          <w:id w:val="2068832354"/>
          <w:citation/>
        </w:sdtPr>
        <w:sdtContent>
          <w:r w:rsidR="00702C3D">
            <w:rPr>
              <w:rFonts w:ascii="Arial" w:hAnsi="Arial" w:cs="Arial"/>
            </w:rPr>
            <w:fldChar w:fldCharType="begin"/>
          </w:r>
          <w:r w:rsidR="00702C3D">
            <w:rPr>
              <w:rFonts w:ascii="Arial" w:hAnsi="Arial" w:cs="Arial"/>
            </w:rPr>
            <w:instrText xml:space="preserve"> CITATION UKD18 \l 13322 </w:instrText>
          </w:r>
          <w:r w:rsidR="00702C3D">
            <w:rPr>
              <w:rFonts w:ascii="Arial" w:hAnsi="Arial" w:cs="Arial"/>
            </w:rPr>
            <w:fldChar w:fldCharType="separate"/>
          </w:r>
          <w:r w:rsidR="00702C3D" w:rsidRPr="00702C3D">
            <w:rPr>
              <w:rFonts w:ascii="Arial" w:hAnsi="Arial" w:cs="Arial"/>
              <w:noProof/>
            </w:rPr>
            <w:t>(UK DOD, 2018)</w:t>
          </w:r>
          <w:r w:rsidR="00702C3D">
            <w:rPr>
              <w:rFonts w:ascii="Arial" w:hAnsi="Arial" w:cs="Arial"/>
            </w:rPr>
            <w:fldChar w:fldCharType="end"/>
          </w:r>
        </w:sdtContent>
      </w:sdt>
      <w:r w:rsidR="00702C3D">
        <w:rPr>
          <w:rFonts w:ascii="Arial" w:hAnsi="Arial" w:cs="Arial"/>
        </w:rPr>
        <w:t>.</w:t>
      </w:r>
    </w:p>
    <w:p w14:paraId="201F4E7B" w14:textId="77777777" w:rsidR="00A93A54" w:rsidRDefault="00A93A54" w:rsidP="00352EC0">
      <w:pPr>
        <w:pStyle w:val="Sinespaciado"/>
        <w:spacing w:line="360" w:lineRule="auto"/>
        <w:ind w:left="426"/>
        <w:jc w:val="both"/>
        <w:rPr>
          <w:rFonts w:ascii="Arial" w:hAnsi="Arial" w:cs="Arial"/>
        </w:rPr>
      </w:pPr>
    </w:p>
    <w:p w14:paraId="1BFA4A2C" w14:textId="67DF9B33" w:rsidR="00A93A54" w:rsidRDefault="00A93A54" w:rsidP="00702C3D">
      <w:pPr>
        <w:pStyle w:val="Sinespaciado"/>
        <w:spacing w:line="360" w:lineRule="auto"/>
        <w:ind w:left="426"/>
        <w:jc w:val="center"/>
        <w:rPr>
          <w:rFonts w:ascii="Arial" w:hAnsi="Arial" w:cs="Arial"/>
        </w:rPr>
      </w:pPr>
      <w:r>
        <w:rPr>
          <w:rFonts w:ascii="Arial" w:hAnsi="Arial" w:cs="Arial"/>
        </w:rPr>
        <w:lastRenderedPageBreak/>
        <w:t>Normal MSR</w:t>
      </w:r>
      <w:r w:rsidR="00702C3D">
        <w:rPr>
          <w:rFonts w:ascii="Arial" w:hAnsi="Arial" w:cs="Arial"/>
        </w:rPr>
        <w:t>=</w:t>
      </w:r>
      <w:r>
        <w:rPr>
          <w:rFonts w:ascii="Arial" w:hAnsi="Arial" w:cs="Arial"/>
        </w:rPr>
        <w:t xml:space="preserve"> eslora del buque + </w:t>
      </w:r>
      <w:r w:rsidR="00702C3D">
        <w:rPr>
          <w:rFonts w:ascii="Arial" w:hAnsi="Arial" w:cs="Arial"/>
        </w:rPr>
        <w:t xml:space="preserve">largo de cadena (1,5 la </w:t>
      </w:r>
      <w:proofErr w:type="spellStart"/>
      <w:r w:rsidR="00702C3D">
        <w:rPr>
          <w:rFonts w:ascii="Arial" w:hAnsi="Arial" w:cs="Arial"/>
        </w:rPr>
        <w:t>prof.</w:t>
      </w:r>
      <w:proofErr w:type="spellEnd"/>
      <w:r w:rsidR="00702C3D">
        <w:rPr>
          <w:rFonts w:ascii="Arial" w:hAnsi="Arial" w:cs="Arial"/>
        </w:rPr>
        <w:t xml:space="preserve"> en metros)</w:t>
      </w:r>
    </w:p>
    <w:p w14:paraId="0260D09E" w14:textId="77777777" w:rsidR="00702C3D" w:rsidRDefault="00702C3D" w:rsidP="00702C3D">
      <w:pPr>
        <w:pStyle w:val="Sinespaciado"/>
        <w:spacing w:line="360" w:lineRule="auto"/>
        <w:ind w:left="426"/>
        <w:jc w:val="center"/>
        <w:rPr>
          <w:rFonts w:ascii="Arial" w:hAnsi="Arial" w:cs="Arial"/>
        </w:rPr>
      </w:pPr>
    </w:p>
    <w:p w14:paraId="2259E216" w14:textId="45A76AA2" w:rsidR="00702C3D" w:rsidRDefault="00702C3D" w:rsidP="00702C3D">
      <w:pPr>
        <w:pStyle w:val="Sinespaciado"/>
        <w:spacing w:line="360" w:lineRule="auto"/>
        <w:ind w:left="426"/>
        <w:jc w:val="center"/>
        <w:rPr>
          <w:rFonts w:ascii="Arial" w:hAnsi="Arial" w:cs="Arial"/>
        </w:rPr>
      </w:pPr>
      <w:r>
        <w:rPr>
          <w:rFonts w:ascii="Arial" w:hAnsi="Arial" w:cs="Arial"/>
        </w:rPr>
        <w:t xml:space="preserve">Drag </w:t>
      </w:r>
      <w:proofErr w:type="spellStart"/>
      <w:r>
        <w:rPr>
          <w:rFonts w:ascii="Arial" w:hAnsi="Arial" w:cs="Arial"/>
        </w:rPr>
        <w:t>Circle</w:t>
      </w:r>
      <w:proofErr w:type="spellEnd"/>
      <w:r>
        <w:rPr>
          <w:rFonts w:ascii="Arial" w:hAnsi="Arial" w:cs="Arial"/>
        </w:rPr>
        <w:t xml:space="preserve">= Normal MSR= </w:t>
      </w:r>
      <w:r>
        <w:rPr>
          <w:rFonts w:ascii="Arial" w:hAnsi="Arial" w:cs="Arial"/>
        </w:rPr>
        <w:t>eslora del buque + largo de cadena</w:t>
      </w:r>
      <w:r>
        <w:rPr>
          <w:rFonts w:ascii="Arial" w:hAnsi="Arial" w:cs="Arial"/>
        </w:rPr>
        <w:t xml:space="preserve"> + error</w:t>
      </w:r>
    </w:p>
    <w:p w14:paraId="67469B61" w14:textId="77777777" w:rsidR="00702C3D" w:rsidRDefault="00702C3D" w:rsidP="00702C3D">
      <w:pPr>
        <w:pStyle w:val="Sinespaciado"/>
        <w:spacing w:line="360" w:lineRule="auto"/>
        <w:ind w:left="426"/>
        <w:jc w:val="center"/>
        <w:rPr>
          <w:rFonts w:ascii="Arial" w:hAnsi="Arial" w:cs="Arial"/>
        </w:rPr>
      </w:pPr>
    </w:p>
    <w:p w14:paraId="65EBBD60" w14:textId="6CFE0877" w:rsidR="00702C3D" w:rsidRDefault="00702C3D" w:rsidP="00702C3D">
      <w:pPr>
        <w:pStyle w:val="Sinespaciado"/>
        <w:spacing w:line="360" w:lineRule="auto"/>
        <w:ind w:left="426"/>
        <w:jc w:val="both"/>
        <w:rPr>
          <w:rFonts w:ascii="Arial" w:hAnsi="Arial" w:cs="Arial"/>
        </w:rPr>
      </w:pPr>
      <w:r>
        <w:rPr>
          <w:rFonts w:ascii="Arial" w:hAnsi="Arial" w:cs="Arial"/>
        </w:rPr>
        <w:t xml:space="preserve">El </w:t>
      </w:r>
      <w:proofErr w:type="spellStart"/>
      <w:r>
        <w:rPr>
          <w:rFonts w:ascii="Arial" w:hAnsi="Arial" w:cs="Arial"/>
          <w:i/>
          <w:iCs/>
        </w:rPr>
        <w:t>d</w:t>
      </w:r>
      <w:r w:rsidRPr="00702C3D">
        <w:rPr>
          <w:rFonts w:ascii="Arial" w:hAnsi="Arial" w:cs="Arial"/>
          <w:i/>
          <w:iCs/>
        </w:rPr>
        <w:t>ouble</w:t>
      </w:r>
      <w:proofErr w:type="spellEnd"/>
      <w:r w:rsidRPr="00702C3D">
        <w:rPr>
          <w:rFonts w:ascii="Arial" w:hAnsi="Arial" w:cs="Arial"/>
          <w:i/>
          <w:iCs/>
        </w:rPr>
        <w:t xml:space="preserve"> normal MSR</w:t>
      </w:r>
      <w:r>
        <w:rPr>
          <w:rFonts w:ascii="Arial" w:hAnsi="Arial" w:cs="Arial"/>
        </w:rPr>
        <w:t xml:space="preserve"> se utiliza para minimizar el abordaje entre unidades que se encuentran borneando, siendo la distancia la suma de los MSR de los buques, que implica mayor seguridad en desmedro del área disponible para fondear.</w:t>
      </w:r>
      <w:r w:rsidR="001E127F">
        <w:rPr>
          <w:rFonts w:ascii="Arial" w:hAnsi="Arial" w:cs="Arial"/>
        </w:rPr>
        <w:t xml:space="preserve"> En base a experiencias de oficiales pilotos de unidades de la Escuadra, este método se utiliza actualmente.</w:t>
      </w:r>
    </w:p>
    <w:p w14:paraId="58A0301F" w14:textId="5F1B92D9" w:rsidR="001E127F" w:rsidRDefault="001E127F" w:rsidP="001E127F">
      <w:pPr>
        <w:pStyle w:val="Sinespaciado"/>
        <w:spacing w:line="360" w:lineRule="auto"/>
        <w:ind w:left="426"/>
        <w:jc w:val="center"/>
        <w:rPr>
          <w:rFonts w:ascii="Arial" w:hAnsi="Arial" w:cs="Arial"/>
        </w:rPr>
      </w:pPr>
      <w:r w:rsidRPr="001E127F">
        <w:rPr>
          <w:rFonts w:ascii="Arial" w:hAnsi="Arial" w:cs="Arial"/>
        </w:rPr>
        <w:drawing>
          <wp:inline distT="0" distB="0" distL="0" distR="0" wp14:anchorId="3FDD84BC" wp14:editId="3438CA2C">
            <wp:extent cx="4443289" cy="3448853"/>
            <wp:effectExtent l="0" t="0" r="0" b="0"/>
            <wp:docPr id="561739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39172" name=""/>
                    <pic:cNvPicPr/>
                  </pic:nvPicPr>
                  <pic:blipFill>
                    <a:blip r:embed="rId6"/>
                    <a:stretch>
                      <a:fillRect/>
                    </a:stretch>
                  </pic:blipFill>
                  <pic:spPr>
                    <a:xfrm>
                      <a:off x="0" y="0"/>
                      <a:ext cx="4456272" cy="3458930"/>
                    </a:xfrm>
                    <a:prstGeom prst="rect">
                      <a:avLst/>
                    </a:prstGeom>
                  </pic:spPr>
                </pic:pic>
              </a:graphicData>
            </a:graphic>
          </wp:inline>
        </w:drawing>
      </w:r>
    </w:p>
    <w:p w14:paraId="58D36096" w14:textId="5DA40DDC" w:rsidR="00702C3D" w:rsidRDefault="001E127F" w:rsidP="00702C3D">
      <w:pPr>
        <w:pStyle w:val="Sinespaciado"/>
        <w:spacing w:line="360" w:lineRule="auto"/>
        <w:ind w:left="426"/>
        <w:jc w:val="center"/>
        <w:rPr>
          <w:rFonts w:ascii="Arial" w:hAnsi="Arial" w:cs="Arial"/>
          <w:i/>
          <w:iCs/>
        </w:rPr>
      </w:pPr>
      <w:r>
        <w:rPr>
          <w:rFonts w:ascii="Arial" w:hAnsi="Arial" w:cs="Arial"/>
        </w:rPr>
        <w:t xml:space="preserve">Unidades fondeades empleando el </w:t>
      </w:r>
      <w:proofErr w:type="spellStart"/>
      <w:r>
        <w:rPr>
          <w:rFonts w:ascii="Arial" w:hAnsi="Arial" w:cs="Arial"/>
          <w:i/>
          <w:iCs/>
        </w:rPr>
        <w:t>d</w:t>
      </w:r>
      <w:r w:rsidRPr="00702C3D">
        <w:rPr>
          <w:rFonts w:ascii="Arial" w:hAnsi="Arial" w:cs="Arial"/>
          <w:i/>
          <w:iCs/>
        </w:rPr>
        <w:t>ouble</w:t>
      </w:r>
      <w:proofErr w:type="spellEnd"/>
      <w:r w:rsidRPr="00702C3D">
        <w:rPr>
          <w:rFonts w:ascii="Arial" w:hAnsi="Arial" w:cs="Arial"/>
          <w:i/>
          <w:iCs/>
        </w:rPr>
        <w:t xml:space="preserve"> normal MSR</w:t>
      </w:r>
      <w:r>
        <w:rPr>
          <w:rFonts w:ascii="Arial" w:hAnsi="Arial" w:cs="Arial"/>
          <w:i/>
          <w:iCs/>
        </w:rPr>
        <w:t>.</w:t>
      </w:r>
    </w:p>
    <w:p w14:paraId="1DF17B57" w14:textId="77777777" w:rsidR="001E127F" w:rsidRDefault="001E127F" w:rsidP="00702C3D">
      <w:pPr>
        <w:pStyle w:val="Sinespaciado"/>
        <w:spacing w:line="360" w:lineRule="auto"/>
        <w:ind w:left="426"/>
        <w:jc w:val="center"/>
        <w:rPr>
          <w:rFonts w:ascii="Arial" w:hAnsi="Arial" w:cs="Arial"/>
          <w:u w:val="single"/>
        </w:rPr>
      </w:pPr>
    </w:p>
    <w:p w14:paraId="582D4D47" w14:textId="251C1F85" w:rsidR="001E127F" w:rsidRDefault="001E127F" w:rsidP="001E127F">
      <w:pPr>
        <w:pStyle w:val="Sinespaciado"/>
        <w:spacing w:line="360" w:lineRule="auto"/>
        <w:ind w:left="426"/>
        <w:jc w:val="both"/>
        <w:rPr>
          <w:rFonts w:ascii="Arial" w:hAnsi="Arial" w:cs="Arial"/>
        </w:rPr>
      </w:pPr>
      <w:r>
        <w:rPr>
          <w:rFonts w:ascii="Arial" w:hAnsi="Arial" w:cs="Arial"/>
        </w:rPr>
        <w:t xml:space="preserve">Para el caso del fondeo de unidades en áreas reducidas y considerando </w:t>
      </w:r>
      <w:r w:rsidR="00E00D0F">
        <w:rPr>
          <w:rFonts w:ascii="Arial" w:hAnsi="Arial" w:cs="Arial"/>
        </w:rPr>
        <w:t xml:space="preserve">favorables </w:t>
      </w:r>
      <w:r>
        <w:rPr>
          <w:rFonts w:ascii="Arial" w:hAnsi="Arial" w:cs="Arial"/>
        </w:rPr>
        <w:t xml:space="preserve">condiciones meteorológicas, la publicación recomienda el fondeo según el </w:t>
      </w:r>
      <w:proofErr w:type="gramStart"/>
      <w:r>
        <w:rPr>
          <w:rFonts w:ascii="Arial" w:hAnsi="Arial" w:cs="Arial"/>
          <w:i/>
          <w:iCs/>
        </w:rPr>
        <w:t>single</w:t>
      </w:r>
      <w:proofErr w:type="gramEnd"/>
      <w:r>
        <w:rPr>
          <w:rFonts w:ascii="Arial" w:hAnsi="Arial" w:cs="Arial"/>
          <w:i/>
          <w:iCs/>
        </w:rPr>
        <w:t xml:space="preserve"> normal MSR, </w:t>
      </w:r>
      <w:r>
        <w:rPr>
          <w:rFonts w:ascii="Arial" w:hAnsi="Arial" w:cs="Arial"/>
        </w:rPr>
        <w:t>que considera la distancia entre los buques por solo un MSR, siendo obligatorio el empleo del mayor de las unidades para determinar el espacio entre ambas. Si bien el riesgo no el alto</w:t>
      </w:r>
      <w:r w:rsidR="00E00D0F">
        <w:rPr>
          <w:rFonts w:ascii="Arial" w:hAnsi="Arial" w:cs="Arial"/>
        </w:rPr>
        <w:t>,</w:t>
      </w:r>
      <w:r>
        <w:rPr>
          <w:rFonts w:ascii="Arial" w:hAnsi="Arial" w:cs="Arial"/>
        </w:rPr>
        <w:t xml:space="preserve"> el nivel de alerta de las unidades debe ser mayor para evitar borneos en dirección a otras naves </w:t>
      </w:r>
      <w:sdt>
        <w:sdtPr>
          <w:rPr>
            <w:rFonts w:ascii="Arial" w:hAnsi="Arial" w:cs="Arial"/>
          </w:rPr>
          <w:id w:val="583107056"/>
          <w:citation/>
        </w:sdtPr>
        <w:sdtContent>
          <w:r>
            <w:rPr>
              <w:rFonts w:ascii="Arial" w:hAnsi="Arial" w:cs="Arial"/>
            </w:rPr>
            <w:fldChar w:fldCharType="begin"/>
          </w:r>
          <w:r>
            <w:rPr>
              <w:rFonts w:ascii="Arial" w:hAnsi="Arial" w:cs="Arial"/>
            </w:rPr>
            <w:instrText xml:space="preserve"> CITATION UKD18 \l 13322 </w:instrText>
          </w:r>
          <w:r>
            <w:rPr>
              <w:rFonts w:ascii="Arial" w:hAnsi="Arial" w:cs="Arial"/>
            </w:rPr>
            <w:fldChar w:fldCharType="separate"/>
          </w:r>
          <w:r w:rsidRPr="001E127F">
            <w:rPr>
              <w:rFonts w:ascii="Arial" w:hAnsi="Arial" w:cs="Arial"/>
              <w:noProof/>
            </w:rPr>
            <w:t>(UK DOD, 2018)</w:t>
          </w:r>
          <w:r>
            <w:rPr>
              <w:rFonts w:ascii="Arial" w:hAnsi="Arial" w:cs="Arial"/>
            </w:rPr>
            <w:fldChar w:fldCharType="end"/>
          </w:r>
        </w:sdtContent>
      </w:sdt>
      <w:r>
        <w:rPr>
          <w:rFonts w:ascii="Arial" w:hAnsi="Arial" w:cs="Arial"/>
        </w:rPr>
        <w:t xml:space="preserve">. Este cálculo para el fondeo podría implementarse en sectores </w:t>
      </w:r>
      <w:r>
        <w:rPr>
          <w:rFonts w:ascii="Arial" w:hAnsi="Arial" w:cs="Arial"/>
        </w:rPr>
        <w:lastRenderedPageBreak/>
        <w:t>de varias unidades deben fondear a la gira, objeto disminuir la distancia al puerto, evitar largos desplazamiento y asegurar buen tenedero para todos los involucrados.</w:t>
      </w:r>
    </w:p>
    <w:p w14:paraId="39E5B246" w14:textId="5D58A50F" w:rsidR="001E127F" w:rsidRPr="001E127F" w:rsidRDefault="001E127F" w:rsidP="001E127F">
      <w:pPr>
        <w:pStyle w:val="Sinespaciado"/>
        <w:spacing w:line="360" w:lineRule="auto"/>
        <w:ind w:left="426"/>
        <w:jc w:val="center"/>
        <w:rPr>
          <w:rFonts w:ascii="Arial" w:hAnsi="Arial" w:cs="Arial"/>
        </w:rPr>
      </w:pPr>
      <w:r w:rsidRPr="001E127F">
        <w:rPr>
          <w:rFonts w:ascii="Arial" w:hAnsi="Arial" w:cs="Arial"/>
        </w:rPr>
        <w:drawing>
          <wp:inline distT="0" distB="0" distL="0" distR="0" wp14:anchorId="2CC125F0" wp14:editId="45C85E3E">
            <wp:extent cx="4522802" cy="3432273"/>
            <wp:effectExtent l="0" t="0" r="0" b="0"/>
            <wp:docPr id="9892511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51108" name=""/>
                    <pic:cNvPicPr/>
                  </pic:nvPicPr>
                  <pic:blipFill>
                    <a:blip r:embed="rId7"/>
                    <a:stretch>
                      <a:fillRect/>
                    </a:stretch>
                  </pic:blipFill>
                  <pic:spPr>
                    <a:xfrm>
                      <a:off x="0" y="0"/>
                      <a:ext cx="4528982" cy="3436963"/>
                    </a:xfrm>
                    <a:prstGeom prst="rect">
                      <a:avLst/>
                    </a:prstGeom>
                  </pic:spPr>
                </pic:pic>
              </a:graphicData>
            </a:graphic>
          </wp:inline>
        </w:drawing>
      </w:r>
    </w:p>
    <w:p w14:paraId="1060340E" w14:textId="78711732" w:rsidR="00E00D0F" w:rsidRDefault="00E00D0F" w:rsidP="00E00D0F">
      <w:pPr>
        <w:pStyle w:val="Sinespaciado"/>
        <w:spacing w:line="360" w:lineRule="auto"/>
        <w:ind w:left="426"/>
        <w:jc w:val="center"/>
        <w:rPr>
          <w:rFonts w:ascii="Arial" w:hAnsi="Arial" w:cs="Arial"/>
          <w:i/>
          <w:iCs/>
        </w:rPr>
      </w:pPr>
      <w:r>
        <w:rPr>
          <w:rFonts w:ascii="Arial" w:hAnsi="Arial" w:cs="Arial"/>
        </w:rPr>
        <w:t xml:space="preserve">Unidades fondeades empleando el </w:t>
      </w:r>
      <w:proofErr w:type="gramStart"/>
      <w:r>
        <w:rPr>
          <w:rFonts w:ascii="Arial" w:hAnsi="Arial" w:cs="Arial"/>
          <w:i/>
          <w:iCs/>
        </w:rPr>
        <w:t>single</w:t>
      </w:r>
      <w:proofErr w:type="gramEnd"/>
      <w:r w:rsidRPr="00702C3D">
        <w:rPr>
          <w:rFonts w:ascii="Arial" w:hAnsi="Arial" w:cs="Arial"/>
          <w:i/>
          <w:iCs/>
        </w:rPr>
        <w:t xml:space="preserve"> normal MSR</w:t>
      </w:r>
      <w:r>
        <w:rPr>
          <w:rFonts w:ascii="Arial" w:hAnsi="Arial" w:cs="Arial"/>
          <w:i/>
          <w:iCs/>
        </w:rPr>
        <w:t>.</w:t>
      </w:r>
    </w:p>
    <w:p w14:paraId="2F27D495" w14:textId="77777777" w:rsidR="00E00D0F" w:rsidRDefault="00E00D0F" w:rsidP="00E00D0F">
      <w:pPr>
        <w:pStyle w:val="Sinespaciado"/>
        <w:spacing w:line="360" w:lineRule="auto"/>
        <w:ind w:left="426"/>
        <w:jc w:val="center"/>
        <w:rPr>
          <w:rFonts w:ascii="Arial" w:hAnsi="Arial" w:cs="Arial"/>
          <w:i/>
          <w:iCs/>
        </w:rPr>
      </w:pPr>
    </w:p>
    <w:p w14:paraId="21F84A26" w14:textId="3F17FD81" w:rsidR="00702C3D" w:rsidRDefault="00E00D0F" w:rsidP="00E00D0F">
      <w:pPr>
        <w:pStyle w:val="Sinespaciado"/>
        <w:numPr>
          <w:ilvl w:val="0"/>
          <w:numId w:val="1"/>
        </w:numPr>
        <w:tabs>
          <w:tab w:val="left" w:pos="426"/>
        </w:tabs>
        <w:spacing w:line="360" w:lineRule="auto"/>
        <w:ind w:left="426" w:hanging="426"/>
        <w:jc w:val="both"/>
        <w:rPr>
          <w:rFonts w:ascii="Arial" w:hAnsi="Arial" w:cs="Arial"/>
        </w:rPr>
      </w:pPr>
      <w:r>
        <w:rPr>
          <w:rFonts w:ascii="Arial" w:hAnsi="Arial" w:cs="Arial"/>
        </w:rPr>
        <w:t>Fondeo en profundidad.</w:t>
      </w:r>
    </w:p>
    <w:p w14:paraId="092ED6FC" w14:textId="7BC1D352" w:rsidR="00E00D0F" w:rsidRDefault="00EC6D74" w:rsidP="00E00D0F">
      <w:pPr>
        <w:pStyle w:val="Sinespaciado"/>
        <w:tabs>
          <w:tab w:val="left" w:pos="426"/>
        </w:tabs>
        <w:spacing w:line="360" w:lineRule="auto"/>
        <w:ind w:left="426"/>
        <w:jc w:val="both"/>
        <w:rPr>
          <w:rFonts w:ascii="Arial" w:hAnsi="Arial" w:cs="Arial"/>
        </w:rPr>
      </w:pPr>
      <w:r>
        <w:rPr>
          <w:rFonts w:ascii="Arial" w:hAnsi="Arial" w:cs="Arial"/>
        </w:rPr>
        <w:t xml:space="preserve">La publicación británica considera que cualquier profundidad superior a 27 metros es en aguas profundas para esta acción. Señala que el fondeo es posible, pero considera varias consideraciones y alternativas que deben ser exploradas y empleadas </w:t>
      </w:r>
      <w:sdt>
        <w:sdtPr>
          <w:rPr>
            <w:rFonts w:ascii="Arial" w:hAnsi="Arial" w:cs="Arial"/>
          </w:rPr>
          <w:id w:val="990363021"/>
          <w:citation/>
        </w:sdtPr>
        <w:sdtContent>
          <w:r>
            <w:rPr>
              <w:rFonts w:ascii="Arial" w:hAnsi="Arial" w:cs="Arial"/>
            </w:rPr>
            <w:fldChar w:fldCharType="begin"/>
          </w:r>
          <w:r>
            <w:rPr>
              <w:rFonts w:ascii="Arial" w:hAnsi="Arial" w:cs="Arial"/>
            </w:rPr>
            <w:instrText xml:space="preserve"> CITATION UKD18 \l 13322 </w:instrText>
          </w:r>
          <w:r>
            <w:rPr>
              <w:rFonts w:ascii="Arial" w:hAnsi="Arial" w:cs="Arial"/>
            </w:rPr>
            <w:fldChar w:fldCharType="separate"/>
          </w:r>
          <w:r w:rsidRPr="00EC6D74">
            <w:rPr>
              <w:rFonts w:ascii="Arial" w:hAnsi="Arial" w:cs="Arial"/>
              <w:noProof/>
            </w:rPr>
            <w:t>(UK DOD, 2018)</w:t>
          </w:r>
          <w:r>
            <w:rPr>
              <w:rFonts w:ascii="Arial" w:hAnsi="Arial" w:cs="Arial"/>
            </w:rPr>
            <w:fldChar w:fldCharType="end"/>
          </w:r>
        </w:sdtContent>
      </w:sdt>
      <w:r>
        <w:rPr>
          <w:rFonts w:ascii="Arial" w:hAnsi="Arial" w:cs="Arial"/>
        </w:rPr>
        <w:t>. Se debe tener presente que generalmente las unidades de nuestra institución, ya sea submarinas o de superficie, fondean en lugares con profundidades cercanas a los 27 metros, o superiores.</w:t>
      </w:r>
    </w:p>
    <w:p w14:paraId="630D5A7D" w14:textId="77777777" w:rsidR="00EC6D74" w:rsidRDefault="00EC6D74" w:rsidP="00E00D0F">
      <w:pPr>
        <w:pStyle w:val="Sinespaciado"/>
        <w:tabs>
          <w:tab w:val="left" w:pos="426"/>
        </w:tabs>
        <w:spacing w:line="360" w:lineRule="auto"/>
        <w:ind w:left="426"/>
        <w:jc w:val="both"/>
        <w:rPr>
          <w:rFonts w:ascii="Arial" w:hAnsi="Arial" w:cs="Arial"/>
        </w:rPr>
      </w:pPr>
    </w:p>
    <w:p w14:paraId="6F1C3714" w14:textId="318C73AA" w:rsidR="00EC6D74" w:rsidRDefault="00EC6D74" w:rsidP="00E00D0F">
      <w:pPr>
        <w:pStyle w:val="Sinespaciado"/>
        <w:tabs>
          <w:tab w:val="left" w:pos="426"/>
        </w:tabs>
        <w:spacing w:line="360" w:lineRule="auto"/>
        <w:ind w:left="426"/>
        <w:jc w:val="both"/>
        <w:rPr>
          <w:rFonts w:ascii="Arial" w:hAnsi="Arial" w:cs="Arial"/>
        </w:rPr>
      </w:pPr>
      <w:r>
        <w:rPr>
          <w:rFonts w:ascii="Arial" w:hAnsi="Arial" w:cs="Arial"/>
        </w:rPr>
        <w:t>Se señala que, para fondear en profundidad, se debe tener principal preocupación por la energía cinética originada sobre el ancla al largarla en el punto de manera tradicional. Se considera que, debido a esta energía, se produce un daño físico sobre el ancla</w:t>
      </w:r>
      <w:r w:rsidR="00E67B96">
        <w:rPr>
          <w:rFonts w:ascii="Arial" w:hAnsi="Arial" w:cs="Arial"/>
        </w:rPr>
        <w:t xml:space="preserve">, cadena y componentes, al momento de </w:t>
      </w:r>
      <w:r w:rsidR="00E67B96">
        <w:rPr>
          <w:rFonts w:ascii="Arial" w:hAnsi="Arial" w:cs="Arial"/>
        </w:rPr>
        <w:lastRenderedPageBreak/>
        <w:t xml:space="preserve">impactar el fondo marino. Para evitar lo anterior, se recomienda desvirar el ancla a 18 metros sobre la sonda del lugar de fondeo, y con leve viada atrás y en el punto, desconectar el freno para generar la caída del ancla y cadena, logrando, según la publicación, el mismo cometido con mayor resguardo del material </w:t>
      </w:r>
      <w:sdt>
        <w:sdtPr>
          <w:rPr>
            <w:rFonts w:ascii="Arial" w:hAnsi="Arial" w:cs="Arial"/>
          </w:rPr>
          <w:id w:val="-790354368"/>
          <w:citation/>
        </w:sdtPr>
        <w:sdtContent>
          <w:r w:rsidR="00E67B96">
            <w:rPr>
              <w:rFonts w:ascii="Arial" w:hAnsi="Arial" w:cs="Arial"/>
            </w:rPr>
            <w:fldChar w:fldCharType="begin"/>
          </w:r>
          <w:r w:rsidR="00E67B96">
            <w:rPr>
              <w:rFonts w:ascii="Arial" w:hAnsi="Arial" w:cs="Arial"/>
            </w:rPr>
            <w:instrText xml:space="preserve"> CITATION UKD18 \l 13322 </w:instrText>
          </w:r>
          <w:r w:rsidR="00E67B96">
            <w:rPr>
              <w:rFonts w:ascii="Arial" w:hAnsi="Arial" w:cs="Arial"/>
            </w:rPr>
            <w:fldChar w:fldCharType="separate"/>
          </w:r>
          <w:r w:rsidR="00E67B96" w:rsidRPr="00E67B96">
            <w:rPr>
              <w:rFonts w:ascii="Arial" w:hAnsi="Arial" w:cs="Arial"/>
              <w:noProof/>
            </w:rPr>
            <w:t>(UK DOD, 2018)</w:t>
          </w:r>
          <w:r w:rsidR="00E67B96">
            <w:rPr>
              <w:rFonts w:ascii="Arial" w:hAnsi="Arial" w:cs="Arial"/>
            </w:rPr>
            <w:fldChar w:fldCharType="end"/>
          </w:r>
        </w:sdtContent>
      </w:sdt>
      <w:r w:rsidR="00E67B96">
        <w:rPr>
          <w:rFonts w:ascii="Arial" w:hAnsi="Arial" w:cs="Arial"/>
        </w:rPr>
        <w:t>.</w:t>
      </w:r>
    </w:p>
    <w:p w14:paraId="0D333565" w14:textId="77777777" w:rsidR="00E67B96" w:rsidRDefault="00E67B96" w:rsidP="00E00D0F">
      <w:pPr>
        <w:pStyle w:val="Sinespaciado"/>
        <w:tabs>
          <w:tab w:val="left" w:pos="426"/>
        </w:tabs>
        <w:spacing w:line="360" w:lineRule="auto"/>
        <w:ind w:left="426"/>
        <w:jc w:val="both"/>
        <w:rPr>
          <w:rFonts w:ascii="Arial" w:hAnsi="Arial" w:cs="Arial"/>
        </w:rPr>
      </w:pPr>
    </w:p>
    <w:p w14:paraId="4EC201D7" w14:textId="32A7D3CB" w:rsidR="00E67B96" w:rsidRDefault="001F3CFD" w:rsidP="00E00D0F">
      <w:pPr>
        <w:pStyle w:val="Sinespaciado"/>
        <w:tabs>
          <w:tab w:val="left" w:pos="426"/>
        </w:tabs>
        <w:spacing w:line="360" w:lineRule="auto"/>
        <w:ind w:left="426"/>
        <w:jc w:val="both"/>
        <w:rPr>
          <w:rFonts w:ascii="Arial" w:hAnsi="Arial" w:cs="Arial"/>
        </w:rPr>
      </w:pPr>
      <w:r>
        <w:rPr>
          <w:rFonts w:ascii="Arial" w:hAnsi="Arial" w:cs="Arial"/>
        </w:rPr>
        <w:t xml:space="preserve">Esto no solo resguardaría el material de la maniobra de fondeo, sino que apoyaría la maniobra actual que realizan las unidades de la escuadra al fondear para proteger los sonares de casco al fondear dando atrás. Para el caso de las unidades submarinas, también podría ser implementado con el objeto de proteger el ancla, considerando que actualmente se desviran cerca de dos o tres metros antes del fondeo para asegurar la caída del ancla. Por último, la publicación da más recomendaciones de como fondear en profundidad, las que son seguidas por nuestra institución, sobre todo en aspectos de intensidad del viento, fondeo en canales profundos, </w:t>
      </w:r>
      <w:r w:rsidR="004D48F1">
        <w:rPr>
          <w:rFonts w:ascii="Arial" w:hAnsi="Arial" w:cs="Arial"/>
        </w:rPr>
        <w:t>entre otros.</w:t>
      </w:r>
    </w:p>
    <w:p w14:paraId="6625DCE3" w14:textId="77777777" w:rsidR="00702C3D" w:rsidRDefault="00702C3D" w:rsidP="00702C3D">
      <w:pPr>
        <w:pStyle w:val="Sinespaciado"/>
        <w:spacing w:line="360" w:lineRule="auto"/>
        <w:ind w:left="426"/>
        <w:jc w:val="center"/>
        <w:rPr>
          <w:rFonts w:ascii="Arial" w:hAnsi="Arial" w:cs="Arial"/>
        </w:rPr>
      </w:pPr>
    </w:p>
    <w:p w14:paraId="5218B2BE" w14:textId="6DCD59F3" w:rsidR="00283229" w:rsidRDefault="00D43243" w:rsidP="00283229">
      <w:pPr>
        <w:pStyle w:val="Sinespaciado"/>
        <w:numPr>
          <w:ilvl w:val="0"/>
          <w:numId w:val="1"/>
        </w:numPr>
        <w:spacing w:line="360" w:lineRule="auto"/>
        <w:ind w:left="426" w:hanging="426"/>
        <w:jc w:val="both"/>
        <w:rPr>
          <w:rFonts w:ascii="Arial" w:hAnsi="Arial" w:cs="Arial"/>
        </w:rPr>
      </w:pPr>
      <w:r>
        <w:rPr>
          <w:rFonts w:ascii="Arial" w:hAnsi="Arial" w:cs="Arial"/>
        </w:rPr>
        <w:t>Empleo de errores a la navegación.</w:t>
      </w:r>
    </w:p>
    <w:p w14:paraId="09279C04" w14:textId="6C373F32" w:rsidR="00B3512E" w:rsidRDefault="00D43243" w:rsidP="00D43243">
      <w:pPr>
        <w:pStyle w:val="Sinespaciado"/>
        <w:spacing w:line="360" w:lineRule="auto"/>
        <w:ind w:left="426"/>
        <w:jc w:val="both"/>
        <w:rPr>
          <w:rFonts w:ascii="Arial" w:hAnsi="Arial" w:cs="Arial"/>
          <w:lang w:val="es-ES_tradnl"/>
        </w:rPr>
      </w:pPr>
      <w:r>
        <w:rPr>
          <w:rFonts w:ascii="Arial" w:hAnsi="Arial" w:cs="Arial"/>
        </w:rPr>
        <w:t xml:space="preserve">Las unidades submarinas de nuestra institución, de manera obligatoria, deben llevar una navegación por estima que asegure su seguridad, por lo cual se emplea el pool de errores, </w:t>
      </w:r>
      <w:r>
        <w:rPr>
          <w:rFonts w:ascii="Arial" w:hAnsi="Arial" w:cs="Arial"/>
          <w:lang w:val="es-ES_tradnl"/>
        </w:rPr>
        <w:t xml:space="preserve">que </w:t>
      </w:r>
      <w:r w:rsidRPr="00760B6E">
        <w:rPr>
          <w:rFonts w:ascii="Arial" w:hAnsi="Arial" w:cs="Arial"/>
          <w:lang w:val="es-ES_tradnl"/>
        </w:rPr>
        <w:t>no es más que el área donde debería encontrarse el submarino después de un cierto período sin situación</w:t>
      </w:r>
      <w:r>
        <w:rPr>
          <w:rFonts w:ascii="Arial" w:hAnsi="Arial" w:cs="Arial"/>
          <w:lang w:val="es-ES_tradnl"/>
        </w:rPr>
        <w:t>. Para trabajar sobre el pool de errores, se consideran varios errores que deben ser utilizados para su confección y posterior uso, siguiendo las instrucciones dadas en el volumen 9 de la BR45. En las unidades de superficie nacionales, ya sea de combate, auxiliares o marítimas, estos errores no son considerados</w:t>
      </w:r>
      <w:r w:rsidR="0059410D">
        <w:rPr>
          <w:rFonts w:ascii="Arial" w:hAnsi="Arial" w:cs="Arial"/>
          <w:lang w:val="es-ES_tradnl"/>
        </w:rPr>
        <w:t xml:space="preserve"> para poder determinar de manera más exacta la posición del buque, teniendo presente además que no hay certezas del empleo de medios satelitales en caso de un posible conflicto.</w:t>
      </w:r>
    </w:p>
    <w:p w14:paraId="3A27B2BB" w14:textId="77777777" w:rsidR="0059410D" w:rsidRDefault="0059410D" w:rsidP="00D43243">
      <w:pPr>
        <w:pStyle w:val="Sinespaciado"/>
        <w:spacing w:line="360" w:lineRule="auto"/>
        <w:ind w:left="426"/>
        <w:jc w:val="both"/>
        <w:rPr>
          <w:rFonts w:ascii="Arial" w:hAnsi="Arial" w:cs="Arial"/>
          <w:lang w:val="es-ES_tradnl"/>
        </w:rPr>
      </w:pPr>
    </w:p>
    <w:p w14:paraId="50675A74" w14:textId="0BA08483" w:rsidR="0059410D" w:rsidRDefault="0059410D" w:rsidP="00D43243">
      <w:pPr>
        <w:pStyle w:val="Sinespaciado"/>
        <w:spacing w:line="360" w:lineRule="auto"/>
        <w:ind w:left="426"/>
        <w:jc w:val="both"/>
        <w:rPr>
          <w:rFonts w:ascii="Arial" w:hAnsi="Arial" w:cs="Arial"/>
        </w:rPr>
      </w:pPr>
      <w:r>
        <w:rPr>
          <w:rFonts w:ascii="Arial" w:hAnsi="Arial" w:cs="Arial"/>
          <w:lang w:val="es-ES_tradnl"/>
        </w:rPr>
        <w:t xml:space="preserve">La BR45 señala diversos errores a tener en consideración para determinar la posición estimada de la unidad, comenzando por el error generado a las </w:t>
      </w:r>
      <w:r>
        <w:rPr>
          <w:rFonts w:ascii="Arial" w:hAnsi="Arial" w:cs="Arial"/>
          <w:lang w:val="es-ES_tradnl"/>
        </w:rPr>
        <w:lastRenderedPageBreak/>
        <w:t xml:space="preserve">observaciones astronómicas, tenidas en cuenta en caso de no contar con posicionamiento satelital. </w:t>
      </w:r>
      <w:r w:rsidR="008B4821">
        <w:rPr>
          <w:rFonts w:ascii="Arial" w:hAnsi="Arial" w:cs="Arial"/>
          <w:lang w:val="es-ES_tradnl"/>
        </w:rPr>
        <w:t>Luego, señala que existen una serie de errores provenientes de equipos, humanos y de tabulación, los cuales no pueden ser previstos, siendo considerados con 95% de certeza y el restante 5% de probabilidad de que la unidad no se encuentre en la zona de posición estimada</w:t>
      </w:r>
      <w:r w:rsidR="005543DA">
        <w:rPr>
          <w:rFonts w:ascii="Arial" w:hAnsi="Arial" w:cs="Arial"/>
          <w:lang w:val="es-ES_tradnl"/>
        </w:rPr>
        <w:t xml:space="preserve"> </w:t>
      </w:r>
      <w:sdt>
        <w:sdtPr>
          <w:rPr>
            <w:rFonts w:ascii="Arial" w:hAnsi="Arial" w:cs="Arial"/>
            <w:lang w:val="es-ES_tradnl"/>
          </w:rPr>
          <w:id w:val="-1484301630"/>
          <w:citation/>
        </w:sdtPr>
        <w:sdtContent>
          <w:r w:rsidR="005543DA">
            <w:rPr>
              <w:rFonts w:ascii="Arial" w:hAnsi="Arial" w:cs="Arial"/>
              <w:lang w:val="es-ES_tradnl"/>
            </w:rPr>
            <w:fldChar w:fldCharType="begin"/>
          </w:r>
          <w:r w:rsidR="005543DA">
            <w:rPr>
              <w:rFonts w:ascii="Arial" w:hAnsi="Arial" w:cs="Arial"/>
            </w:rPr>
            <w:instrText xml:space="preserve"> CITATION UKD18 \l 13322 </w:instrText>
          </w:r>
          <w:r w:rsidR="005543DA">
            <w:rPr>
              <w:rFonts w:ascii="Arial" w:hAnsi="Arial" w:cs="Arial"/>
              <w:lang w:val="es-ES_tradnl"/>
            </w:rPr>
            <w:fldChar w:fldCharType="separate"/>
          </w:r>
          <w:r w:rsidR="005543DA" w:rsidRPr="005543DA">
            <w:rPr>
              <w:rFonts w:ascii="Arial" w:hAnsi="Arial" w:cs="Arial"/>
              <w:noProof/>
            </w:rPr>
            <w:t>(UK DOD, 2018)</w:t>
          </w:r>
          <w:r w:rsidR="005543DA">
            <w:rPr>
              <w:rFonts w:ascii="Arial" w:hAnsi="Arial" w:cs="Arial"/>
              <w:lang w:val="es-ES_tradnl"/>
            </w:rPr>
            <w:fldChar w:fldCharType="end"/>
          </w:r>
        </w:sdtContent>
      </w:sdt>
      <w:r w:rsidR="005543DA">
        <w:rPr>
          <w:rFonts w:ascii="Arial" w:hAnsi="Arial" w:cs="Arial"/>
          <w:lang w:val="es-ES_tradnl"/>
        </w:rPr>
        <w:t xml:space="preserve">. </w:t>
      </w:r>
      <w:r w:rsidR="008B4821">
        <w:rPr>
          <w:rFonts w:ascii="Arial" w:hAnsi="Arial" w:cs="Arial"/>
          <w:lang w:val="es-ES_tradnl"/>
        </w:rPr>
        <w:t xml:space="preserve">La publicación detalla </w:t>
      </w:r>
      <w:r w:rsidR="005543DA">
        <w:rPr>
          <w:rFonts w:ascii="Arial" w:hAnsi="Arial" w:cs="Arial"/>
          <w:lang w:val="es-ES_tradnl"/>
        </w:rPr>
        <w:t>cómo</w:t>
      </w:r>
      <w:r w:rsidR="008B4821">
        <w:rPr>
          <w:rFonts w:ascii="Arial" w:hAnsi="Arial" w:cs="Arial"/>
          <w:lang w:val="es-ES_tradnl"/>
        </w:rPr>
        <w:t xml:space="preserve"> se debe realizar y bajo </w:t>
      </w:r>
      <w:proofErr w:type="spellStart"/>
      <w:r w:rsidR="008B4821">
        <w:rPr>
          <w:rFonts w:ascii="Arial" w:hAnsi="Arial" w:cs="Arial"/>
          <w:lang w:val="es-ES_tradnl"/>
        </w:rPr>
        <w:t>que</w:t>
      </w:r>
      <w:proofErr w:type="spellEnd"/>
      <w:r w:rsidR="008B4821">
        <w:rPr>
          <w:rFonts w:ascii="Arial" w:hAnsi="Arial" w:cs="Arial"/>
          <w:lang w:val="es-ES_tradnl"/>
        </w:rPr>
        <w:t xml:space="preserve"> condiciones deben calcularse, no estando presente, actualmente en empleo en nuestras unidades y siendo una opción de implementación debido principalmente a las navegaciones en el área austral de nuestro territorio.</w:t>
      </w:r>
      <w:r>
        <w:rPr>
          <w:rFonts w:ascii="Arial" w:hAnsi="Arial" w:cs="Arial"/>
          <w:lang w:val="es-ES_tradnl"/>
        </w:rPr>
        <w:t xml:space="preserve"> </w:t>
      </w:r>
    </w:p>
    <w:p w14:paraId="1AB1B70A" w14:textId="7B3D06D7" w:rsidR="00B3512E" w:rsidRDefault="005543DA" w:rsidP="005543DA">
      <w:pPr>
        <w:pStyle w:val="Sinespaciado"/>
        <w:spacing w:line="360" w:lineRule="auto"/>
        <w:jc w:val="center"/>
        <w:rPr>
          <w:rFonts w:ascii="Arial" w:hAnsi="Arial" w:cs="Arial"/>
        </w:rPr>
      </w:pPr>
      <w:r w:rsidRPr="005543DA">
        <w:rPr>
          <w:rFonts w:ascii="Arial" w:hAnsi="Arial" w:cs="Arial"/>
        </w:rPr>
        <w:drawing>
          <wp:inline distT="0" distB="0" distL="0" distR="0" wp14:anchorId="6F3C5B71" wp14:editId="74A0109D">
            <wp:extent cx="5438692" cy="2099186"/>
            <wp:effectExtent l="0" t="0" r="0" b="0"/>
            <wp:docPr id="1727941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41096" name=""/>
                    <pic:cNvPicPr/>
                  </pic:nvPicPr>
                  <pic:blipFill>
                    <a:blip r:embed="rId8"/>
                    <a:stretch>
                      <a:fillRect/>
                    </a:stretch>
                  </pic:blipFill>
                  <pic:spPr>
                    <a:xfrm>
                      <a:off x="0" y="0"/>
                      <a:ext cx="5474066" cy="2112839"/>
                    </a:xfrm>
                    <a:prstGeom prst="rect">
                      <a:avLst/>
                    </a:prstGeom>
                  </pic:spPr>
                </pic:pic>
              </a:graphicData>
            </a:graphic>
          </wp:inline>
        </w:drawing>
      </w:r>
    </w:p>
    <w:p w14:paraId="107FD54F" w14:textId="17EBBBA1" w:rsidR="005543DA" w:rsidRDefault="005543DA" w:rsidP="005543DA">
      <w:pPr>
        <w:pStyle w:val="Sinespaciado"/>
        <w:spacing w:line="360" w:lineRule="auto"/>
        <w:jc w:val="center"/>
        <w:rPr>
          <w:rFonts w:ascii="Arial" w:hAnsi="Arial" w:cs="Arial"/>
        </w:rPr>
      </w:pPr>
      <w:r>
        <w:rPr>
          <w:rFonts w:ascii="Arial" w:hAnsi="Arial" w:cs="Arial"/>
        </w:rPr>
        <w:t>Ejemplo de situación con círculo de probabilidad (95%)</w:t>
      </w:r>
    </w:p>
    <w:p w14:paraId="0BCCD92A" w14:textId="77777777" w:rsidR="00CF6FA5" w:rsidRDefault="00CF6FA5" w:rsidP="005543DA">
      <w:pPr>
        <w:pStyle w:val="Sinespaciado"/>
        <w:spacing w:line="360" w:lineRule="auto"/>
        <w:jc w:val="center"/>
        <w:rPr>
          <w:rFonts w:ascii="Arial" w:hAnsi="Arial" w:cs="Arial"/>
        </w:rPr>
      </w:pPr>
    </w:p>
    <w:p w14:paraId="2B8C30ED" w14:textId="781F0BAC" w:rsidR="00CF6FA5" w:rsidRDefault="00CF6FA5" w:rsidP="00CF6FA5">
      <w:pPr>
        <w:pStyle w:val="Sinespaciado"/>
        <w:numPr>
          <w:ilvl w:val="0"/>
          <w:numId w:val="1"/>
        </w:numPr>
        <w:spacing w:line="360" w:lineRule="auto"/>
        <w:ind w:left="426" w:hanging="426"/>
        <w:jc w:val="both"/>
        <w:rPr>
          <w:rFonts w:ascii="Arial" w:hAnsi="Arial" w:cs="Arial"/>
        </w:rPr>
      </w:pPr>
      <w:r>
        <w:rPr>
          <w:rFonts w:ascii="Arial" w:hAnsi="Arial" w:cs="Arial"/>
        </w:rPr>
        <w:t>Empleo de WECDIS.</w:t>
      </w:r>
    </w:p>
    <w:p w14:paraId="27E0DC8D" w14:textId="7AF9B4D1" w:rsidR="00CF6FA5" w:rsidRDefault="00CF6FA5" w:rsidP="00CF6FA5">
      <w:pPr>
        <w:pStyle w:val="Sinespaciado"/>
        <w:spacing w:line="360" w:lineRule="auto"/>
        <w:ind w:left="426"/>
        <w:jc w:val="both"/>
        <w:rPr>
          <w:rFonts w:ascii="Arial" w:hAnsi="Arial" w:cs="Arial"/>
        </w:rPr>
      </w:pPr>
      <w:r>
        <w:rPr>
          <w:rFonts w:ascii="Arial" w:hAnsi="Arial" w:cs="Arial"/>
        </w:rPr>
        <w:t xml:space="preserve">En nuestra institución, mayoritariamente se emplea el ECDIS (Electronic Chart </w:t>
      </w:r>
      <w:proofErr w:type="spellStart"/>
      <w:r>
        <w:rPr>
          <w:rFonts w:ascii="Arial" w:hAnsi="Arial" w:cs="Arial"/>
        </w:rPr>
        <w:t>Display</w:t>
      </w:r>
      <w:proofErr w:type="spellEnd"/>
      <w:r>
        <w:rPr>
          <w:rFonts w:ascii="Arial" w:hAnsi="Arial" w:cs="Arial"/>
        </w:rPr>
        <w:t xml:space="preserve"> and </w:t>
      </w:r>
      <w:proofErr w:type="spellStart"/>
      <w:r>
        <w:rPr>
          <w:rFonts w:ascii="Arial" w:hAnsi="Arial" w:cs="Arial"/>
        </w:rPr>
        <w:t>Information</w:t>
      </w:r>
      <w:proofErr w:type="spellEnd"/>
      <w:r>
        <w:rPr>
          <w:rFonts w:ascii="Arial" w:hAnsi="Arial" w:cs="Arial"/>
        </w:rPr>
        <w:t xml:space="preserve"> </w:t>
      </w:r>
      <w:proofErr w:type="spellStart"/>
      <w:r>
        <w:rPr>
          <w:rFonts w:ascii="Arial" w:hAnsi="Arial" w:cs="Arial"/>
        </w:rPr>
        <w:t>System</w:t>
      </w:r>
      <w:proofErr w:type="spellEnd"/>
      <w:r>
        <w:rPr>
          <w:rFonts w:ascii="Arial" w:hAnsi="Arial" w:cs="Arial"/>
        </w:rPr>
        <w:t xml:space="preserve">), siendo un sistema de navegación que cumple con los estándares de la Organización Marítima Internacional (IMO), y que </w:t>
      </w:r>
      <w:r w:rsidR="006C73BD">
        <w:rPr>
          <w:rFonts w:ascii="Arial" w:hAnsi="Arial" w:cs="Arial"/>
        </w:rPr>
        <w:t xml:space="preserve">teniendo adecuado un sistema de respaldo, puede ser aceptado como único sistema de navegación </w:t>
      </w:r>
      <w:sdt>
        <w:sdtPr>
          <w:rPr>
            <w:rFonts w:ascii="Arial" w:hAnsi="Arial" w:cs="Arial"/>
          </w:rPr>
          <w:id w:val="-1937818554"/>
          <w:citation/>
        </w:sdtPr>
        <w:sdtContent>
          <w:r w:rsidR="006C73BD">
            <w:rPr>
              <w:rFonts w:ascii="Arial" w:hAnsi="Arial" w:cs="Arial"/>
            </w:rPr>
            <w:fldChar w:fldCharType="begin"/>
          </w:r>
          <w:r w:rsidR="006C73BD">
            <w:rPr>
              <w:rFonts w:ascii="Arial" w:hAnsi="Arial" w:cs="Arial"/>
            </w:rPr>
            <w:instrText xml:space="preserve"> CITATION IMO02 \l 13322 </w:instrText>
          </w:r>
          <w:r w:rsidR="006C73BD">
            <w:rPr>
              <w:rFonts w:ascii="Arial" w:hAnsi="Arial" w:cs="Arial"/>
            </w:rPr>
            <w:fldChar w:fldCharType="separate"/>
          </w:r>
          <w:r w:rsidR="006C73BD" w:rsidRPr="006C73BD">
            <w:rPr>
              <w:rFonts w:ascii="Arial" w:hAnsi="Arial" w:cs="Arial"/>
              <w:noProof/>
            </w:rPr>
            <w:t>(IMO, 2002)</w:t>
          </w:r>
          <w:r w:rsidR="006C73BD">
            <w:rPr>
              <w:rFonts w:ascii="Arial" w:hAnsi="Arial" w:cs="Arial"/>
            </w:rPr>
            <w:fldChar w:fldCharType="end"/>
          </w:r>
        </w:sdtContent>
      </w:sdt>
      <w:r w:rsidR="006C73BD">
        <w:rPr>
          <w:rFonts w:ascii="Arial" w:hAnsi="Arial" w:cs="Arial"/>
        </w:rPr>
        <w:t xml:space="preserve">. El WECDIS es el sistema de cartografía electrónica para buques de guerra (W por </w:t>
      </w:r>
      <w:proofErr w:type="spellStart"/>
      <w:r w:rsidR="006C73BD" w:rsidRPr="006C73BD">
        <w:rPr>
          <w:rFonts w:ascii="Arial" w:hAnsi="Arial" w:cs="Arial"/>
          <w:i/>
          <w:iCs/>
        </w:rPr>
        <w:t>warship</w:t>
      </w:r>
      <w:proofErr w:type="spellEnd"/>
      <w:r w:rsidR="006C73BD">
        <w:rPr>
          <w:rFonts w:ascii="Arial" w:hAnsi="Arial" w:cs="Arial"/>
        </w:rPr>
        <w:t xml:space="preserve">), cumpliendo no solo los mismos estándares del ECDIS, sino también aquellos requeridos por la OTAN. Incluye la capacidad de monitorear el espacio marítimo en cualquier ambiente, herramientas de apoyo táctico y navegación submarina (pool de errores y </w:t>
      </w:r>
      <w:r w:rsidR="00E75690">
        <w:rPr>
          <w:rFonts w:ascii="Arial" w:hAnsi="Arial" w:cs="Arial"/>
        </w:rPr>
        <w:t xml:space="preserve">veriles de profundidad) </w:t>
      </w:r>
      <w:sdt>
        <w:sdtPr>
          <w:rPr>
            <w:rFonts w:ascii="Arial" w:hAnsi="Arial" w:cs="Arial"/>
          </w:rPr>
          <w:id w:val="1747074612"/>
          <w:citation/>
        </w:sdtPr>
        <w:sdtContent>
          <w:r w:rsidR="00E75690">
            <w:rPr>
              <w:rFonts w:ascii="Arial" w:hAnsi="Arial" w:cs="Arial"/>
            </w:rPr>
            <w:fldChar w:fldCharType="begin"/>
          </w:r>
          <w:r w:rsidR="00E75690">
            <w:rPr>
              <w:rFonts w:ascii="Arial" w:hAnsi="Arial" w:cs="Arial"/>
            </w:rPr>
            <w:instrText xml:space="preserve"> CITATION UKM17 \l 13322 </w:instrText>
          </w:r>
          <w:r w:rsidR="00E75690">
            <w:rPr>
              <w:rFonts w:ascii="Arial" w:hAnsi="Arial" w:cs="Arial"/>
            </w:rPr>
            <w:fldChar w:fldCharType="separate"/>
          </w:r>
          <w:r w:rsidR="00E75690" w:rsidRPr="00E75690">
            <w:rPr>
              <w:rFonts w:ascii="Arial" w:hAnsi="Arial" w:cs="Arial"/>
              <w:noProof/>
            </w:rPr>
            <w:t>(UK MOD , 2017)</w:t>
          </w:r>
          <w:r w:rsidR="00E75690">
            <w:rPr>
              <w:rFonts w:ascii="Arial" w:hAnsi="Arial" w:cs="Arial"/>
            </w:rPr>
            <w:fldChar w:fldCharType="end"/>
          </w:r>
        </w:sdtContent>
      </w:sdt>
      <w:r w:rsidR="00E75690">
        <w:rPr>
          <w:rFonts w:ascii="Arial" w:hAnsi="Arial" w:cs="Arial"/>
        </w:rPr>
        <w:t>.</w:t>
      </w:r>
    </w:p>
    <w:p w14:paraId="42E3A8F3" w14:textId="77777777" w:rsidR="00E75690" w:rsidRDefault="00E75690" w:rsidP="00CF6FA5">
      <w:pPr>
        <w:pStyle w:val="Sinespaciado"/>
        <w:spacing w:line="360" w:lineRule="auto"/>
        <w:ind w:left="426"/>
        <w:jc w:val="both"/>
        <w:rPr>
          <w:rFonts w:ascii="Arial" w:hAnsi="Arial" w:cs="Arial"/>
        </w:rPr>
      </w:pPr>
    </w:p>
    <w:p w14:paraId="3D543B5F" w14:textId="2512DDB8" w:rsidR="00E75690" w:rsidRDefault="00E75690" w:rsidP="00E75690">
      <w:pPr>
        <w:pStyle w:val="Sinespaciado"/>
        <w:spacing w:line="360" w:lineRule="auto"/>
        <w:ind w:left="426"/>
        <w:jc w:val="center"/>
        <w:rPr>
          <w:rFonts w:ascii="Arial" w:hAnsi="Arial" w:cs="Arial"/>
        </w:rPr>
      </w:pPr>
      <w:r w:rsidRPr="00E75690">
        <w:rPr>
          <w:rFonts w:ascii="Arial" w:hAnsi="Arial" w:cs="Arial"/>
        </w:rPr>
        <w:lastRenderedPageBreak/>
        <w:drawing>
          <wp:inline distT="0" distB="0" distL="0" distR="0" wp14:anchorId="5FD0AB6A" wp14:editId="63E13A40">
            <wp:extent cx="4110355" cy="2981740"/>
            <wp:effectExtent l="0" t="0" r="4445" b="9525"/>
            <wp:docPr id="919154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154656" name=""/>
                    <pic:cNvPicPr/>
                  </pic:nvPicPr>
                  <pic:blipFill>
                    <a:blip r:embed="rId9"/>
                    <a:stretch>
                      <a:fillRect/>
                    </a:stretch>
                  </pic:blipFill>
                  <pic:spPr>
                    <a:xfrm>
                      <a:off x="0" y="0"/>
                      <a:ext cx="4122250" cy="2990369"/>
                    </a:xfrm>
                    <a:prstGeom prst="rect">
                      <a:avLst/>
                    </a:prstGeom>
                  </pic:spPr>
                </pic:pic>
              </a:graphicData>
            </a:graphic>
          </wp:inline>
        </w:drawing>
      </w:r>
    </w:p>
    <w:p w14:paraId="430A1F7B" w14:textId="67DA9AD1" w:rsidR="00E75690" w:rsidRDefault="00E75690" w:rsidP="00E75690">
      <w:pPr>
        <w:pStyle w:val="Sinespaciado"/>
        <w:spacing w:line="360" w:lineRule="auto"/>
        <w:ind w:left="426"/>
        <w:jc w:val="center"/>
        <w:rPr>
          <w:rFonts w:ascii="Arial" w:hAnsi="Arial" w:cs="Arial"/>
        </w:rPr>
      </w:pPr>
      <w:r>
        <w:rPr>
          <w:rFonts w:ascii="Arial" w:hAnsi="Arial" w:cs="Arial"/>
        </w:rPr>
        <w:t>Diagrama de un sistema WECDIS en unidad de combate</w:t>
      </w:r>
    </w:p>
    <w:p w14:paraId="5FC11949" w14:textId="77777777" w:rsidR="00E75690" w:rsidRDefault="00E75690" w:rsidP="00E75690">
      <w:pPr>
        <w:pStyle w:val="Sinespaciado"/>
        <w:spacing w:line="360" w:lineRule="auto"/>
        <w:ind w:left="426"/>
        <w:jc w:val="center"/>
        <w:rPr>
          <w:rFonts w:ascii="Arial" w:hAnsi="Arial" w:cs="Arial"/>
        </w:rPr>
      </w:pPr>
    </w:p>
    <w:p w14:paraId="5F53E386" w14:textId="62E3ECCC" w:rsidR="00E75690" w:rsidRDefault="00507D01" w:rsidP="00E75690">
      <w:pPr>
        <w:pStyle w:val="Sinespaciado"/>
        <w:spacing w:line="360" w:lineRule="auto"/>
        <w:ind w:left="426"/>
        <w:jc w:val="both"/>
        <w:rPr>
          <w:rFonts w:ascii="Arial" w:hAnsi="Arial" w:cs="Arial"/>
        </w:rPr>
      </w:pPr>
      <w:r>
        <w:rPr>
          <w:rFonts w:ascii="Arial" w:hAnsi="Arial" w:cs="Arial"/>
        </w:rPr>
        <w:t>Para el caso de unidades submarinas nacionales, este sistema está siendo adquirido para las cuatro unidades, lo que permitirá un avance tecnológico en lo que a navegación respecta. Cabe destacar a la importancia que da la BR45 a la confección y calidad de la cartografía que se debe emplear para la navegación submarina, siendo uno de los aspectos a tener presente con la implementación de este sistema a bordo de nuestros submarinos. Teniendo eso presente, el sistema permite realizar la preparación de cartas y luego grabarlas en el sistema</w:t>
      </w:r>
      <w:r w:rsidR="00C117BA">
        <w:rPr>
          <w:rFonts w:ascii="Arial" w:hAnsi="Arial" w:cs="Arial"/>
        </w:rPr>
        <w:t>, no teniendo la necesidad de borrarlas para volver a navegar por ahí</w:t>
      </w:r>
      <w:r w:rsidR="006B5DFA">
        <w:rPr>
          <w:rFonts w:ascii="Arial" w:hAnsi="Arial" w:cs="Arial"/>
        </w:rPr>
        <w:t>, como también la construcción del pool de errores y sus alternativas para acotarlo</w:t>
      </w:r>
      <w:r w:rsidR="00C117BA">
        <w:rPr>
          <w:rFonts w:ascii="Arial" w:hAnsi="Arial" w:cs="Arial"/>
        </w:rPr>
        <w:t xml:space="preserve"> </w:t>
      </w:r>
      <w:sdt>
        <w:sdtPr>
          <w:rPr>
            <w:rFonts w:ascii="Arial" w:hAnsi="Arial" w:cs="Arial"/>
          </w:rPr>
          <w:id w:val="-2054302784"/>
          <w:citation/>
        </w:sdtPr>
        <w:sdtContent>
          <w:r w:rsidR="00C117BA">
            <w:rPr>
              <w:rFonts w:ascii="Arial" w:hAnsi="Arial" w:cs="Arial"/>
            </w:rPr>
            <w:fldChar w:fldCharType="begin"/>
          </w:r>
          <w:r w:rsidR="00C117BA">
            <w:rPr>
              <w:rFonts w:ascii="Arial" w:hAnsi="Arial" w:cs="Arial"/>
            </w:rPr>
            <w:instrText xml:space="preserve"> CITATION UKM17 \l 13322 </w:instrText>
          </w:r>
          <w:r w:rsidR="00C117BA">
            <w:rPr>
              <w:rFonts w:ascii="Arial" w:hAnsi="Arial" w:cs="Arial"/>
            </w:rPr>
            <w:fldChar w:fldCharType="separate"/>
          </w:r>
          <w:r w:rsidR="00C117BA" w:rsidRPr="00C117BA">
            <w:rPr>
              <w:rFonts w:ascii="Arial" w:hAnsi="Arial" w:cs="Arial"/>
              <w:noProof/>
            </w:rPr>
            <w:t>(UK MOD , 2017)</w:t>
          </w:r>
          <w:r w:rsidR="00C117BA">
            <w:rPr>
              <w:rFonts w:ascii="Arial" w:hAnsi="Arial" w:cs="Arial"/>
            </w:rPr>
            <w:fldChar w:fldCharType="end"/>
          </w:r>
        </w:sdtContent>
      </w:sdt>
      <w:r w:rsidR="00C117BA">
        <w:rPr>
          <w:rFonts w:ascii="Arial" w:hAnsi="Arial" w:cs="Arial"/>
        </w:rPr>
        <w:t>.</w:t>
      </w:r>
    </w:p>
    <w:p w14:paraId="73B5E2CB" w14:textId="77777777" w:rsidR="00C117BA" w:rsidRDefault="00C117BA" w:rsidP="00E75690">
      <w:pPr>
        <w:pStyle w:val="Sinespaciado"/>
        <w:spacing w:line="360" w:lineRule="auto"/>
        <w:ind w:left="426"/>
        <w:jc w:val="both"/>
        <w:rPr>
          <w:rFonts w:ascii="Arial" w:hAnsi="Arial" w:cs="Arial"/>
        </w:rPr>
      </w:pPr>
    </w:p>
    <w:p w14:paraId="2AB29656" w14:textId="345C2F51" w:rsidR="00C117BA" w:rsidRDefault="00C117BA" w:rsidP="00E75690">
      <w:pPr>
        <w:pStyle w:val="Sinespaciado"/>
        <w:spacing w:line="360" w:lineRule="auto"/>
        <w:ind w:left="426"/>
        <w:jc w:val="both"/>
        <w:rPr>
          <w:rFonts w:ascii="Arial" w:hAnsi="Arial" w:cs="Arial"/>
        </w:rPr>
      </w:pPr>
      <w:r>
        <w:rPr>
          <w:rFonts w:ascii="Arial" w:hAnsi="Arial" w:cs="Arial"/>
        </w:rPr>
        <w:t xml:space="preserve">Además, permite establecer áreas de patrulla y ejercicios con sus respectivas alarmas, como también el Plan de Interferencias Mutuas vigente. Permite la activación de alarmas para evitar tocadas de fondo cuando un submarino se dirige a áreas continentales, permitiendo evitar con anterioridad a la alarma del ecosonda, lo que puede ser implementado en nuestras operaciones </w:t>
      </w:r>
      <w:sdt>
        <w:sdtPr>
          <w:rPr>
            <w:rFonts w:ascii="Arial" w:hAnsi="Arial" w:cs="Arial"/>
          </w:rPr>
          <w:id w:val="517435249"/>
          <w:citation/>
        </w:sdtPr>
        <w:sdtContent>
          <w:r>
            <w:rPr>
              <w:rFonts w:ascii="Arial" w:hAnsi="Arial" w:cs="Arial"/>
            </w:rPr>
            <w:fldChar w:fldCharType="begin"/>
          </w:r>
          <w:r>
            <w:rPr>
              <w:rFonts w:ascii="Arial" w:hAnsi="Arial" w:cs="Arial"/>
            </w:rPr>
            <w:instrText xml:space="preserve"> CITATION UKM17 \l 13322 </w:instrText>
          </w:r>
          <w:r>
            <w:rPr>
              <w:rFonts w:ascii="Arial" w:hAnsi="Arial" w:cs="Arial"/>
            </w:rPr>
            <w:fldChar w:fldCharType="separate"/>
          </w:r>
          <w:r w:rsidRPr="00C117BA">
            <w:rPr>
              <w:rFonts w:ascii="Arial" w:hAnsi="Arial" w:cs="Arial"/>
              <w:noProof/>
            </w:rPr>
            <w:t>(UK MOD , 2017)</w:t>
          </w:r>
          <w:r>
            <w:rPr>
              <w:rFonts w:ascii="Arial" w:hAnsi="Arial" w:cs="Arial"/>
            </w:rPr>
            <w:fldChar w:fldCharType="end"/>
          </w:r>
        </w:sdtContent>
      </w:sdt>
      <w:r>
        <w:rPr>
          <w:rFonts w:ascii="Arial" w:hAnsi="Arial" w:cs="Arial"/>
        </w:rPr>
        <w:t>. Finalmente, permite y facilita la ejecución de los briefings de las operaciones</w:t>
      </w:r>
      <w:r w:rsidR="006B5DFA">
        <w:rPr>
          <w:rFonts w:ascii="Arial" w:hAnsi="Arial" w:cs="Arial"/>
        </w:rPr>
        <w:t xml:space="preserve">, proyectando las intenciones de maniobra, pool de errores, </w:t>
      </w:r>
      <w:r w:rsidR="006B5DFA">
        <w:rPr>
          <w:rFonts w:ascii="Arial" w:hAnsi="Arial" w:cs="Arial"/>
        </w:rPr>
        <w:lastRenderedPageBreak/>
        <w:t>contornos y peligros detectados, como también durante su ejecución, emplear las capacidades de LOP.</w:t>
      </w:r>
    </w:p>
    <w:p w14:paraId="6234D03F" w14:textId="77777777" w:rsidR="006B5DFA" w:rsidRDefault="006B5DFA" w:rsidP="00E75690">
      <w:pPr>
        <w:pStyle w:val="Sinespaciado"/>
        <w:spacing w:line="360" w:lineRule="auto"/>
        <w:ind w:left="426"/>
        <w:jc w:val="both"/>
        <w:rPr>
          <w:rFonts w:ascii="Arial" w:hAnsi="Arial" w:cs="Arial"/>
        </w:rPr>
      </w:pPr>
    </w:p>
    <w:p w14:paraId="4052C14F" w14:textId="05A45F79" w:rsidR="006B5DFA" w:rsidRDefault="006B5DFA" w:rsidP="00E75690">
      <w:pPr>
        <w:pStyle w:val="Sinespaciado"/>
        <w:spacing w:line="360" w:lineRule="auto"/>
        <w:ind w:left="426"/>
        <w:jc w:val="both"/>
        <w:rPr>
          <w:rFonts w:ascii="Arial" w:hAnsi="Arial" w:cs="Arial"/>
        </w:rPr>
      </w:pPr>
      <w:r>
        <w:rPr>
          <w:rFonts w:ascii="Arial" w:hAnsi="Arial" w:cs="Arial"/>
        </w:rPr>
        <w:t xml:space="preserve">Dentro de los procedimientos explicados en la BR45 para la navegación submarina existen unas </w:t>
      </w:r>
      <w:r w:rsidR="0080388A">
        <w:rPr>
          <w:rFonts w:ascii="Arial" w:hAnsi="Arial" w:cs="Arial"/>
        </w:rPr>
        <w:t xml:space="preserve">tarjetas </w:t>
      </w:r>
      <w:r>
        <w:rPr>
          <w:rFonts w:ascii="Arial" w:hAnsi="Arial" w:cs="Arial"/>
        </w:rPr>
        <w:t>que disponen la jerarquía de las fuentes de posicionamiento. Se debe tener presente que estas cartas deben estar disponibles para su empleo en el departamento central del submarino</w:t>
      </w:r>
      <w:r w:rsidR="0080388A">
        <w:rPr>
          <w:rFonts w:ascii="Arial" w:hAnsi="Arial" w:cs="Arial"/>
        </w:rPr>
        <w:t xml:space="preserve"> y permiten tener pre planeado la prioridad de las situaciones, generándolas según la condición y material de cada submarino y evitando la improvisación y desregulación. A continuación, se presenta un ejemplo de una tarjeta de un submarino balístico para el sistema WECDIS de a bordo, tanto para navegación en superficie como sumergido </w:t>
      </w:r>
      <w:sdt>
        <w:sdtPr>
          <w:rPr>
            <w:rFonts w:ascii="Arial" w:hAnsi="Arial" w:cs="Arial"/>
          </w:rPr>
          <w:id w:val="990985948"/>
          <w:citation/>
        </w:sdtPr>
        <w:sdtContent>
          <w:r w:rsidR="0080388A">
            <w:rPr>
              <w:rFonts w:ascii="Arial" w:hAnsi="Arial" w:cs="Arial"/>
            </w:rPr>
            <w:fldChar w:fldCharType="begin"/>
          </w:r>
          <w:r w:rsidR="0080388A">
            <w:rPr>
              <w:rFonts w:ascii="Arial" w:hAnsi="Arial" w:cs="Arial"/>
            </w:rPr>
            <w:instrText xml:space="preserve"> CITATION UKM17 \l 13322 </w:instrText>
          </w:r>
          <w:r w:rsidR="0080388A">
            <w:rPr>
              <w:rFonts w:ascii="Arial" w:hAnsi="Arial" w:cs="Arial"/>
            </w:rPr>
            <w:fldChar w:fldCharType="separate"/>
          </w:r>
          <w:r w:rsidR="0080388A" w:rsidRPr="0080388A">
            <w:rPr>
              <w:rFonts w:ascii="Arial" w:hAnsi="Arial" w:cs="Arial"/>
              <w:noProof/>
            </w:rPr>
            <w:t>(UK MOD , 2017)</w:t>
          </w:r>
          <w:r w:rsidR="0080388A">
            <w:rPr>
              <w:rFonts w:ascii="Arial" w:hAnsi="Arial" w:cs="Arial"/>
            </w:rPr>
            <w:fldChar w:fldCharType="end"/>
          </w:r>
        </w:sdtContent>
      </w:sdt>
      <w:r w:rsidR="0080388A">
        <w:rPr>
          <w:rFonts w:ascii="Arial" w:hAnsi="Arial" w:cs="Arial"/>
        </w:rPr>
        <w:t>.</w:t>
      </w:r>
    </w:p>
    <w:p w14:paraId="20651C00" w14:textId="3D9F54BB" w:rsidR="0080388A" w:rsidRDefault="0080388A" w:rsidP="0080388A">
      <w:pPr>
        <w:pStyle w:val="Sinespaciado"/>
        <w:spacing w:line="360" w:lineRule="auto"/>
        <w:ind w:left="426"/>
        <w:jc w:val="center"/>
        <w:rPr>
          <w:rFonts w:ascii="Arial" w:hAnsi="Arial" w:cs="Arial"/>
        </w:rPr>
      </w:pPr>
      <w:r w:rsidRPr="0080388A">
        <w:rPr>
          <w:rFonts w:ascii="Arial" w:hAnsi="Arial" w:cs="Arial"/>
        </w:rPr>
        <w:drawing>
          <wp:inline distT="0" distB="0" distL="0" distR="0" wp14:anchorId="2482675F" wp14:editId="7BB7EAC8">
            <wp:extent cx="4376448" cy="2818341"/>
            <wp:effectExtent l="0" t="0" r="5080" b="1270"/>
            <wp:docPr id="751430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430846" name=""/>
                    <pic:cNvPicPr/>
                  </pic:nvPicPr>
                  <pic:blipFill>
                    <a:blip r:embed="rId10"/>
                    <a:stretch>
                      <a:fillRect/>
                    </a:stretch>
                  </pic:blipFill>
                  <pic:spPr>
                    <a:xfrm>
                      <a:off x="0" y="0"/>
                      <a:ext cx="4382669" cy="2822347"/>
                    </a:xfrm>
                    <a:prstGeom prst="rect">
                      <a:avLst/>
                    </a:prstGeom>
                  </pic:spPr>
                </pic:pic>
              </a:graphicData>
            </a:graphic>
          </wp:inline>
        </w:drawing>
      </w:r>
    </w:p>
    <w:p w14:paraId="72C8CB1C" w14:textId="77777777" w:rsidR="0080388A" w:rsidRDefault="0080388A" w:rsidP="0080388A">
      <w:pPr>
        <w:pStyle w:val="Sinespaciado"/>
        <w:spacing w:line="360" w:lineRule="auto"/>
        <w:ind w:left="426"/>
        <w:jc w:val="center"/>
        <w:rPr>
          <w:rFonts w:ascii="Arial" w:hAnsi="Arial" w:cs="Arial"/>
        </w:rPr>
      </w:pPr>
    </w:p>
    <w:p w14:paraId="455E6878" w14:textId="3183B630" w:rsidR="0080388A" w:rsidRDefault="0080388A" w:rsidP="0080388A">
      <w:pPr>
        <w:pStyle w:val="Sinespaciado"/>
        <w:spacing w:line="360" w:lineRule="auto"/>
        <w:ind w:left="426"/>
        <w:jc w:val="both"/>
        <w:rPr>
          <w:rFonts w:ascii="Arial" w:hAnsi="Arial" w:cs="Arial"/>
        </w:rPr>
      </w:pPr>
      <w:r>
        <w:rPr>
          <w:rFonts w:ascii="Arial" w:hAnsi="Arial" w:cs="Arial"/>
        </w:rPr>
        <w:t xml:space="preserve">Así como existe la tarjeta anteriormente señala, la BR entrega una serie de procedimientos para el empleo de la cartografía electrónica en diferentes situaciones. Dentro de estas situaciones, se encuentran </w:t>
      </w:r>
      <w:r w:rsidR="00C24F1A">
        <w:rPr>
          <w:rFonts w:ascii="Arial" w:hAnsi="Arial" w:cs="Arial"/>
        </w:rPr>
        <w:t xml:space="preserve">los ajustes para la navegación sumergido, en superficie, pilotaje sumergido y en superficie, accesos a puertos, entre otros. Lo anterior permite, y como se señaló anteriormente, establecer ajustes establecidos y aprobados por la autoridad competente para tal efecto, disminuyendo el margen de improvisación y </w:t>
      </w:r>
      <w:r w:rsidR="00C24F1A">
        <w:rPr>
          <w:rFonts w:ascii="Arial" w:hAnsi="Arial" w:cs="Arial"/>
        </w:rPr>
        <w:lastRenderedPageBreak/>
        <w:t>generando información útil y conocida por todos los involucrados en el asesoramiento y toma de decisiones.</w:t>
      </w:r>
    </w:p>
    <w:p w14:paraId="4CCBE9F9" w14:textId="77777777" w:rsidR="0080388A" w:rsidRDefault="0080388A" w:rsidP="00E75690">
      <w:pPr>
        <w:pStyle w:val="Sinespaciado"/>
        <w:spacing w:line="360" w:lineRule="auto"/>
        <w:ind w:left="426"/>
        <w:jc w:val="both"/>
        <w:rPr>
          <w:rFonts w:ascii="Arial" w:hAnsi="Arial" w:cs="Arial"/>
        </w:rPr>
      </w:pPr>
    </w:p>
    <w:p w14:paraId="483B2324" w14:textId="3AB2DB40" w:rsidR="0080388A" w:rsidRDefault="00384FF7" w:rsidP="00E75690">
      <w:pPr>
        <w:pStyle w:val="Sinespaciado"/>
        <w:spacing w:line="360" w:lineRule="auto"/>
        <w:ind w:left="426"/>
        <w:jc w:val="both"/>
        <w:rPr>
          <w:rFonts w:ascii="Arial" w:hAnsi="Arial" w:cs="Arial"/>
        </w:rPr>
      </w:pPr>
      <w:r>
        <w:rPr>
          <w:rFonts w:ascii="Arial" w:hAnsi="Arial" w:cs="Arial"/>
        </w:rPr>
        <w:t>El presente análisis indica de manera general ciertos aspectos del Manual de Navegación del Almirantazgo (BR45) que no han sido, a juicio del autor, considerados en su totalidad en la Armada de Chile. Si bien esta publicación es rectora</w:t>
      </w:r>
      <w:r w:rsidR="00FF6FCD">
        <w:rPr>
          <w:rFonts w:ascii="Arial" w:hAnsi="Arial" w:cs="Arial"/>
        </w:rPr>
        <w:t xml:space="preserve"> y normativa</w:t>
      </w:r>
      <w:r>
        <w:rPr>
          <w:rFonts w:ascii="Arial" w:hAnsi="Arial" w:cs="Arial"/>
        </w:rPr>
        <w:t xml:space="preserve"> para la navegación de nuestras unidades, se debe tener en consideración que está diseñada para la realidad de la Royal </w:t>
      </w:r>
      <w:proofErr w:type="spellStart"/>
      <w:r>
        <w:rPr>
          <w:rFonts w:ascii="Arial" w:hAnsi="Arial" w:cs="Arial"/>
        </w:rPr>
        <w:t>Navy</w:t>
      </w:r>
      <w:proofErr w:type="spellEnd"/>
      <w:r>
        <w:rPr>
          <w:rFonts w:ascii="Arial" w:hAnsi="Arial" w:cs="Arial"/>
        </w:rPr>
        <w:t xml:space="preserve">, siendo responsabilidad del Centro de Entrenamiento de la Armada su </w:t>
      </w:r>
      <w:r w:rsidR="00FF6FCD">
        <w:rPr>
          <w:rFonts w:ascii="Arial" w:hAnsi="Arial" w:cs="Arial"/>
        </w:rPr>
        <w:t>análisis e implementación a nivel nacional. También se tiene que, al ser publicada en inglés, puede llevar a malentendidos y diferentes interpretaciones, por lo cual muchos aspectos de uso diario de nuestra institución son traspasados a los NORENT (Normativa de Entrenamiento), normando ciertas ambigüedades y procedimientos.</w:t>
      </w:r>
    </w:p>
    <w:p w14:paraId="255DA69C" w14:textId="77777777" w:rsidR="0080388A" w:rsidRDefault="0080388A" w:rsidP="00E75690">
      <w:pPr>
        <w:pStyle w:val="Sinespaciado"/>
        <w:spacing w:line="360" w:lineRule="auto"/>
        <w:ind w:left="426"/>
        <w:jc w:val="both"/>
        <w:rPr>
          <w:rFonts w:ascii="Arial" w:hAnsi="Arial" w:cs="Arial"/>
        </w:rPr>
      </w:pPr>
    </w:p>
    <w:p w14:paraId="4BA1E07B" w14:textId="5FAF23A0" w:rsidR="00FF6FCD" w:rsidRDefault="00FF6FCD" w:rsidP="00E75690">
      <w:pPr>
        <w:pStyle w:val="Sinespaciado"/>
        <w:spacing w:line="360" w:lineRule="auto"/>
        <w:ind w:left="426"/>
        <w:jc w:val="both"/>
        <w:rPr>
          <w:rFonts w:ascii="Arial" w:hAnsi="Arial" w:cs="Arial"/>
        </w:rPr>
      </w:pPr>
      <w:r>
        <w:rPr>
          <w:rFonts w:ascii="Arial" w:hAnsi="Arial" w:cs="Arial"/>
        </w:rPr>
        <w:t xml:space="preserve">Si bien muchos aspectos de la navegación submarina son cumplidos por nuestras unidades y exigidos por el Subcentro de Entrenamiento, la implementación de las nuevas mesas de navegación (OSI Marine </w:t>
      </w:r>
      <w:proofErr w:type="spellStart"/>
      <w:r>
        <w:rPr>
          <w:rFonts w:ascii="Arial" w:hAnsi="Arial" w:cs="Arial"/>
        </w:rPr>
        <w:t>Systems</w:t>
      </w:r>
      <w:proofErr w:type="spellEnd"/>
      <w:r>
        <w:rPr>
          <w:rFonts w:ascii="Arial" w:hAnsi="Arial" w:cs="Arial"/>
        </w:rPr>
        <w:t xml:space="preserve">) requiere un mayor dominio de la BR45. Dentro de los aspectos observados, sugiero importante normar su empleo y ajustes, así como es realizado con otros sistemas de a bordo, objeto, y como se ha señalado anteriormente, disminuir la improvisación y establecer un uso común para todas las unidades. Con lo anterior, entiendo que podrán </w:t>
      </w:r>
      <w:r w:rsidR="00D55C72">
        <w:rPr>
          <w:rFonts w:ascii="Arial" w:hAnsi="Arial" w:cs="Arial"/>
        </w:rPr>
        <w:t>minimizar los</w:t>
      </w:r>
      <w:r>
        <w:rPr>
          <w:rFonts w:ascii="Arial" w:hAnsi="Arial" w:cs="Arial"/>
        </w:rPr>
        <w:t xml:space="preserve"> </w:t>
      </w:r>
      <w:r w:rsidR="00D55C72">
        <w:rPr>
          <w:rFonts w:ascii="Arial" w:hAnsi="Arial" w:cs="Arial"/>
        </w:rPr>
        <w:t>riesgos en la operación de submarinos y establecer una mayor cantidad de capas para prevenir errores que vulneren la seguridad del material y del personal.</w:t>
      </w:r>
    </w:p>
    <w:p w14:paraId="7B491FDD" w14:textId="77777777" w:rsidR="00D55C72" w:rsidRDefault="00D55C72" w:rsidP="00E75690">
      <w:pPr>
        <w:pStyle w:val="Sinespaciado"/>
        <w:spacing w:line="360" w:lineRule="auto"/>
        <w:ind w:left="426"/>
        <w:jc w:val="both"/>
        <w:rPr>
          <w:rFonts w:ascii="Arial" w:hAnsi="Arial" w:cs="Arial"/>
        </w:rPr>
      </w:pPr>
    </w:p>
    <w:p w14:paraId="3964EF67" w14:textId="77777777" w:rsidR="00D55C72" w:rsidRDefault="00D55C72" w:rsidP="00E75690">
      <w:pPr>
        <w:pStyle w:val="Sinespaciado"/>
        <w:spacing w:line="360" w:lineRule="auto"/>
        <w:ind w:left="426"/>
        <w:jc w:val="both"/>
        <w:rPr>
          <w:rFonts w:ascii="Arial" w:hAnsi="Arial" w:cs="Arial"/>
        </w:rPr>
      </w:pPr>
    </w:p>
    <w:p w14:paraId="0D83FA8A" w14:textId="77777777" w:rsidR="00D55C72" w:rsidRDefault="00D55C72" w:rsidP="00E75690">
      <w:pPr>
        <w:pStyle w:val="Sinespaciado"/>
        <w:spacing w:line="360" w:lineRule="auto"/>
        <w:ind w:left="426"/>
        <w:jc w:val="both"/>
        <w:rPr>
          <w:rFonts w:ascii="Arial" w:hAnsi="Arial" w:cs="Arial"/>
        </w:rPr>
      </w:pPr>
    </w:p>
    <w:p w14:paraId="7D5473E9" w14:textId="77777777" w:rsidR="00D55C72" w:rsidRDefault="00D55C72" w:rsidP="00E75690">
      <w:pPr>
        <w:pStyle w:val="Sinespaciado"/>
        <w:spacing w:line="360" w:lineRule="auto"/>
        <w:ind w:left="426"/>
        <w:jc w:val="both"/>
        <w:rPr>
          <w:rFonts w:ascii="Arial" w:hAnsi="Arial" w:cs="Arial"/>
        </w:rPr>
      </w:pPr>
    </w:p>
    <w:p w14:paraId="2284463E" w14:textId="77777777" w:rsidR="00D55C72" w:rsidRDefault="00D55C72" w:rsidP="00E75690">
      <w:pPr>
        <w:pStyle w:val="Sinespaciado"/>
        <w:spacing w:line="360" w:lineRule="auto"/>
        <w:ind w:left="426"/>
        <w:jc w:val="both"/>
        <w:rPr>
          <w:rFonts w:ascii="Arial" w:hAnsi="Arial" w:cs="Arial"/>
        </w:rPr>
      </w:pPr>
    </w:p>
    <w:p w14:paraId="310AB064" w14:textId="77777777" w:rsidR="00D55C72" w:rsidRDefault="00D55C72" w:rsidP="00E75690">
      <w:pPr>
        <w:pStyle w:val="Sinespaciado"/>
        <w:spacing w:line="360" w:lineRule="auto"/>
        <w:ind w:left="426"/>
        <w:jc w:val="both"/>
        <w:rPr>
          <w:rFonts w:ascii="Arial" w:hAnsi="Arial" w:cs="Arial"/>
        </w:rPr>
      </w:pPr>
    </w:p>
    <w:sdt>
      <w:sdtPr>
        <w:rPr>
          <w:lang w:val="es-ES"/>
        </w:rPr>
        <w:id w:val="101009342"/>
        <w:docPartObj>
          <w:docPartGallery w:val="Bibliographies"/>
          <w:docPartUnique/>
        </w:docPartObj>
      </w:sdtPr>
      <w:sdtEndPr>
        <w:rPr>
          <w:rFonts w:asciiTheme="minorHAnsi" w:eastAsiaTheme="minorHAnsi" w:hAnsiTheme="minorHAnsi" w:cstheme="minorBidi"/>
          <w:color w:val="auto"/>
          <w:sz w:val="24"/>
          <w:szCs w:val="24"/>
          <w:lang w:val="es-CL"/>
        </w:rPr>
      </w:sdtEndPr>
      <w:sdtContent>
        <w:p w14:paraId="2A6E4FA0" w14:textId="611879BB" w:rsidR="00D55C72" w:rsidRDefault="00D55C72">
          <w:pPr>
            <w:pStyle w:val="Ttulo1"/>
          </w:pPr>
          <w:r>
            <w:rPr>
              <w:lang w:val="es-ES"/>
            </w:rPr>
            <w:t>Referencias</w:t>
          </w:r>
        </w:p>
        <w:sdt>
          <w:sdtPr>
            <w:id w:val="-573587230"/>
            <w:bibliography/>
          </w:sdtPr>
          <w:sdtContent>
            <w:p w14:paraId="139488B4" w14:textId="77777777" w:rsidR="00D55C72" w:rsidRDefault="00D55C72" w:rsidP="00D55C72">
              <w:pPr>
                <w:pStyle w:val="Bibliografa"/>
                <w:ind w:left="720" w:hanging="720"/>
                <w:rPr>
                  <w:noProof/>
                  <w:kern w:val="0"/>
                  <w:lang w:val="es-ES"/>
                  <w14:ligatures w14:val="none"/>
                </w:rPr>
              </w:pPr>
              <w:r>
                <w:fldChar w:fldCharType="begin"/>
              </w:r>
              <w:r>
                <w:instrText>BIBLIOGRAPHY</w:instrText>
              </w:r>
              <w:r>
                <w:fldChar w:fldCharType="separate"/>
              </w:r>
              <w:r>
                <w:rPr>
                  <w:noProof/>
                  <w:lang w:val="es-ES"/>
                </w:rPr>
                <w:t xml:space="preserve">IMO. (2002). </w:t>
              </w:r>
              <w:r>
                <w:rPr>
                  <w:i/>
                  <w:iCs/>
                  <w:noProof/>
                  <w:lang w:val="es-ES"/>
                </w:rPr>
                <w:t>SOLAS XI-2 and the ISPS Code</w:t>
              </w:r>
              <w:r>
                <w:rPr>
                  <w:noProof/>
                  <w:lang w:val="es-ES"/>
                </w:rPr>
                <w:t>. Obtenido de www.imo.org/ourwork</w:t>
              </w:r>
            </w:p>
            <w:p w14:paraId="444D2679" w14:textId="77777777" w:rsidR="00D55C72" w:rsidRDefault="00D55C72" w:rsidP="00D55C72">
              <w:pPr>
                <w:pStyle w:val="Bibliografa"/>
                <w:ind w:left="720" w:hanging="720"/>
                <w:rPr>
                  <w:noProof/>
                  <w:lang w:val="es-ES"/>
                </w:rPr>
              </w:pPr>
              <w:r>
                <w:rPr>
                  <w:noProof/>
                  <w:lang w:val="es-ES"/>
                </w:rPr>
                <w:t xml:space="preserve">Real Academia Española. (2023). </w:t>
              </w:r>
              <w:r>
                <w:rPr>
                  <w:i/>
                  <w:iCs/>
                  <w:noProof/>
                  <w:lang w:val="es-ES"/>
                </w:rPr>
                <w:t>Ciencia</w:t>
              </w:r>
              <w:r>
                <w:rPr>
                  <w:noProof/>
                  <w:lang w:val="es-ES"/>
                </w:rPr>
                <w:t>. Obtenido de https://dle.rae.es/ciencia</w:t>
              </w:r>
            </w:p>
            <w:p w14:paraId="5EC9DBED" w14:textId="77777777" w:rsidR="00D55C72" w:rsidRDefault="00D55C72" w:rsidP="00D55C72">
              <w:pPr>
                <w:pStyle w:val="Bibliografa"/>
                <w:ind w:left="720" w:hanging="720"/>
                <w:rPr>
                  <w:noProof/>
                  <w:lang w:val="es-ES"/>
                </w:rPr>
              </w:pPr>
              <w:r>
                <w:rPr>
                  <w:noProof/>
                  <w:lang w:val="es-ES"/>
                </w:rPr>
                <w:t xml:space="preserve">Real Academia Española. (2023). </w:t>
              </w:r>
              <w:r>
                <w:rPr>
                  <w:i/>
                  <w:iCs/>
                  <w:noProof/>
                  <w:lang w:val="es-ES"/>
                </w:rPr>
                <w:t>Navegación</w:t>
              </w:r>
              <w:r>
                <w:rPr>
                  <w:noProof/>
                  <w:lang w:val="es-ES"/>
                </w:rPr>
                <w:t>. Obtenido de https://dle.rae.es/navegaci%C3%B3n</w:t>
              </w:r>
            </w:p>
            <w:p w14:paraId="0107097D" w14:textId="77777777" w:rsidR="00D55C72" w:rsidRDefault="00D55C72" w:rsidP="00D55C72">
              <w:pPr>
                <w:pStyle w:val="Bibliografa"/>
                <w:ind w:left="720" w:hanging="720"/>
                <w:rPr>
                  <w:noProof/>
                  <w:lang w:val="es-ES"/>
                </w:rPr>
              </w:pPr>
              <w:r>
                <w:rPr>
                  <w:noProof/>
                  <w:lang w:val="es-ES"/>
                </w:rPr>
                <w:t xml:space="preserve">SHOA. (2024). </w:t>
              </w:r>
              <w:r>
                <w:rPr>
                  <w:i/>
                  <w:iCs/>
                  <w:noProof/>
                  <w:lang w:val="es-ES"/>
                </w:rPr>
                <w:t>Catálogo de Cartas y Publicaciones</w:t>
              </w:r>
              <w:r>
                <w:rPr>
                  <w:noProof/>
                  <w:lang w:val="es-ES"/>
                </w:rPr>
                <w:t>. Obtenido de www.shoa.cl</w:t>
              </w:r>
            </w:p>
            <w:p w14:paraId="0603B397" w14:textId="77777777" w:rsidR="00D55C72" w:rsidRDefault="00D55C72" w:rsidP="00D55C72">
              <w:pPr>
                <w:pStyle w:val="Bibliografa"/>
                <w:ind w:left="720" w:hanging="720"/>
                <w:rPr>
                  <w:noProof/>
                  <w:lang w:val="es-ES"/>
                </w:rPr>
              </w:pPr>
              <w:r>
                <w:rPr>
                  <w:noProof/>
                  <w:lang w:val="es-ES"/>
                </w:rPr>
                <w:t xml:space="preserve">UK DOD. (2018). </w:t>
              </w:r>
              <w:r>
                <w:rPr>
                  <w:i/>
                  <w:iCs/>
                  <w:noProof/>
                  <w:lang w:val="es-ES"/>
                </w:rPr>
                <w:t>ADMIRALTY MANUAL OF NAVIGATION.</w:t>
              </w:r>
              <w:r>
                <w:rPr>
                  <w:noProof/>
                  <w:lang w:val="es-ES"/>
                </w:rPr>
                <w:t xml:space="preserve"> London: DOD.</w:t>
              </w:r>
            </w:p>
            <w:p w14:paraId="570D5DA7" w14:textId="77777777" w:rsidR="00D55C72" w:rsidRDefault="00D55C72" w:rsidP="00D55C72">
              <w:pPr>
                <w:pStyle w:val="Bibliografa"/>
                <w:ind w:left="720" w:hanging="720"/>
                <w:rPr>
                  <w:noProof/>
                  <w:lang w:val="es-ES"/>
                </w:rPr>
              </w:pPr>
              <w:r>
                <w:rPr>
                  <w:noProof/>
                  <w:lang w:val="es-ES"/>
                </w:rPr>
                <w:t xml:space="preserve">UK MOD . (2017). </w:t>
              </w:r>
              <w:r>
                <w:rPr>
                  <w:i/>
                  <w:iCs/>
                  <w:noProof/>
                  <w:lang w:val="es-ES"/>
                </w:rPr>
                <w:t>ADMIRALTY MANUAL OF NAVIGATION / VOLUME 8 – WECDIS, CHARTS AND PUBLICATIONS.</w:t>
              </w:r>
              <w:r>
                <w:rPr>
                  <w:noProof/>
                  <w:lang w:val="es-ES"/>
                </w:rPr>
                <w:t xml:space="preserve"> Londres: UK MOD.</w:t>
              </w:r>
            </w:p>
            <w:p w14:paraId="64F167A4" w14:textId="3A6C201B" w:rsidR="00D55C72" w:rsidRDefault="00D55C72" w:rsidP="00D55C72">
              <w:r>
                <w:rPr>
                  <w:b/>
                  <w:bCs/>
                </w:rPr>
                <w:fldChar w:fldCharType="end"/>
              </w:r>
            </w:p>
          </w:sdtContent>
        </w:sdt>
      </w:sdtContent>
    </w:sdt>
    <w:p w14:paraId="46EFC358" w14:textId="77777777" w:rsidR="00D55C72" w:rsidRDefault="00D55C72" w:rsidP="00E75690">
      <w:pPr>
        <w:pStyle w:val="Sinespaciado"/>
        <w:spacing w:line="360" w:lineRule="auto"/>
        <w:ind w:left="426"/>
        <w:jc w:val="both"/>
        <w:rPr>
          <w:rFonts w:ascii="Arial" w:hAnsi="Arial" w:cs="Arial"/>
        </w:rPr>
      </w:pPr>
    </w:p>
    <w:p w14:paraId="6C708B45" w14:textId="77777777" w:rsidR="006B5DFA" w:rsidRPr="00C117BA" w:rsidRDefault="006B5DFA" w:rsidP="00E75690">
      <w:pPr>
        <w:pStyle w:val="Sinespaciado"/>
        <w:spacing w:line="360" w:lineRule="auto"/>
        <w:ind w:left="426"/>
        <w:jc w:val="both"/>
        <w:rPr>
          <w:rFonts w:ascii="Arial" w:hAnsi="Arial" w:cs="Arial"/>
        </w:rPr>
      </w:pPr>
    </w:p>
    <w:sectPr w:rsidR="006B5DFA" w:rsidRPr="00C117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905FC6"/>
    <w:multiLevelType w:val="hybridMultilevel"/>
    <w:tmpl w:val="D9C88962"/>
    <w:lvl w:ilvl="0" w:tplc="D65E4E80">
      <w:start w:val="1"/>
      <w:numFmt w:val="bullet"/>
      <w:lvlText w:val="-"/>
      <w:lvlJc w:val="left"/>
      <w:pPr>
        <w:ind w:left="786" w:hanging="360"/>
      </w:pPr>
      <w:rPr>
        <w:rFonts w:ascii="Arial" w:eastAsiaTheme="minorHAnsi" w:hAnsi="Arial" w:cs="Arial" w:hint="default"/>
      </w:rPr>
    </w:lvl>
    <w:lvl w:ilvl="1" w:tplc="340A0003" w:tentative="1">
      <w:start w:val="1"/>
      <w:numFmt w:val="bullet"/>
      <w:lvlText w:val="o"/>
      <w:lvlJc w:val="left"/>
      <w:pPr>
        <w:ind w:left="1506" w:hanging="360"/>
      </w:pPr>
      <w:rPr>
        <w:rFonts w:ascii="Courier New" w:hAnsi="Courier New" w:cs="Courier New" w:hint="default"/>
      </w:rPr>
    </w:lvl>
    <w:lvl w:ilvl="2" w:tplc="340A0005" w:tentative="1">
      <w:start w:val="1"/>
      <w:numFmt w:val="bullet"/>
      <w:lvlText w:val=""/>
      <w:lvlJc w:val="left"/>
      <w:pPr>
        <w:ind w:left="2226" w:hanging="360"/>
      </w:pPr>
      <w:rPr>
        <w:rFonts w:ascii="Wingdings" w:hAnsi="Wingdings" w:hint="default"/>
      </w:rPr>
    </w:lvl>
    <w:lvl w:ilvl="3" w:tplc="340A0001" w:tentative="1">
      <w:start w:val="1"/>
      <w:numFmt w:val="bullet"/>
      <w:lvlText w:val=""/>
      <w:lvlJc w:val="left"/>
      <w:pPr>
        <w:ind w:left="2946" w:hanging="360"/>
      </w:pPr>
      <w:rPr>
        <w:rFonts w:ascii="Symbol" w:hAnsi="Symbol" w:hint="default"/>
      </w:rPr>
    </w:lvl>
    <w:lvl w:ilvl="4" w:tplc="340A0003" w:tentative="1">
      <w:start w:val="1"/>
      <w:numFmt w:val="bullet"/>
      <w:lvlText w:val="o"/>
      <w:lvlJc w:val="left"/>
      <w:pPr>
        <w:ind w:left="3666" w:hanging="360"/>
      </w:pPr>
      <w:rPr>
        <w:rFonts w:ascii="Courier New" w:hAnsi="Courier New" w:cs="Courier New" w:hint="default"/>
      </w:rPr>
    </w:lvl>
    <w:lvl w:ilvl="5" w:tplc="340A0005" w:tentative="1">
      <w:start w:val="1"/>
      <w:numFmt w:val="bullet"/>
      <w:lvlText w:val=""/>
      <w:lvlJc w:val="left"/>
      <w:pPr>
        <w:ind w:left="4386" w:hanging="360"/>
      </w:pPr>
      <w:rPr>
        <w:rFonts w:ascii="Wingdings" w:hAnsi="Wingdings" w:hint="default"/>
      </w:rPr>
    </w:lvl>
    <w:lvl w:ilvl="6" w:tplc="340A0001" w:tentative="1">
      <w:start w:val="1"/>
      <w:numFmt w:val="bullet"/>
      <w:lvlText w:val=""/>
      <w:lvlJc w:val="left"/>
      <w:pPr>
        <w:ind w:left="5106" w:hanging="360"/>
      </w:pPr>
      <w:rPr>
        <w:rFonts w:ascii="Symbol" w:hAnsi="Symbol" w:hint="default"/>
      </w:rPr>
    </w:lvl>
    <w:lvl w:ilvl="7" w:tplc="340A0003" w:tentative="1">
      <w:start w:val="1"/>
      <w:numFmt w:val="bullet"/>
      <w:lvlText w:val="o"/>
      <w:lvlJc w:val="left"/>
      <w:pPr>
        <w:ind w:left="5826" w:hanging="360"/>
      </w:pPr>
      <w:rPr>
        <w:rFonts w:ascii="Courier New" w:hAnsi="Courier New" w:cs="Courier New" w:hint="default"/>
      </w:rPr>
    </w:lvl>
    <w:lvl w:ilvl="8" w:tplc="340A0005" w:tentative="1">
      <w:start w:val="1"/>
      <w:numFmt w:val="bullet"/>
      <w:lvlText w:val=""/>
      <w:lvlJc w:val="left"/>
      <w:pPr>
        <w:ind w:left="6546" w:hanging="360"/>
      </w:pPr>
      <w:rPr>
        <w:rFonts w:ascii="Wingdings" w:hAnsi="Wingdings" w:hint="default"/>
      </w:rPr>
    </w:lvl>
  </w:abstractNum>
  <w:abstractNum w:abstractNumId="1" w15:restartNumberingAfterBreak="0">
    <w:nsid w:val="5102133C"/>
    <w:multiLevelType w:val="hybridMultilevel"/>
    <w:tmpl w:val="26E6C54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391490853">
    <w:abstractNumId w:val="1"/>
  </w:num>
  <w:num w:numId="2" w16cid:durableId="2121024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2E"/>
    <w:rsid w:val="001E127F"/>
    <w:rsid w:val="001F3CFD"/>
    <w:rsid w:val="00283229"/>
    <w:rsid w:val="00352EC0"/>
    <w:rsid w:val="00384FF7"/>
    <w:rsid w:val="003A3AA7"/>
    <w:rsid w:val="00422F53"/>
    <w:rsid w:val="00440AA0"/>
    <w:rsid w:val="004D48F1"/>
    <w:rsid w:val="00507D01"/>
    <w:rsid w:val="00522361"/>
    <w:rsid w:val="005543DA"/>
    <w:rsid w:val="0059410D"/>
    <w:rsid w:val="005942B1"/>
    <w:rsid w:val="005C05FA"/>
    <w:rsid w:val="0061029F"/>
    <w:rsid w:val="006B5DFA"/>
    <w:rsid w:val="006C73BD"/>
    <w:rsid w:val="00702C3D"/>
    <w:rsid w:val="007503CD"/>
    <w:rsid w:val="007A6A7D"/>
    <w:rsid w:val="007B237B"/>
    <w:rsid w:val="007B61A8"/>
    <w:rsid w:val="0080388A"/>
    <w:rsid w:val="008B4821"/>
    <w:rsid w:val="00A86C1B"/>
    <w:rsid w:val="00A93A54"/>
    <w:rsid w:val="00B27555"/>
    <w:rsid w:val="00B3512E"/>
    <w:rsid w:val="00B54A62"/>
    <w:rsid w:val="00C117BA"/>
    <w:rsid w:val="00C24F1A"/>
    <w:rsid w:val="00CA33C1"/>
    <w:rsid w:val="00CB2AB8"/>
    <w:rsid w:val="00CF6FA5"/>
    <w:rsid w:val="00D43243"/>
    <w:rsid w:val="00D55C72"/>
    <w:rsid w:val="00DA5414"/>
    <w:rsid w:val="00DE02C8"/>
    <w:rsid w:val="00E00D0F"/>
    <w:rsid w:val="00E2571A"/>
    <w:rsid w:val="00E67B96"/>
    <w:rsid w:val="00E75690"/>
    <w:rsid w:val="00EC6D74"/>
    <w:rsid w:val="00F307AE"/>
    <w:rsid w:val="00FF6FC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8109"/>
  <w15:chartTrackingRefBased/>
  <w15:docId w15:val="{465C4B88-EDA0-4DB8-905B-DE299AC3B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5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12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12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12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12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12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12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12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12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12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12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12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12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12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12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12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12E"/>
    <w:rPr>
      <w:rFonts w:eastAsiaTheme="majorEastAsia" w:cstheme="majorBidi"/>
      <w:color w:val="272727" w:themeColor="text1" w:themeTint="D8"/>
    </w:rPr>
  </w:style>
  <w:style w:type="paragraph" w:styleId="Ttulo">
    <w:name w:val="Title"/>
    <w:basedOn w:val="Normal"/>
    <w:next w:val="Normal"/>
    <w:link w:val="TtuloCar"/>
    <w:uiPriority w:val="10"/>
    <w:qFormat/>
    <w:rsid w:val="00B35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12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12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12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12E"/>
    <w:pPr>
      <w:spacing w:before="160"/>
      <w:jc w:val="center"/>
    </w:pPr>
    <w:rPr>
      <w:i/>
      <w:iCs/>
      <w:color w:val="404040" w:themeColor="text1" w:themeTint="BF"/>
    </w:rPr>
  </w:style>
  <w:style w:type="character" w:customStyle="1" w:styleId="CitaCar">
    <w:name w:val="Cita Car"/>
    <w:basedOn w:val="Fuentedeprrafopredeter"/>
    <w:link w:val="Cita"/>
    <w:uiPriority w:val="29"/>
    <w:rsid w:val="00B3512E"/>
    <w:rPr>
      <w:i/>
      <w:iCs/>
      <w:color w:val="404040" w:themeColor="text1" w:themeTint="BF"/>
    </w:rPr>
  </w:style>
  <w:style w:type="paragraph" w:styleId="Prrafodelista">
    <w:name w:val="List Paragraph"/>
    <w:basedOn w:val="Normal"/>
    <w:uiPriority w:val="34"/>
    <w:qFormat/>
    <w:rsid w:val="00B3512E"/>
    <w:pPr>
      <w:ind w:left="720"/>
      <w:contextualSpacing/>
    </w:pPr>
  </w:style>
  <w:style w:type="character" w:styleId="nfasisintenso">
    <w:name w:val="Intense Emphasis"/>
    <w:basedOn w:val="Fuentedeprrafopredeter"/>
    <w:uiPriority w:val="21"/>
    <w:qFormat/>
    <w:rsid w:val="00B3512E"/>
    <w:rPr>
      <w:i/>
      <w:iCs/>
      <w:color w:val="0F4761" w:themeColor="accent1" w:themeShade="BF"/>
    </w:rPr>
  </w:style>
  <w:style w:type="paragraph" w:styleId="Citadestacada">
    <w:name w:val="Intense Quote"/>
    <w:basedOn w:val="Normal"/>
    <w:next w:val="Normal"/>
    <w:link w:val="CitadestacadaCar"/>
    <w:uiPriority w:val="30"/>
    <w:qFormat/>
    <w:rsid w:val="00B35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12E"/>
    <w:rPr>
      <w:i/>
      <w:iCs/>
      <w:color w:val="0F4761" w:themeColor="accent1" w:themeShade="BF"/>
    </w:rPr>
  </w:style>
  <w:style w:type="character" w:styleId="Referenciaintensa">
    <w:name w:val="Intense Reference"/>
    <w:basedOn w:val="Fuentedeprrafopredeter"/>
    <w:uiPriority w:val="32"/>
    <w:qFormat/>
    <w:rsid w:val="00B3512E"/>
    <w:rPr>
      <w:b/>
      <w:bCs/>
      <w:smallCaps/>
      <w:color w:val="0F4761" w:themeColor="accent1" w:themeShade="BF"/>
      <w:spacing w:val="5"/>
    </w:rPr>
  </w:style>
  <w:style w:type="paragraph" w:styleId="Sinespaciado">
    <w:name w:val="No Spacing"/>
    <w:uiPriority w:val="1"/>
    <w:qFormat/>
    <w:rsid w:val="00B3512E"/>
    <w:pPr>
      <w:spacing w:after="0" w:line="240" w:lineRule="auto"/>
    </w:pPr>
  </w:style>
  <w:style w:type="paragraph" w:styleId="Bibliografa">
    <w:name w:val="Bibliography"/>
    <w:basedOn w:val="Normal"/>
    <w:next w:val="Normal"/>
    <w:uiPriority w:val="37"/>
    <w:unhideWhenUsed/>
    <w:rsid w:val="00D55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098782">
      <w:bodyDiv w:val="1"/>
      <w:marLeft w:val="0"/>
      <w:marRight w:val="0"/>
      <w:marTop w:val="0"/>
      <w:marBottom w:val="0"/>
      <w:divBdr>
        <w:top w:val="none" w:sz="0" w:space="0" w:color="auto"/>
        <w:left w:val="none" w:sz="0" w:space="0" w:color="auto"/>
        <w:bottom w:val="none" w:sz="0" w:space="0" w:color="auto"/>
        <w:right w:val="none" w:sz="0" w:space="0" w:color="auto"/>
      </w:divBdr>
    </w:div>
    <w:div w:id="177816151">
      <w:bodyDiv w:val="1"/>
      <w:marLeft w:val="0"/>
      <w:marRight w:val="0"/>
      <w:marTop w:val="0"/>
      <w:marBottom w:val="0"/>
      <w:divBdr>
        <w:top w:val="none" w:sz="0" w:space="0" w:color="auto"/>
        <w:left w:val="none" w:sz="0" w:space="0" w:color="auto"/>
        <w:bottom w:val="none" w:sz="0" w:space="0" w:color="auto"/>
        <w:right w:val="none" w:sz="0" w:space="0" w:color="auto"/>
      </w:divBdr>
    </w:div>
    <w:div w:id="277882684">
      <w:bodyDiv w:val="1"/>
      <w:marLeft w:val="0"/>
      <w:marRight w:val="0"/>
      <w:marTop w:val="0"/>
      <w:marBottom w:val="0"/>
      <w:divBdr>
        <w:top w:val="none" w:sz="0" w:space="0" w:color="auto"/>
        <w:left w:val="none" w:sz="0" w:space="0" w:color="auto"/>
        <w:bottom w:val="none" w:sz="0" w:space="0" w:color="auto"/>
        <w:right w:val="none" w:sz="0" w:space="0" w:color="auto"/>
      </w:divBdr>
    </w:div>
    <w:div w:id="410779895">
      <w:bodyDiv w:val="1"/>
      <w:marLeft w:val="0"/>
      <w:marRight w:val="0"/>
      <w:marTop w:val="0"/>
      <w:marBottom w:val="0"/>
      <w:divBdr>
        <w:top w:val="none" w:sz="0" w:space="0" w:color="auto"/>
        <w:left w:val="none" w:sz="0" w:space="0" w:color="auto"/>
        <w:bottom w:val="none" w:sz="0" w:space="0" w:color="auto"/>
        <w:right w:val="none" w:sz="0" w:space="0" w:color="auto"/>
      </w:divBdr>
    </w:div>
    <w:div w:id="438644838">
      <w:bodyDiv w:val="1"/>
      <w:marLeft w:val="0"/>
      <w:marRight w:val="0"/>
      <w:marTop w:val="0"/>
      <w:marBottom w:val="0"/>
      <w:divBdr>
        <w:top w:val="none" w:sz="0" w:space="0" w:color="auto"/>
        <w:left w:val="none" w:sz="0" w:space="0" w:color="auto"/>
        <w:bottom w:val="none" w:sz="0" w:space="0" w:color="auto"/>
        <w:right w:val="none" w:sz="0" w:space="0" w:color="auto"/>
      </w:divBdr>
    </w:div>
    <w:div w:id="800155735">
      <w:bodyDiv w:val="1"/>
      <w:marLeft w:val="0"/>
      <w:marRight w:val="0"/>
      <w:marTop w:val="0"/>
      <w:marBottom w:val="0"/>
      <w:divBdr>
        <w:top w:val="none" w:sz="0" w:space="0" w:color="auto"/>
        <w:left w:val="none" w:sz="0" w:space="0" w:color="auto"/>
        <w:bottom w:val="none" w:sz="0" w:space="0" w:color="auto"/>
        <w:right w:val="none" w:sz="0" w:space="0" w:color="auto"/>
      </w:divBdr>
    </w:div>
    <w:div w:id="1082920491">
      <w:bodyDiv w:val="1"/>
      <w:marLeft w:val="0"/>
      <w:marRight w:val="0"/>
      <w:marTop w:val="0"/>
      <w:marBottom w:val="0"/>
      <w:divBdr>
        <w:top w:val="none" w:sz="0" w:space="0" w:color="auto"/>
        <w:left w:val="none" w:sz="0" w:space="0" w:color="auto"/>
        <w:bottom w:val="none" w:sz="0" w:space="0" w:color="auto"/>
        <w:right w:val="none" w:sz="0" w:space="0" w:color="auto"/>
      </w:divBdr>
    </w:div>
    <w:div w:id="1235817904">
      <w:bodyDiv w:val="1"/>
      <w:marLeft w:val="0"/>
      <w:marRight w:val="0"/>
      <w:marTop w:val="0"/>
      <w:marBottom w:val="0"/>
      <w:divBdr>
        <w:top w:val="none" w:sz="0" w:space="0" w:color="auto"/>
        <w:left w:val="none" w:sz="0" w:space="0" w:color="auto"/>
        <w:bottom w:val="none" w:sz="0" w:space="0" w:color="auto"/>
        <w:right w:val="none" w:sz="0" w:space="0" w:color="auto"/>
      </w:divBdr>
    </w:div>
    <w:div w:id="1263997192">
      <w:bodyDiv w:val="1"/>
      <w:marLeft w:val="0"/>
      <w:marRight w:val="0"/>
      <w:marTop w:val="0"/>
      <w:marBottom w:val="0"/>
      <w:divBdr>
        <w:top w:val="none" w:sz="0" w:space="0" w:color="auto"/>
        <w:left w:val="none" w:sz="0" w:space="0" w:color="auto"/>
        <w:bottom w:val="none" w:sz="0" w:space="0" w:color="auto"/>
        <w:right w:val="none" w:sz="0" w:space="0" w:color="auto"/>
      </w:divBdr>
    </w:div>
    <w:div w:id="1270359930">
      <w:bodyDiv w:val="1"/>
      <w:marLeft w:val="0"/>
      <w:marRight w:val="0"/>
      <w:marTop w:val="0"/>
      <w:marBottom w:val="0"/>
      <w:divBdr>
        <w:top w:val="none" w:sz="0" w:space="0" w:color="auto"/>
        <w:left w:val="none" w:sz="0" w:space="0" w:color="auto"/>
        <w:bottom w:val="none" w:sz="0" w:space="0" w:color="auto"/>
        <w:right w:val="none" w:sz="0" w:space="0" w:color="auto"/>
      </w:divBdr>
    </w:div>
    <w:div w:id="1545142446">
      <w:bodyDiv w:val="1"/>
      <w:marLeft w:val="0"/>
      <w:marRight w:val="0"/>
      <w:marTop w:val="0"/>
      <w:marBottom w:val="0"/>
      <w:divBdr>
        <w:top w:val="none" w:sz="0" w:space="0" w:color="auto"/>
        <w:left w:val="none" w:sz="0" w:space="0" w:color="auto"/>
        <w:bottom w:val="none" w:sz="0" w:space="0" w:color="auto"/>
        <w:right w:val="none" w:sz="0" w:space="0" w:color="auto"/>
      </w:divBdr>
    </w:div>
    <w:div w:id="1641878789">
      <w:bodyDiv w:val="1"/>
      <w:marLeft w:val="0"/>
      <w:marRight w:val="0"/>
      <w:marTop w:val="0"/>
      <w:marBottom w:val="0"/>
      <w:divBdr>
        <w:top w:val="none" w:sz="0" w:space="0" w:color="auto"/>
        <w:left w:val="none" w:sz="0" w:space="0" w:color="auto"/>
        <w:bottom w:val="none" w:sz="0" w:space="0" w:color="auto"/>
        <w:right w:val="none" w:sz="0" w:space="0" w:color="auto"/>
      </w:divBdr>
    </w:div>
    <w:div w:id="1811627910">
      <w:bodyDiv w:val="1"/>
      <w:marLeft w:val="0"/>
      <w:marRight w:val="0"/>
      <w:marTop w:val="0"/>
      <w:marBottom w:val="0"/>
      <w:divBdr>
        <w:top w:val="none" w:sz="0" w:space="0" w:color="auto"/>
        <w:left w:val="none" w:sz="0" w:space="0" w:color="auto"/>
        <w:bottom w:val="none" w:sz="0" w:space="0" w:color="auto"/>
        <w:right w:val="none" w:sz="0" w:space="0" w:color="auto"/>
      </w:divBdr>
    </w:div>
    <w:div w:id="1825582708">
      <w:bodyDiv w:val="1"/>
      <w:marLeft w:val="0"/>
      <w:marRight w:val="0"/>
      <w:marTop w:val="0"/>
      <w:marBottom w:val="0"/>
      <w:divBdr>
        <w:top w:val="none" w:sz="0" w:space="0" w:color="auto"/>
        <w:left w:val="none" w:sz="0" w:space="0" w:color="auto"/>
        <w:bottom w:val="none" w:sz="0" w:space="0" w:color="auto"/>
        <w:right w:val="none" w:sz="0" w:space="0" w:color="auto"/>
      </w:divBdr>
    </w:div>
    <w:div w:id="1912957486">
      <w:bodyDiv w:val="1"/>
      <w:marLeft w:val="0"/>
      <w:marRight w:val="0"/>
      <w:marTop w:val="0"/>
      <w:marBottom w:val="0"/>
      <w:divBdr>
        <w:top w:val="none" w:sz="0" w:space="0" w:color="auto"/>
        <w:left w:val="none" w:sz="0" w:space="0" w:color="auto"/>
        <w:bottom w:val="none" w:sz="0" w:space="0" w:color="auto"/>
        <w:right w:val="none" w:sz="0" w:space="0" w:color="auto"/>
      </w:divBdr>
    </w:div>
    <w:div w:id="211393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Rea23</b:Tag>
    <b:SourceType>InternetSite</b:SourceType>
    <b:Guid>{073C15E1-1AC5-49D2-9C11-A33E9A343A68}</b:Guid>
    <b:Title>Navegación</b:Title>
    <b:Year>2023</b:Year>
    <b:Author>
      <b:Author>
        <b:Corporate>Real Academia Española</b:Corporate>
      </b:Author>
    </b:Author>
    <b:URL>https://dle.rae.es/navegaci%C3%B3n</b:URL>
    <b:RefOrder>1</b:RefOrder>
  </b:Source>
  <b:Source>
    <b:Tag>Rea231</b:Tag>
    <b:SourceType>InternetSite</b:SourceType>
    <b:Guid>{F097EF86-A4A6-4CDF-A0A8-52873FD3A3AA}</b:Guid>
    <b:Author>
      <b:Author>
        <b:Corporate>Real Academia Española</b:Corporate>
      </b:Author>
    </b:Author>
    <b:Title>Ciencia</b:Title>
    <b:Year>2023</b:Year>
    <b:URL>https://dle.rae.es/ciencia</b:URL>
    <b:RefOrder>2</b:RefOrder>
  </b:Source>
  <b:Source>
    <b:Tag>UKD18</b:Tag>
    <b:SourceType>Book</b:SourceType>
    <b:Guid>{9ED4A146-7B30-46FD-BC66-AC762231A9CA}</b:Guid>
    <b:Title>ADMIRALTY MANUAL OF NAVIGATION</b:Title>
    <b:Year>2018</b:Year>
    <b:Author>
      <b:Author>
        <b:Corporate>UK DOD</b:Corporate>
      </b:Author>
    </b:Author>
    <b:City>London</b:City>
    <b:Publisher>DOD</b:Publisher>
    <b:RefOrder>3</b:RefOrder>
  </b:Source>
  <b:Source>
    <b:Tag>SHO24</b:Tag>
    <b:SourceType>InternetSite</b:SourceType>
    <b:Guid>{CD3E3B4F-4502-40B2-905B-38914D4EA9B5}</b:Guid>
    <b:Title>Catálogo de Cartas y Publicaciones</b:Title>
    <b:Year>2024</b:Year>
    <b:Author>
      <b:Author>
        <b:Corporate>SHOA</b:Corporate>
      </b:Author>
    </b:Author>
    <b:URL>www.shoa.cl</b:URL>
    <b:RefOrder>4</b:RefOrder>
  </b:Source>
  <b:Source>
    <b:Tag>IMO02</b:Tag>
    <b:SourceType>InternetSite</b:SourceType>
    <b:Guid>{6DEF55F4-3A7A-4F07-A87C-77B848654575}</b:Guid>
    <b:Author>
      <b:Author>
        <b:Corporate>IMO</b:Corporate>
      </b:Author>
    </b:Author>
    <b:Title>SOLAS XI-2 and the ISPS Code</b:Title>
    <b:Year>2002</b:Year>
    <b:URL>www.imo.org/ourwork</b:URL>
    <b:RefOrder>5</b:RefOrder>
  </b:Source>
  <b:Source>
    <b:Tag>UKM17</b:Tag>
    <b:SourceType>Book</b:SourceType>
    <b:Guid>{81E33E7E-3A8D-40E9-B3A1-316EFDA6F28E}</b:Guid>
    <b:Author>
      <b:Author>
        <b:Corporate>UK MOD </b:Corporate>
      </b:Author>
    </b:Author>
    <b:Title>ADMIRALTY MANUAL OF NAVIGATION / VOLUME 8 – WECDIS, CHARTS AND PUBLICATIONS</b:Title>
    <b:Year>2017</b:Year>
    <b:City>Londres</b:City>
    <b:Publisher>UK MOD</b:Publisher>
    <b:RefOrder>6</b:RefOrder>
  </b:Source>
</b:Sources>
</file>

<file path=customXml/itemProps1.xml><?xml version="1.0" encoding="utf-8"?>
<ds:datastoreItem xmlns:ds="http://schemas.openxmlformats.org/officeDocument/2006/customXml" ds:itemID="{8131CE7D-9511-427B-B27D-5A0EEECCE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10</Pages>
  <Words>2216</Words>
  <Characters>12191</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deichler vega</dc:creator>
  <cp:keywords/>
  <dc:description/>
  <cp:lastModifiedBy>Francisco Descalzi</cp:lastModifiedBy>
  <cp:revision>12</cp:revision>
  <dcterms:created xsi:type="dcterms:W3CDTF">2024-10-26T23:14:00Z</dcterms:created>
  <dcterms:modified xsi:type="dcterms:W3CDTF">2024-10-28T02:29:00Z</dcterms:modified>
</cp:coreProperties>
</file>