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084CF" w14:textId="77777777" w:rsidR="00CF4CC5" w:rsidRPr="00BF077B" w:rsidRDefault="00CF4CC5" w:rsidP="00BF077B">
      <w:pPr>
        <w:pStyle w:val="ATSNormal"/>
        <w:rPr>
          <w:rStyle w:val="Ttulodellibro"/>
        </w:rPr>
      </w:pPr>
    </w:p>
    <w:p w14:paraId="7283E9E3" w14:textId="77777777" w:rsidR="00CF4CC5" w:rsidRDefault="00CF4CC5" w:rsidP="004B4A60">
      <w:pPr>
        <w:rPr>
          <w:b/>
          <w:u w:val="single"/>
          <w:lang w:val="es-ES_tradnl"/>
        </w:rPr>
      </w:pPr>
    </w:p>
    <w:p w14:paraId="49B0B0DC" w14:textId="77777777" w:rsidR="00CF4CC5" w:rsidRDefault="00CF4CC5" w:rsidP="004B4A60">
      <w:pPr>
        <w:rPr>
          <w:b/>
          <w:u w:val="single"/>
          <w:lang w:val="es-ES_tradnl"/>
        </w:rPr>
      </w:pPr>
    </w:p>
    <w:p w14:paraId="1A7DCA75" w14:textId="77777777" w:rsidR="00CF4CC5" w:rsidRDefault="00CF4CC5" w:rsidP="004B4A60">
      <w:pPr>
        <w:rPr>
          <w:b/>
          <w:u w:val="single"/>
          <w:lang w:val="es-ES_tradnl"/>
        </w:rPr>
      </w:pPr>
    </w:p>
    <w:p w14:paraId="66CC9882" w14:textId="77777777" w:rsidR="00CF4CC5" w:rsidRDefault="00CF4CC5" w:rsidP="004B4A60">
      <w:pPr>
        <w:rPr>
          <w:b/>
          <w:u w:val="single"/>
          <w:lang w:val="es-ES_tradnl"/>
        </w:rPr>
      </w:pPr>
    </w:p>
    <w:p w14:paraId="5203A14C" w14:textId="77777777" w:rsidR="00CF4CC5" w:rsidRDefault="00CF4CC5" w:rsidP="004B4A60">
      <w:pPr>
        <w:rPr>
          <w:b/>
          <w:u w:val="single"/>
          <w:lang w:val="es-ES_tradnl"/>
        </w:rPr>
      </w:pPr>
    </w:p>
    <w:p w14:paraId="704FB3ED" w14:textId="77777777" w:rsidR="00CF4CC5" w:rsidRPr="0057246E" w:rsidRDefault="00CF4CC5" w:rsidP="001B789F">
      <w:pPr>
        <w:pStyle w:val="ATSTitle"/>
      </w:pPr>
      <w:bookmarkStart w:id="0" w:name="name"/>
      <w:r>
        <w:t>Cumulative Environmental Impacts – Report of Informal Intersessional Contact Group</w:t>
      </w:r>
      <w:bookmarkEnd w:id="0"/>
    </w:p>
    <w:p w14:paraId="3CB68AB3" w14:textId="77777777" w:rsidR="00CF4CC5" w:rsidRPr="0057246E" w:rsidRDefault="00CF4CC5" w:rsidP="00F75424">
      <w:pPr>
        <w:jc w:val="center"/>
      </w:pPr>
    </w:p>
    <w:p w14:paraId="41F3DBC1" w14:textId="77777777" w:rsidR="00CF4CC5" w:rsidRPr="002F0A13" w:rsidRDefault="00CF4CC5" w:rsidP="002F0A13"/>
    <w:p w14:paraId="43425614" w14:textId="77777777" w:rsidR="00CF4CC5" w:rsidRDefault="00CF4CC5" w:rsidP="00F75424">
      <w:pPr>
        <w:jc w:val="center"/>
      </w:pPr>
      <w:bookmarkStart w:id="1" w:name="memo"/>
      <w:bookmarkEnd w:id="1"/>
    </w:p>
    <w:p w14:paraId="62ED045F" w14:textId="77777777" w:rsidR="00CF4CC5" w:rsidRDefault="00CF4CC5" w:rsidP="00F75424">
      <w:pPr>
        <w:jc w:val="center"/>
      </w:pPr>
    </w:p>
    <w:p w14:paraId="39CD98D0" w14:textId="77777777" w:rsidR="00CF4CC5" w:rsidRDefault="00CF4CC5" w:rsidP="00F75424">
      <w:pPr>
        <w:jc w:val="center"/>
      </w:pPr>
    </w:p>
    <w:p w14:paraId="1F6C3769" w14:textId="77777777" w:rsidR="00CF4CC5" w:rsidRDefault="00CF4CC5" w:rsidP="00F75424">
      <w:pPr>
        <w:jc w:val="center"/>
      </w:pPr>
    </w:p>
    <w:p w14:paraId="15967470" w14:textId="77777777" w:rsidR="00CF4CC5" w:rsidRPr="00C26F2D" w:rsidRDefault="00CF4CC5" w:rsidP="00F75424">
      <w:pPr>
        <w:jc w:val="center"/>
      </w:pPr>
    </w:p>
    <w:p w14:paraId="47FDB67E" w14:textId="77777777" w:rsidR="00CF4CC5" w:rsidRPr="0057246E" w:rsidRDefault="00CF4CC5" w:rsidP="004B4A60"/>
    <w:p w14:paraId="6B4ED663" w14:textId="77777777" w:rsidR="00CF4CC5" w:rsidRDefault="00CF4CC5" w:rsidP="00952E9F">
      <w:pPr>
        <w:sectPr w:rsidR="00CF4CC5" w:rsidSect="00D5023C">
          <w:headerReference w:type="default" r:id="rId8"/>
          <w:footerReference w:type="even" r:id="rId9"/>
          <w:footerReference w:type="default" r:id="rId10"/>
          <w:pgSz w:w="11907" w:h="16840" w:code="9"/>
          <w:pgMar w:top="1134" w:right="1701" w:bottom="1134" w:left="1701" w:header="709" w:footer="709" w:gutter="0"/>
          <w:cols w:space="708"/>
          <w:docGrid w:linePitch="360"/>
        </w:sectPr>
      </w:pPr>
    </w:p>
    <w:p w14:paraId="5E9F9A57" w14:textId="77777777" w:rsidR="00A530A5" w:rsidRPr="00637729" w:rsidRDefault="00A530A5" w:rsidP="00A530A5">
      <w:pPr>
        <w:pStyle w:val="ATSHeading1"/>
      </w:pPr>
      <w:r w:rsidRPr="00637729">
        <w:lastRenderedPageBreak/>
        <w:t>Cumulative Environmental Impacts – Report of Informal Intersessional Contact Group</w:t>
      </w:r>
    </w:p>
    <w:p w14:paraId="2BF0F1B2" w14:textId="77777777" w:rsidR="00A530A5" w:rsidRPr="00DE77E5" w:rsidRDefault="00A530A5" w:rsidP="00A530A5">
      <w:pPr>
        <w:pStyle w:val="ATSHeading2"/>
      </w:pPr>
      <w:r w:rsidRPr="00DE77E5">
        <w:t>Sum</w:t>
      </w:r>
      <w:r>
        <w:t>mary</w:t>
      </w:r>
    </w:p>
    <w:p w14:paraId="5574F754" w14:textId="77777777" w:rsidR="00A530A5" w:rsidRPr="00637729" w:rsidRDefault="00A530A5" w:rsidP="00A530A5">
      <w:pPr>
        <w:spacing w:before="100" w:beforeAutospacing="1" w:after="100" w:afterAutospacing="1"/>
        <w:rPr>
          <w:szCs w:val="22"/>
          <w:lang w:eastAsia="en-GB"/>
        </w:rPr>
      </w:pPr>
      <w:r w:rsidRPr="00637729">
        <w:rPr>
          <w:szCs w:val="22"/>
          <w:lang w:eastAsia="en-GB"/>
        </w:rPr>
        <w:t xml:space="preserve">Discussions of cumulative impacts within the CEP are ongoing. An informal ICG was established to discuss a report submitted as ATCM 47 WP023 and seek general suggestions as to how the handling of cumulative impacts be improved. </w:t>
      </w:r>
    </w:p>
    <w:p w14:paraId="03413E2A" w14:textId="77777777" w:rsidR="00A530A5" w:rsidRPr="00637729" w:rsidRDefault="00A530A5" w:rsidP="00A530A5">
      <w:pPr>
        <w:spacing w:before="100" w:beforeAutospacing="1" w:after="100" w:afterAutospacing="1"/>
        <w:rPr>
          <w:szCs w:val="22"/>
          <w:lang w:eastAsia="en-GB"/>
        </w:rPr>
      </w:pPr>
      <w:r w:rsidRPr="00637729">
        <w:rPr>
          <w:szCs w:val="22"/>
          <w:lang w:eastAsia="en-GB"/>
        </w:rPr>
        <w:t>This paper provided a summary of the rich discussion held in th</w:t>
      </w:r>
      <w:r>
        <w:rPr>
          <w:szCs w:val="22"/>
          <w:lang w:eastAsia="en-GB"/>
        </w:rPr>
        <w:t>at</w:t>
      </w:r>
      <w:r w:rsidRPr="00637729">
        <w:rPr>
          <w:szCs w:val="22"/>
          <w:lang w:eastAsia="en-GB"/>
        </w:rPr>
        <w:t xml:space="preserve"> informal ICG. It concludes that participants agreed that cumulative impact assessment is important but remains challenging, that additional guidance materials would be welcome, that the phased framework proposed is favourable, but could be improved upon.  Various tools and methods were discussed; </w:t>
      </w:r>
      <w:proofErr w:type="gramStart"/>
      <w:r w:rsidRPr="00637729">
        <w:rPr>
          <w:szCs w:val="22"/>
          <w:lang w:eastAsia="en-GB"/>
        </w:rPr>
        <w:t>however</w:t>
      </w:r>
      <w:proofErr w:type="gramEnd"/>
      <w:r w:rsidRPr="00637729">
        <w:rPr>
          <w:szCs w:val="22"/>
          <w:lang w:eastAsia="en-GB"/>
        </w:rPr>
        <w:t xml:space="preserve"> </w:t>
      </w:r>
      <w:r>
        <w:rPr>
          <w:szCs w:val="22"/>
          <w:lang w:eastAsia="en-GB"/>
        </w:rPr>
        <w:t>views differed on</w:t>
      </w:r>
      <w:r w:rsidRPr="00637729">
        <w:rPr>
          <w:szCs w:val="22"/>
          <w:lang w:eastAsia="en-GB"/>
        </w:rPr>
        <w:t xml:space="preserve"> </w:t>
      </w:r>
      <w:r>
        <w:rPr>
          <w:szCs w:val="22"/>
          <w:lang w:eastAsia="en-GB"/>
        </w:rPr>
        <w:t xml:space="preserve">their </w:t>
      </w:r>
      <w:r w:rsidRPr="00637729">
        <w:rPr>
          <w:szCs w:val="22"/>
          <w:lang w:eastAsia="en-GB"/>
        </w:rPr>
        <w:t xml:space="preserve">prioritisation. Some tools </w:t>
      </w:r>
      <w:r>
        <w:rPr>
          <w:szCs w:val="22"/>
          <w:lang w:eastAsia="en-GB"/>
        </w:rPr>
        <w:t xml:space="preserve">are </w:t>
      </w:r>
      <w:r w:rsidRPr="00637729">
        <w:rPr>
          <w:szCs w:val="22"/>
          <w:lang w:eastAsia="en-GB"/>
        </w:rPr>
        <w:t xml:space="preserve">already under discussion elsewhere within CEP/ATCM which </w:t>
      </w:r>
      <w:r>
        <w:rPr>
          <w:szCs w:val="22"/>
          <w:lang w:eastAsia="en-GB"/>
        </w:rPr>
        <w:t xml:space="preserve">could </w:t>
      </w:r>
      <w:r w:rsidRPr="00637729">
        <w:rPr>
          <w:szCs w:val="22"/>
          <w:lang w:eastAsia="en-GB"/>
        </w:rPr>
        <w:t>be adapted to support CIA. Recommendations are proposed for the CEP’s consideration.</w:t>
      </w:r>
    </w:p>
    <w:p w14:paraId="78FA9344" w14:textId="77777777" w:rsidR="00A530A5" w:rsidRPr="00637729" w:rsidRDefault="00A530A5" w:rsidP="00A530A5">
      <w:pPr>
        <w:spacing w:before="100" w:beforeAutospacing="1" w:after="100" w:afterAutospacing="1"/>
        <w:rPr>
          <w:rFonts w:ascii="Arial" w:hAnsi="Arial" w:cs="Arial"/>
          <w:b/>
          <w:bCs/>
          <w:i/>
          <w:iCs/>
          <w:sz w:val="24"/>
          <w:lang w:eastAsia="en-GB"/>
        </w:rPr>
      </w:pPr>
      <w:r w:rsidRPr="00637729">
        <w:rPr>
          <w:rFonts w:ascii="Arial" w:hAnsi="Arial" w:cs="Arial"/>
          <w:b/>
          <w:bCs/>
          <w:i/>
          <w:iCs/>
          <w:sz w:val="24"/>
          <w:lang w:eastAsia="en-GB"/>
        </w:rPr>
        <w:t>Background</w:t>
      </w:r>
    </w:p>
    <w:p w14:paraId="3FF098E2" w14:textId="77777777" w:rsidR="00A530A5" w:rsidRPr="00637729" w:rsidRDefault="00A530A5" w:rsidP="00A530A5">
      <w:pPr>
        <w:spacing w:before="100" w:beforeAutospacing="1" w:after="100" w:afterAutospacing="1"/>
        <w:rPr>
          <w:szCs w:val="22"/>
          <w:lang w:val="en-US" w:eastAsia="en-GB"/>
        </w:rPr>
      </w:pPr>
      <w:r w:rsidRPr="00637729">
        <w:rPr>
          <w:szCs w:val="22"/>
          <w:lang w:val="en-US" w:eastAsia="en-GB"/>
        </w:rPr>
        <w:t xml:space="preserve">The issue of cumulative impacts has been regularly discussed by the Committee for Environmental Protection (CEP). </w:t>
      </w:r>
    </w:p>
    <w:p w14:paraId="0C25E65A" w14:textId="77777777" w:rsidR="00A530A5" w:rsidRPr="00637729" w:rsidRDefault="00A530A5" w:rsidP="00A530A5">
      <w:pPr>
        <w:spacing w:before="100" w:beforeAutospacing="1" w:after="100" w:afterAutospacing="1"/>
        <w:rPr>
          <w:szCs w:val="22"/>
          <w:lang w:val="en-US" w:eastAsia="en-GB"/>
        </w:rPr>
      </w:pPr>
      <w:r w:rsidRPr="00637729">
        <w:rPr>
          <w:szCs w:val="22"/>
          <w:lang w:val="en-US" w:eastAsia="en-GB"/>
        </w:rPr>
        <w:t xml:space="preserve">Most recently, at CEP 27 (2025), </w:t>
      </w:r>
      <w:r w:rsidRPr="00637729">
        <w:rPr>
          <w:i/>
          <w:iCs/>
          <w:szCs w:val="22"/>
          <w:lang w:val="en-US" w:eastAsia="en-GB"/>
        </w:rPr>
        <w:t>WP023 Cumulative Environmental Impact Assessment Approaches and Methods in Antarctica</w:t>
      </w:r>
      <w:r w:rsidRPr="00637729">
        <w:rPr>
          <w:szCs w:val="22"/>
          <w:lang w:val="en-US" w:eastAsia="en-GB"/>
        </w:rPr>
        <w:t xml:space="preserve"> was submitted which summarized the findings of a report </w:t>
      </w:r>
      <w:r w:rsidRPr="00637729">
        <w:rPr>
          <w:i/>
          <w:iCs/>
          <w:szCs w:val="22"/>
          <w:lang w:val="en-US" w:eastAsia="en-GB"/>
        </w:rPr>
        <w:t>Antarctic Cumulative Impact Assessment: A Discussion Document on Approaches and Methods</w:t>
      </w:r>
      <w:r w:rsidRPr="00637729">
        <w:rPr>
          <w:szCs w:val="22"/>
          <w:lang w:val="en-US" w:eastAsia="en-GB"/>
        </w:rPr>
        <w:t xml:space="preserve">, prepared by Dr Neil Gilbert under commission by the UK.  </w:t>
      </w:r>
    </w:p>
    <w:p w14:paraId="2502D2C7" w14:textId="77777777" w:rsidR="00A530A5" w:rsidRPr="00637729" w:rsidRDefault="00A530A5" w:rsidP="00A530A5">
      <w:pPr>
        <w:spacing w:before="100" w:beforeAutospacing="1" w:after="100" w:afterAutospacing="1"/>
        <w:rPr>
          <w:szCs w:val="22"/>
          <w:lang w:val="en-US" w:eastAsia="en-GB"/>
        </w:rPr>
      </w:pPr>
      <w:r w:rsidRPr="00637729">
        <w:rPr>
          <w:szCs w:val="22"/>
          <w:lang w:val="en-US" w:eastAsia="en-GB"/>
        </w:rPr>
        <w:t xml:space="preserve">The report intended to assist with and help progress the CEP’s discussions on cumulative impacts by </w:t>
      </w:r>
      <w:proofErr w:type="spellStart"/>
      <w:r w:rsidRPr="00637729">
        <w:rPr>
          <w:szCs w:val="22"/>
          <w:lang w:val="en-US" w:eastAsia="en-GB"/>
        </w:rPr>
        <w:t>summarising</w:t>
      </w:r>
      <w:proofErr w:type="spellEnd"/>
      <w:r w:rsidRPr="00637729">
        <w:rPr>
          <w:szCs w:val="22"/>
          <w:lang w:val="en-US" w:eastAsia="en-GB"/>
        </w:rPr>
        <w:t xml:space="preserve"> some of the key aspects involved in addressing this topic and by describing some practical examples. </w:t>
      </w:r>
    </w:p>
    <w:p w14:paraId="785CEC17" w14:textId="77777777" w:rsidR="00A530A5" w:rsidRPr="00637729" w:rsidRDefault="00A530A5" w:rsidP="00A530A5">
      <w:pPr>
        <w:spacing w:before="100" w:beforeAutospacing="1" w:after="100" w:afterAutospacing="1"/>
        <w:rPr>
          <w:szCs w:val="22"/>
          <w:lang w:val="en-US" w:eastAsia="en-GB"/>
        </w:rPr>
      </w:pPr>
      <w:r w:rsidRPr="00637729">
        <w:rPr>
          <w:szCs w:val="22"/>
          <w:lang w:val="en-US" w:eastAsia="en-GB"/>
        </w:rPr>
        <w:t>The report provided a high-level summary of approaches and methods used to undertake cumulative impact assessments drawing from expertise away from Antarctica and posed a series of questions that may be helpful in stimulating further discussion and progress.</w:t>
      </w:r>
    </w:p>
    <w:p w14:paraId="1FDA195B" w14:textId="77777777" w:rsidR="00A530A5" w:rsidRPr="00637729" w:rsidRDefault="00A530A5" w:rsidP="00A530A5">
      <w:pPr>
        <w:spacing w:before="100" w:beforeAutospacing="1" w:after="100" w:afterAutospacing="1"/>
        <w:rPr>
          <w:szCs w:val="22"/>
          <w:lang w:eastAsia="en-GB"/>
        </w:rPr>
      </w:pPr>
      <w:r w:rsidRPr="00637729">
        <w:rPr>
          <w:szCs w:val="22"/>
          <w:lang w:val="en-US" w:eastAsia="en-GB"/>
        </w:rPr>
        <w:t xml:space="preserve">During the meeting, the CEP noted </w:t>
      </w:r>
      <w:r w:rsidRPr="00637729">
        <w:rPr>
          <w:szCs w:val="22"/>
          <w:lang w:eastAsia="en-GB"/>
        </w:rPr>
        <w:t>the following was required or desirable for effective cumulative impact assessment and/or management:</w:t>
      </w:r>
    </w:p>
    <w:p w14:paraId="0D0B7A39" w14:textId="77777777" w:rsidR="00A530A5" w:rsidRPr="00637729" w:rsidRDefault="00A530A5" w:rsidP="00A530A5">
      <w:pPr>
        <w:numPr>
          <w:ilvl w:val="0"/>
          <w:numId w:val="22"/>
        </w:numPr>
        <w:spacing w:before="100" w:beforeAutospacing="1" w:after="100" w:afterAutospacing="1"/>
        <w:rPr>
          <w:szCs w:val="22"/>
          <w:lang w:eastAsia="en-GB"/>
        </w:rPr>
      </w:pPr>
      <w:r w:rsidRPr="00637729">
        <w:rPr>
          <w:szCs w:val="22"/>
          <w:lang w:eastAsia="en-GB"/>
        </w:rPr>
        <w:t>an interdisciplinary approach</w:t>
      </w:r>
    </w:p>
    <w:p w14:paraId="0C5C9F19" w14:textId="77777777" w:rsidR="00A530A5" w:rsidRPr="00637729" w:rsidRDefault="00A530A5" w:rsidP="00A530A5">
      <w:pPr>
        <w:numPr>
          <w:ilvl w:val="0"/>
          <w:numId w:val="22"/>
        </w:numPr>
        <w:spacing w:before="100" w:beforeAutospacing="1" w:after="100" w:afterAutospacing="1"/>
        <w:rPr>
          <w:szCs w:val="22"/>
          <w:lang w:eastAsia="en-GB"/>
        </w:rPr>
      </w:pPr>
      <w:r w:rsidRPr="00637729">
        <w:rPr>
          <w:szCs w:val="22"/>
          <w:lang w:eastAsia="en-GB"/>
        </w:rPr>
        <w:t>the importance of baseline data</w:t>
      </w:r>
    </w:p>
    <w:p w14:paraId="58503302" w14:textId="77777777" w:rsidR="00A530A5" w:rsidRPr="00637729" w:rsidRDefault="00A530A5" w:rsidP="00A530A5">
      <w:pPr>
        <w:numPr>
          <w:ilvl w:val="0"/>
          <w:numId w:val="22"/>
        </w:numPr>
        <w:spacing w:before="100" w:beforeAutospacing="1" w:after="100" w:afterAutospacing="1"/>
        <w:rPr>
          <w:szCs w:val="22"/>
          <w:lang w:eastAsia="en-GB"/>
        </w:rPr>
      </w:pPr>
      <w:r w:rsidRPr="00637729">
        <w:rPr>
          <w:szCs w:val="22"/>
          <w:lang w:eastAsia="en-GB"/>
        </w:rPr>
        <w:t>spatial analyses</w:t>
      </w:r>
    </w:p>
    <w:p w14:paraId="17C1C505" w14:textId="77777777" w:rsidR="00A530A5" w:rsidRPr="00637729" w:rsidRDefault="00A530A5" w:rsidP="00A530A5">
      <w:pPr>
        <w:numPr>
          <w:ilvl w:val="0"/>
          <w:numId w:val="22"/>
        </w:numPr>
        <w:spacing w:before="100" w:beforeAutospacing="1" w:after="100" w:afterAutospacing="1"/>
        <w:rPr>
          <w:szCs w:val="22"/>
          <w:lang w:eastAsia="en-GB"/>
        </w:rPr>
      </w:pPr>
      <w:r w:rsidRPr="00637729">
        <w:rPr>
          <w:szCs w:val="22"/>
          <w:lang w:eastAsia="en-GB"/>
        </w:rPr>
        <w:t xml:space="preserve">understanding the long-term environmental resilience </w:t>
      </w:r>
    </w:p>
    <w:p w14:paraId="7FB01CDD" w14:textId="77777777" w:rsidR="00A530A5" w:rsidRPr="00637729" w:rsidRDefault="00A530A5" w:rsidP="00A530A5">
      <w:pPr>
        <w:numPr>
          <w:ilvl w:val="0"/>
          <w:numId w:val="22"/>
        </w:numPr>
        <w:spacing w:before="100" w:beforeAutospacing="1" w:after="100" w:afterAutospacing="1"/>
        <w:rPr>
          <w:szCs w:val="22"/>
          <w:lang w:eastAsia="en-GB"/>
        </w:rPr>
      </w:pPr>
      <w:r w:rsidRPr="00637729">
        <w:rPr>
          <w:szCs w:val="22"/>
          <w:lang w:eastAsia="en-GB"/>
        </w:rPr>
        <w:t>improved information exchange and coordination between Parties</w:t>
      </w:r>
    </w:p>
    <w:p w14:paraId="22505880" w14:textId="77777777" w:rsidR="00A530A5" w:rsidRPr="00637729" w:rsidRDefault="00A530A5" w:rsidP="00A530A5">
      <w:pPr>
        <w:numPr>
          <w:ilvl w:val="0"/>
          <w:numId w:val="22"/>
        </w:numPr>
        <w:spacing w:before="100" w:beforeAutospacing="1" w:after="100" w:afterAutospacing="1"/>
        <w:rPr>
          <w:szCs w:val="22"/>
          <w:lang w:eastAsia="en-GB"/>
        </w:rPr>
      </w:pPr>
      <w:r w:rsidRPr="00637729">
        <w:rPr>
          <w:szCs w:val="22"/>
          <w:lang w:eastAsia="en-GB"/>
        </w:rPr>
        <w:t xml:space="preserve">drawing from the experience of the ASMA framework and that of other international bodies </w:t>
      </w:r>
    </w:p>
    <w:p w14:paraId="7F5FF70B" w14:textId="77777777" w:rsidR="00A530A5" w:rsidRPr="00637729" w:rsidRDefault="00A530A5" w:rsidP="00A530A5">
      <w:pPr>
        <w:numPr>
          <w:ilvl w:val="0"/>
          <w:numId w:val="22"/>
        </w:numPr>
        <w:spacing w:before="100" w:beforeAutospacing="1" w:after="100" w:afterAutospacing="1"/>
        <w:rPr>
          <w:szCs w:val="22"/>
          <w:lang w:eastAsia="en-GB"/>
        </w:rPr>
      </w:pPr>
      <w:r w:rsidRPr="00637729">
        <w:rPr>
          <w:szCs w:val="22"/>
          <w:lang w:eastAsia="en-GB"/>
        </w:rPr>
        <w:t>reference to the inventory of past activities (note that this is the topic of a separate informal ICG)</w:t>
      </w:r>
    </w:p>
    <w:p w14:paraId="1F956B51" w14:textId="77777777" w:rsidR="00A530A5" w:rsidRPr="00637729" w:rsidRDefault="00A530A5" w:rsidP="00A530A5">
      <w:pPr>
        <w:numPr>
          <w:ilvl w:val="0"/>
          <w:numId w:val="22"/>
        </w:numPr>
        <w:spacing w:before="100" w:beforeAutospacing="1" w:after="100" w:afterAutospacing="1"/>
        <w:rPr>
          <w:szCs w:val="22"/>
          <w:lang w:eastAsia="en-GB"/>
        </w:rPr>
      </w:pPr>
      <w:r w:rsidRPr="00637729">
        <w:rPr>
          <w:szCs w:val="22"/>
          <w:lang w:eastAsia="en-GB"/>
        </w:rPr>
        <w:t>adapting approaches to different Antarctic ecosystems and to start testing different approaches in practice</w:t>
      </w:r>
    </w:p>
    <w:p w14:paraId="4242C1E4" w14:textId="77777777" w:rsidR="00A530A5" w:rsidRPr="00637729" w:rsidRDefault="00A530A5" w:rsidP="00A530A5">
      <w:pPr>
        <w:numPr>
          <w:ilvl w:val="0"/>
          <w:numId w:val="22"/>
        </w:numPr>
        <w:spacing w:before="100" w:beforeAutospacing="1" w:after="100" w:afterAutospacing="1"/>
        <w:rPr>
          <w:szCs w:val="22"/>
          <w:lang w:eastAsia="en-GB"/>
        </w:rPr>
      </w:pPr>
      <w:r w:rsidRPr="00637729">
        <w:rPr>
          <w:szCs w:val="22"/>
          <w:lang w:eastAsia="en-GB"/>
        </w:rPr>
        <w:t>stand-alone cumulative impact assessments at highly visited sites, and within ASMAs</w:t>
      </w:r>
    </w:p>
    <w:p w14:paraId="16151BE7" w14:textId="77777777" w:rsidR="00A530A5" w:rsidRPr="00637729" w:rsidRDefault="00A530A5" w:rsidP="00A530A5">
      <w:pPr>
        <w:spacing w:before="100" w:beforeAutospacing="1" w:after="100" w:afterAutospacing="1"/>
        <w:rPr>
          <w:szCs w:val="22"/>
          <w:lang w:val="en-US" w:eastAsia="en-GB"/>
        </w:rPr>
      </w:pPr>
      <w:r w:rsidRPr="00637729">
        <w:rPr>
          <w:szCs w:val="22"/>
          <w:lang w:eastAsia="en-GB"/>
        </w:rPr>
        <w:lastRenderedPageBreak/>
        <w:t xml:space="preserve">The Committee welcomed suggestions on sharing case studies, exploring new technologies and tools, and drawing lessons from other international frameworks. </w:t>
      </w:r>
    </w:p>
    <w:p w14:paraId="42DC18C0" w14:textId="77777777" w:rsidR="00A530A5" w:rsidRPr="00637729" w:rsidRDefault="00A530A5" w:rsidP="00A530A5">
      <w:pPr>
        <w:spacing w:before="100" w:beforeAutospacing="1" w:after="100" w:afterAutospacing="1"/>
        <w:rPr>
          <w:szCs w:val="22"/>
          <w:lang w:val="en-US" w:eastAsia="en-GB"/>
        </w:rPr>
      </w:pPr>
      <w:r w:rsidRPr="00637729">
        <w:rPr>
          <w:szCs w:val="22"/>
          <w:lang w:val="en-US" w:eastAsia="en-GB"/>
        </w:rPr>
        <w:t xml:space="preserve">The CEP encouraged interested members to engage in informal intersessional discussions to progress this topic, focused on responding to the questions posed in the report and identifying a timeline for any actions that result from the discussions and agreed that the CEP forum be used to facilitate discussions.  </w:t>
      </w:r>
    </w:p>
    <w:p w14:paraId="10AE618F" w14:textId="77777777" w:rsidR="00A530A5" w:rsidRPr="00637729" w:rsidRDefault="00A530A5" w:rsidP="00A530A5">
      <w:pPr>
        <w:spacing w:before="100" w:beforeAutospacing="1" w:after="100" w:afterAutospacing="1"/>
        <w:rPr>
          <w:szCs w:val="22"/>
          <w:lang w:val="en-US" w:eastAsia="en-GB"/>
        </w:rPr>
      </w:pPr>
      <w:r w:rsidRPr="00637729">
        <w:rPr>
          <w:szCs w:val="22"/>
          <w:lang w:val="en-US" w:eastAsia="en-GB"/>
        </w:rPr>
        <w:t>This report describes the work done by the informal ICG and its findings.</w:t>
      </w:r>
    </w:p>
    <w:p w14:paraId="0CE15C55" w14:textId="77777777" w:rsidR="00A530A5" w:rsidRPr="00637729" w:rsidRDefault="00A530A5" w:rsidP="00A530A5">
      <w:pPr>
        <w:spacing w:before="100" w:beforeAutospacing="1" w:after="100" w:afterAutospacing="1"/>
        <w:rPr>
          <w:rFonts w:ascii="Arial" w:hAnsi="Arial" w:cs="Arial"/>
          <w:b/>
          <w:bCs/>
          <w:i/>
          <w:iCs/>
          <w:sz w:val="24"/>
          <w:lang w:val="en-US" w:eastAsia="en-GB"/>
        </w:rPr>
      </w:pPr>
      <w:r w:rsidRPr="00637729">
        <w:rPr>
          <w:rFonts w:ascii="Arial" w:hAnsi="Arial" w:cs="Arial"/>
          <w:b/>
          <w:bCs/>
          <w:i/>
          <w:iCs/>
          <w:sz w:val="24"/>
          <w:lang w:val="en-US" w:eastAsia="en-GB"/>
        </w:rPr>
        <w:t>Method and timeline</w:t>
      </w:r>
    </w:p>
    <w:p w14:paraId="3C9FD0E4" w14:textId="77777777" w:rsidR="00A530A5" w:rsidRPr="00637729" w:rsidRDefault="00A530A5" w:rsidP="00A530A5">
      <w:pPr>
        <w:spacing w:before="100" w:beforeAutospacing="1" w:after="100" w:afterAutospacing="1"/>
        <w:rPr>
          <w:szCs w:val="22"/>
          <w:lang w:val="en-US" w:eastAsia="en-GB"/>
        </w:rPr>
      </w:pPr>
      <w:r w:rsidRPr="00637729">
        <w:rPr>
          <w:szCs w:val="22"/>
          <w:lang w:val="en-US" w:eastAsia="en-GB"/>
        </w:rPr>
        <w:t>Members were invited to participate in this informal ICG as follows:</w:t>
      </w:r>
    </w:p>
    <w:p w14:paraId="5A1D9484" w14:textId="77777777" w:rsidR="00A530A5" w:rsidRPr="00637729" w:rsidRDefault="00A530A5" w:rsidP="00A530A5">
      <w:pPr>
        <w:numPr>
          <w:ilvl w:val="0"/>
          <w:numId w:val="23"/>
        </w:numPr>
        <w:spacing w:before="100" w:beforeAutospacing="1" w:after="100" w:afterAutospacing="1"/>
        <w:rPr>
          <w:szCs w:val="22"/>
          <w:lang w:val="en-US" w:eastAsia="en-GB"/>
        </w:rPr>
      </w:pPr>
      <w:r w:rsidRPr="00637729">
        <w:rPr>
          <w:szCs w:val="22"/>
          <w:lang w:val="en-US" w:eastAsia="en-GB"/>
        </w:rPr>
        <w:t>By responding to the ten questions raised in the report and listed below. This was the priority/focus of the intersessional work.</w:t>
      </w:r>
    </w:p>
    <w:p w14:paraId="3BD7760D" w14:textId="77777777" w:rsidR="00A530A5" w:rsidRPr="00637729" w:rsidRDefault="00A530A5" w:rsidP="00A530A5">
      <w:pPr>
        <w:spacing w:before="100" w:beforeAutospacing="1" w:after="100" w:afterAutospacing="1"/>
        <w:rPr>
          <w:b/>
          <w:bCs/>
          <w:szCs w:val="22"/>
          <w:lang w:val="en-NZ" w:eastAsia="en-GB"/>
        </w:rPr>
      </w:pPr>
      <w:r w:rsidRPr="00637729">
        <w:rPr>
          <w:b/>
          <w:bCs/>
          <w:szCs w:val="22"/>
          <w:lang w:val="en-NZ" w:eastAsia="en-GB"/>
        </w:rPr>
        <w:t>Q1 – Are there any additional technical resources and guidance materials that could be considered in developing cumulative impact approaches for Antarctica?</w:t>
      </w:r>
    </w:p>
    <w:p w14:paraId="53D8B25A" w14:textId="77777777" w:rsidR="00A530A5" w:rsidRPr="00637729" w:rsidRDefault="00A530A5" w:rsidP="00A530A5">
      <w:pPr>
        <w:spacing w:before="100" w:beforeAutospacing="1" w:after="100" w:afterAutospacing="1"/>
        <w:rPr>
          <w:b/>
          <w:bCs/>
          <w:szCs w:val="22"/>
          <w:lang w:val="en-NZ" w:eastAsia="en-GB"/>
        </w:rPr>
      </w:pPr>
      <w:r w:rsidRPr="00637729">
        <w:rPr>
          <w:b/>
          <w:bCs/>
          <w:szCs w:val="22"/>
          <w:lang w:val="en-NZ" w:eastAsia="en-GB"/>
        </w:rPr>
        <w:t>Q2 – Do the ‘scoping’, ‘retrospective analysis’, ‘prospective analysis’, ‘impact and significance assessment’, and ‘mitigation and monitoring’ phases provide a useful framework for developing a cumulative impacts assessment approach for Antarctica?</w:t>
      </w:r>
    </w:p>
    <w:p w14:paraId="3B3F1A89" w14:textId="77777777" w:rsidR="00A530A5" w:rsidRPr="00637729" w:rsidRDefault="00A530A5" w:rsidP="00A530A5">
      <w:pPr>
        <w:spacing w:before="100" w:beforeAutospacing="1" w:after="100" w:afterAutospacing="1"/>
        <w:rPr>
          <w:b/>
          <w:bCs/>
          <w:szCs w:val="22"/>
          <w:lang w:val="en-NZ" w:eastAsia="en-GB"/>
        </w:rPr>
      </w:pPr>
      <w:r w:rsidRPr="00637729">
        <w:rPr>
          <w:b/>
          <w:bCs/>
          <w:szCs w:val="22"/>
          <w:lang w:val="en-NZ" w:eastAsia="en-GB"/>
        </w:rPr>
        <w:t>Q3 – How might these phases (see Q2) need to be amended or added to?</w:t>
      </w:r>
    </w:p>
    <w:p w14:paraId="7EE9CC90" w14:textId="77777777" w:rsidR="00A530A5" w:rsidRPr="00637729" w:rsidRDefault="00A530A5" w:rsidP="00A530A5">
      <w:pPr>
        <w:spacing w:before="100" w:beforeAutospacing="1" w:after="100" w:afterAutospacing="1"/>
        <w:rPr>
          <w:b/>
          <w:bCs/>
          <w:szCs w:val="22"/>
          <w:lang w:val="en-NZ" w:eastAsia="en-GB"/>
        </w:rPr>
      </w:pPr>
      <w:r w:rsidRPr="00637729">
        <w:rPr>
          <w:b/>
          <w:bCs/>
          <w:szCs w:val="22"/>
          <w:lang w:val="en-NZ" w:eastAsia="en-GB"/>
        </w:rPr>
        <w:t>Q4 – Are there any additional methods and tools that could be useful in supporting Antarctic cumulative impacts assessment?</w:t>
      </w:r>
    </w:p>
    <w:p w14:paraId="6A59A580" w14:textId="77777777" w:rsidR="00A530A5" w:rsidRPr="00637729" w:rsidRDefault="00A530A5" w:rsidP="00A530A5">
      <w:pPr>
        <w:spacing w:before="100" w:beforeAutospacing="1" w:after="100" w:afterAutospacing="1"/>
        <w:rPr>
          <w:b/>
          <w:bCs/>
          <w:szCs w:val="22"/>
          <w:lang w:val="en-NZ" w:eastAsia="en-GB"/>
        </w:rPr>
      </w:pPr>
      <w:r w:rsidRPr="00637729">
        <w:rPr>
          <w:b/>
          <w:bCs/>
          <w:szCs w:val="22"/>
          <w:lang w:val="en-NZ" w:eastAsia="en-GB"/>
        </w:rPr>
        <w:t>Q5 – Can any priority be given to the methods and tools for assessing cumulative impacts that are highlighted in this discussion document?</w:t>
      </w:r>
    </w:p>
    <w:p w14:paraId="0C2EFCA4" w14:textId="77777777" w:rsidR="00A530A5" w:rsidRPr="00637729" w:rsidRDefault="00A530A5" w:rsidP="00A530A5">
      <w:pPr>
        <w:spacing w:before="100" w:beforeAutospacing="1" w:after="100" w:afterAutospacing="1"/>
        <w:rPr>
          <w:b/>
          <w:bCs/>
          <w:szCs w:val="22"/>
          <w:lang w:val="en-NZ" w:eastAsia="en-GB"/>
        </w:rPr>
      </w:pPr>
      <w:r w:rsidRPr="00637729">
        <w:rPr>
          <w:b/>
          <w:bCs/>
          <w:szCs w:val="22"/>
          <w:lang w:val="en-NZ" w:eastAsia="en-GB"/>
        </w:rPr>
        <w:t>Q6 – Is there merit in expanding upon any of these tools and including them in guidelines for Antarctic cumulative impact assessment (see Q10)?</w:t>
      </w:r>
    </w:p>
    <w:p w14:paraId="019ECA97" w14:textId="77777777" w:rsidR="00A530A5" w:rsidRPr="00637729" w:rsidRDefault="00A530A5" w:rsidP="00A530A5">
      <w:pPr>
        <w:spacing w:before="100" w:beforeAutospacing="1" w:after="100" w:afterAutospacing="1"/>
        <w:rPr>
          <w:b/>
          <w:bCs/>
          <w:szCs w:val="22"/>
          <w:lang w:val="en-NZ" w:eastAsia="en-GB"/>
        </w:rPr>
      </w:pPr>
      <w:r w:rsidRPr="00637729">
        <w:rPr>
          <w:b/>
          <w:bCs/>
          <w:szCs w:val="22"/>
          <w:lang w:val="en-NZ" w:eastAsia="en-GB"/>
        </w:rPr>
        <w:t>Q7 – Are there any additional data and information sources and would this be a useful resource to include in guidelines for Antarctic cumulative impact assessment (see Q10)?</w:t>
      </w:r>
    </w:p>
    <w:p w14:paraId="43CEC05F" w14:textId="77777777" w:rsidR="00A530A5" w:rsidRPr="00637729" w:rsidRDefault="00A530A5" w:rsidP="00A530A5">
      <w:pPr>
        <w:spacing w:before="100" w:beforeAutospacing="1" w:after="100" w:afterAutospacing="1"/>
        <w:rPr>
          <w:b/>
          <w:bCs/>
          <w:szCs w:val="22"/>
          <w:lang w:val="en-NZ" w:eastAsia="en-GB"/>
        </w:rPr>
      </w:pPr>
      <w:r w:rsidRPr="00637729">
        <w:rPr>
          <w:b/>
          <w:bCs/>
          <w:szCs w:val="22"/>
          <w:lang w:val="en-NZ" w:eastAsia="en-GB"/>
        </w:rPr>
        <w:t>Q8 – Is it feasible to establish an approach to assessing cumulative impact in Antarctica that can be applied both as part of an activity-focussed EIA, as well as a standalone cumulative impact assessment?</w:t>
      </w:r>
    </w:p>
    <w:p w14:paraId="6DB6DB38" w14:textId="77777777" w:rsidR="00A530A5" w:rsidRPr="00637729" w:rsidRDefault="00A530A5" w:rsidP="00A530A5">
      <w:pPr>
        <w:spacing w:before="100" w:beforeAutospacing="1" w:after="100" w:afterAutospacing="1"/>
        <w:rPr>
          <w:b/>
          <w:bCs/>
          <w:szCs w:val="22"/>
          <w:lang w:val="en-NZ" w:eastAsia="en-GB"/>
        </w:rPr>
      </w:pPr>
      <w:r w:rsidRPr="00637729">
        <w:rPr>
          <w:b/>
          <w:bCs/>
          <w:szCs w:val="22"/>
          <w:lang w:val="en-NZ" w:eastAsia="en-GB"/>
        </w:rPr>
        <w:t>Q9 – Should the CEP / Parties consider undertaking standalone cumulative impact assessments (independently from project-specific EIAs)?  If so, which areas of Antarctica, or which activities might be prioritised for standalone cumulative impact assessment?</w:t>
      </w:r>
    </w:p>
    <w:p w14:paraId="1B04EF6D" w14:textId="77777777" w:rsidR="00A530A5" w:rsidRPr="00637729" w:rsidRDefault="00A530A5" w:rsidP="00A530A5">
      <w:pPr>
        <w:spacing w:before="100" w:beforeAutospacing="1" w:after="100" w:afterAutospacing="1"/>
        <w:rPr>
          <w:b/>
          <w:bCs/>
          <w:szCs w:val="22"/>
          <w:lang w:val="en-NZ" w:eastAsia="en-GB"/>
        </w:rPr>
      </w:pPr>
      <w:r w:rsidRPr="00637729">
        <w:rPr>
          <w:b/>
          <w:bCs/>
          <w:szCs w:val="22"/>
          <w:lang w:val="en-NZ" w:eastAsia="en-GB"/>
        </w:rPr>
        <w:t>Q10 – Is there merit in developing standalone guidelines for Antarctic cumulative impact assessment or could the current Antarctic EIA guidelines be amended to better accommodate guidance material for cumulative impact assessment?</w:t>
      </w:r>
    </w:p>
    <w:p w14:paraId="2761FAA5" w14:textId="77777777" w:rsidR="00A530A5" w:rsidRPr="00637729" w:rsidRDefault="00A530A5" w:rsidP="00A530A5">
      <w:pPr>
        <w:numPr>
          <w:ilvl w:val="0"/>
          <w:numId w:val="23"/>
        </w:numPr>
        <w:spacing w:before="100" w:beforeAutospacing="1" w:after="100" w:afterAutospacing="1"/>
        <w:rPr>
          <w:szCs w:val="22"/>
          <w:lang w:val="en-US" w:eastAsia="en-GB"/>
        </w:rPr>
      </w:pPr>
      <w:r w:rsidRPr="00637729">
        <w:rPr>
          <w:szCs w:val="22"/>
          <w:lang w:val="en-US" w:eastAsia="en-GB"/>
        </w:rPr>
        <w:t>Providing commentary, observations or further detail on the topics discussed during the CEP 27 meeting.</w:t>
      </w:r>
    </w:p>
    <w:p w14:paraId="74D961CE" w14:textId="77777777" w:rsidR="00A530A5" w:rsidRPr="00637729" w:rsidRDefault="00A530A5" w:rsidP="00A530A5">
      <w:pPr>
        <w:numPr>
          <w:ilvl w:val="0"/>
          <w:numId w:val="23"/>
        </w:numPr>
        <w:spacing w:before="100" w:beforeAutospacing="1" w:after="100" w:afterAutospacing="1"/>
        <w:rPr>
          <w:szCs w:val="22"/>
          <w:lang w:val="en-US" w:eastAsia="en-GB"/>
        </w:rPr>
      </w:pPr>
      <w:r w:rsidRPr="00637729">
        <w:rPr>
          <w:szCs w:val="22"/>
          <w:lang w:val="en-US" w:eastAsia="en-GB"/>
        </w:rPr>
        <w:t>Highlighting whether they have case studies to share, details on experience of using new technologies and tools or lessons from other international frameworks.</w:t>
      </w:r>
    </w:p>
    <w:p w14:paraId="528A222E" w14:textId="77777777" w:rsidR="00A530A5" w:rsidRPr="00637729" w:rsidRDefault="00A530A5" w:rsidP="00A530A5">
      <w:pPr>
        <w:spacing w:before="100" w:beforeAutospacing="1" w:after="100" w:afterAutospacing="1"/>
        <w:rPr>
          <w:szCs w:val="22"/>
          <w:lang w:val="en-US" w:eastAsia="en-GB"/>
        </w:rPr>
      </w:pPr>
      <w:r w:rsidRPr="00637729">
        <w:rPr>
          <w:szCs w:val="22"/>
          <w:lang w:val="en-US" w:eastAsia="en-GB"/>
        </w:rPr>
        <w:lastRenderedPageBreak/>
        <w:t xml:space="preserve">The informal ICG was opened on 1 November </w:t>
      </w:r>
      <w:r>
        <w:rPr>
          <w:szCs w:val="22"/>
          <w:lang w:val="en-US" w:eastAsia="en-GB"/>
        </w:rPr>
        <w:t>20</w:t>
      </w:r>
      <w:r w:rsidRPr="00637729">
        <w:rPr>
          <w:szCs w:val="22"/>
          <w:lang w:val="en-US" w:eastAsia="en-GB"/>
        </w:rPr>
        <w:t xml:space="preserve">25, and input was requested by 9 January </w:t>
      </w:r>
      <w:r>
        <w:rPr>
          <w:szCs w:val="22"/>
          <w:lang w:val="en-US" w:eastAsia="en-GB"/>
        </w:rPr>
        <w:t>20</w:t>
      </w:r>
      <w:r w:rsidRPr="00637729">
        <w:rPr>
          <w:szCs w:val="22"/>
          <w:lang w:val="en-US" w:eastAsia="en-GB"/>
        </w:rPr>
        <w:t>26. The participant</w:t>
      </w:r>
      <w:r>
        <w:rPr>
          <w:szCs w:val="22"/>
          <w:lang w:val="en-US" w:eastAsia="en-GB"/>
        </w:rPr>
        <w:t>s’ responses</w:t>
      </w:r>
      <w:r w:rsidRPr="00637729">
        <w:rPr>
          <w:szCs w:val="22"/>
          <w:lang w:val="en-US" w:eastAsia="en-GB"/>
        </w:rPr>
        <w:t xml:space="preserve"> were included in a draft W</w:t>
      </w:r>
      <w:r>
        <w:rPr>
          <w:szCs w:val="22"/>
          <w:lang w:val="en-US" w:eastAsia="en-GB"/>
        </w:rPr>
        <w:t xml:space="preserve">orking </w:t>
      </w:r>
      <w:r w:rsidRPr="00637729">
        <w:rPr>
          <w:szCs w:val="22"/>
          <w:lang w:val="en-US" w:eastAsia="en-GB"/>
        </w:rPr>
        <w:t>P</w:t>
      </w:r>
      <w:r>
        <w:rPr>
          <w:szCs w:val="22"/>
          <w:lang w:val="en-US" w:eastAsia="en-GB"/>
        </w:rPr>
        <w:t>aper</w:t>
      </w:r>
      <w:r w:rsidRPr="00637729">
        <w:rPr>
          <w:szCs w:val="22"/>
          <w:lang w:val="en-US" w:eastAsia="en-GB"/>
        </w:rPr>
        <w:t xml:space="preserve"> which was shared for comment on 16th February </w:t>
      </w:r>
      <w:r>
        <w:rPr>
          <w:szCs w:val="22"/>
          <w:lang w:val="en-US" w:eastAsia="en-GB"/>
        </w:rPr>
        <w:t>20</w:t>
      </w:r>
      <w:r w:rsidRPr="00637729">
        <w:rPr>
          <w:szCs w:val="22"/>
          <w:lang w:val="en-US" w:eastAsia="en-GB"/>
        </w:rPr>
        <w:t xml:space="preserve">26.  </w:t>
      </w:r>
      <w:r>
        <w:rPr>
          <w:szCs w:val="22"/>
          <w:lang w:val="en-US" w:eastAsia="en-GB"/>
        </w:rPr>
        <w:t xml:space="preserve">Feedback was incorporated into the final version of this Working Paper prior to its submission.  </w:t>
      </w:r>
    </w:p>
    <w:p w14:paraId="184E32C7" w14:textId="77777777" w:rsidR="00A530A5" w:rsidRPr="00637729" w:rsidRDefault="00A530A5" w:rsidP="00A530A5">
      <w:pPr>
        <w:spacing w:before="100" w:beforeAutospacing="1" w:after="100" w:afterAutospacing="1"/>
        <w:rPr>
          <w:rFonts w:ascii="Arial" w:hAnsi="Arial" w:cs="Arial"/>
          <w:b/>
          <w:bCs/>
          <w:i/>
          <w:iCs/>
          <w:sz w:val="24"/>
          <w:lang w:val="en-US" w:eastAsia="en-GB"/>
        </w:rPr>
      </w:pPr>
      <w:r w:rsidRPr="00637729">
        <w:rPr>
          <w:rFonts w:ascii="Arial" w:hAnsi="Arial" w:cs="Arial"/>
          <w:b/>
          <w:bCs/>
          <w:i/>
          <w:iCs/>
          <w:sz w:val="24"/>
          <w:lang w:val="en-US" w:eastAsia="en-GB"/>
        </w:rPr>
        <w:t>Discussion</w:t>
      </w:r>
    </w:p>
    <w:p w14:paraId="0AFEBDA2" w14:textId="77777777" w:rsidR="00A530A5" w:rsidRPr="00637729" w:rsidRDefault="00A530A5" w:rsidP="00A530A5">
      <w:pPr>
        <w:spacing w:before="100" w:beforeAutospacing="1" w:after="100" w:afterAutospacing="1"/>
        <w:rPr>
          <w:szCs w:val="22"/>
          <w:lang w:eastAsia="en-GB"/>
        </w:rPr>
      </w:pPr>
      <w:r w:rsidRPr="00637729">
        <w:rPr>
          <w:szCs w:val="22"/>
          <w:lang w:eastAsia="en-GB"/>
        </w:rPr>
        <w:t xml:space="preserve">Responses were received from nine Members, Australia, Belarus, Brazil, New Zealand, Norway, Uruguay, United Kingdom, ASOC and IAATO and a summary of their input is provided </w:t>
      </w:r>
      <w:r>
        <w:rPr>
          <w:szCs w:val="22"/>
          <w:lang w:eastAsia="en-GB"/>
        </w:rPr>
        <w:t xml:space="preserve">Appendix A of </w:t>
      </w:r>
      <w:r w:rsidRPr="00637729">
        <w:rPr>
          <w:szCs w:val="22"/>
          <w:lang w:eastAsia="en-GB"/>
        </w:rPr>
        <w:t xml:space="preserve">this WP.  This WP summarises the responses to the ten specific questions along with a summary of other points raised during the process.  </w:t>
      </w:r>
      <w:r w:rsidRPr="00BE23D3">
        <w:rPr>
          <w:szCs w:val="22"/>
          <w:lang w:eastAsia="en-GB"/>
        </w:rPr>
        <w:t>Participants full responses are available on the forum.</w:t>
      </w:r>
      <w:r w:rsidRPr="00637729">
        <w:rPr>
          <w:szCs w:val="22"/>
          <w:lang w:eastAsia="en-GB"/>
        </w:rPr>
        <w:t xml:space="preserve">  </w:t>
      </w:r>
    </w:p>
    <w:p w14:paraId="69BDB250" w14:textId="77777777" w:rsidR="00A530A5" w:rsidRPr="00637729" w:rsidRDefault="00A530A5" w:rsidP="00A530A5">
      <w:pPr>
        <w:spacing w:before="100" w:beforeAutospacing="1" w:after="100" w:afterAutospacing="1"/>
        <w:rPr>
          <w:rFonts w:ascii="Arial" w:hAnsi="Arial" w:cs="Arial"/>
          <w:b/>
          <w:bCs/>
          <w:i/>
          <w:iCs/>
          <w:sz w:val="24"/>
          <w:lang w:eastAsia="en-GB"/>
        </w:rPr>
      </w:pPr>
      <w:r w:rsidRPr="00637729">
        <w:rPr>
          <w:rFonts w:ascii="Arial" w:hAnsi="Arial" w:cs="Arial"/>
          <w:b/>
          <w:bCs/>
          <w:i/>
          <w:iCs/>
          <w:sz w:val="24"/>
          <w:lang w:eastAsia="en-GB"/>
        </w:rPr>
        <w:t>Conclusions</w:t>
      </w:r>
    </w:p>
    <w:p w14:paraId="2D6E8553" w14:textId="77777777" w:rsidR="00A530A5" w:rsidRPr="00637729" w:rsidRDefault="00A530A5" w:rsidP="00A530A5">
      <w:pPr>
        <w:spacing w:before="100" w:beforeAutospacing="1" w:after="100" w:afterAutospacing="1"/>
        <w:rPr>
          <w:szCs w:val="22"/>
          <w:lang w:eastAsia="en-GB"/>
        </w:rPr>
      </w:pPr>
      <w:r w:rsidRPr="00637729">
        <w:rPr>
          <w:szCs w:val="22"/>
          <w:lang w:eastAsia="en-GB"/>
        </w:rPr>
        <w:t xml:space="preserve">Nine participants provided substantial input to the ICG, agreeing that cumulative impact assessment (CIA) is an important but challenging area. </w:t>
      </w:r>
      <w:bookmarkStart w:id="10" w:name="_Hlk221294817"/>
      <w:r w:rsidRPr="00637729">
        <w:rPr>
          <w:szCs w:val="22"/>
          <w:lang w:eastAsia="en-GB"/>
        </w:rPr>
        <w:t xml:space="preserve">They recommended developing additional guidance materials and noted that a previously proposed repository of EIA resources </w:t>
      </w:r>
      <w:r>
        <w:rPr>
          <w:szCs w:val="22"/>
          <w:lang w:eastAsia="en-GB"/>
        </w:rPr>
        <w:t>or</w:t>
      </w:r>
      <w:r w:rsidRPr="00637729">
        <w:rPr>
          <w:szCs w:val="22"/>
          <w:lang w:eastAsia="en-GB"/>
        </w:rPr>
        <w:t xml:space="preserve"> EIA manual may be valuable.</w:t>
      </w:r>
    </w:p>
    <w:p w14:paraId="03FD87F7" w14:textId="77777777" w:rsidR="00A530A5" w:rsidRPr="00637729" w:rsidRDefault="00A530A5" w:rsidP="00A530A5">
      <w:pPr>
        <w:spacing w:before="100" w:beforeAutospacing="1" w:after="100" w:afterAutospacing="1"/>
        <w:rPr>
          <w:szCs w:val="22"/>
          <w:lang w:eastAsia="en-GB"/>
        </w:rPr>
      </w:pPr>
      <w:r w:rsidRPr="00637729">
        <w:rPr>
          <w:szCs w:val="22"/>
          <w:lang w:eastAsia="en-GB"/>
        </w:rPr>
        <w:t xml:space="preserve">Participants generally supported the phased framework of </w:t>
      </w:r>
      <w:r w:rsidRPr="00637729">
        <w:rPr>
          <w:i/>
          <w:iCs/>
          <w:szCs w:val="22"/>
          <w:lang w:eastAsia="en-GB"/>
        </w:rPr>
        <w:t>scoping, retrospective analysis, prospective analysis, impact and significance assessment, and mitigation and monitoring</w:t>
      </w:r>
      <w:r w:rsidRPr="00637729">
        <w:rPr>
          <w:szCs w:val="22"/>
          <w:lang w:eastAsia="en-GB"/>
        </w:rPr>
        <w:t>, but suggested improvements which included keeping mitigation and monitoring separate and to define monitoring more explicitly. The importance of iterative, adaptive assessment processes was highlighted.</w:t>
      </w:r>
    </w:p>
    <w:p w14:paraId="3055B4CC" w14:textId="77777777" w:rsidR="00A530A5" w:rsidRPr="00637729" w:rsidRDefault="00A530A5" w:rsidP="00A530A5">
      <w:pPr>
        <w:spacing w:before="100" w:beforeAutospacing="1" w:after="100" w:afterAutospacing="1"/>
        <w:rPr>
          <w:szCs w:val="22"/>
          <w:lang w:eastAsia="en-GB"/>
        </w:rPr>
      </w:pPr>
      <w:r w:rsidRPr="00637729">
        <w:rPr>
          <w:szCs w:val="22"/>
          <w:lang w:eastAsia="en-GB"/>
        </w:rPr>
        <w:t>A major challenge identified was the lack of established ecological thresholds. Participants advised that work to define these should proceed alongside methodological improvements to CIA.</w:t>
      </w:r>
    </w:p>
    <w:p w14:paraId="6305B413" w14:textId="77777777" w:rsidR="00A530A5" w:rsidRPr="00637729" w:rsidRDefault="00A530A5" w:rsidP="00A530A5">
      <w:pPr>
        <w:spacing w:before="100" w:beforeAutospacing="1" w:after="100" w:afterAutospacing="1"/>
        <w:rPr>
          <w:szCs w:val="22"/>
          <w:lang w:eastAsia="en-GB"/>
        </w:rPr>
      </w:pPr>
      <w:r w:rsidRPr="00637729">
        <w:rPr>
          <w:szCs w:val="22"/>
          <w:lang w:eastAsia="en-GB"/>
        </w:rPr>
        <w:t xml:space="preserve">Various tools and methods were discussed, however there </w:t>
      </w:r>
      <w:r>
        <w:rPr>
          <w:szCs w:val="22"/>
          <w:lang w:eastAsia="en-GB"/>
        </w:rPr>
        <w:t>were differing views</w:t>
      </w:r>
      <w:r w:rsidRPr="00637729">
        <w:rPr>
          <w:szCs w:val="22"/>
          <w:lang w:eastAsia="en-GB"/>
        </w:rPr>
        <w:t xml:space="preserve"> on prioritisation. Some tools already under discussion elsewhere within CEP/ATCM (such as GIS’ and inventories of past activities) which </w:t>
      </w:r>
      <w:r>
        <w:rPr>
          <w:szCs w:val="22"/>
          <w:lang w:eastAsia="en-GB"/>
        </w:rPr>
        <w:t xml:space="preserve">could </w:t>
      </w:r>
      <w:r w:rsidRPr="00637729">
        <w:rPr>
          <w:szCs w:val="22"/>
          <w:lang w:eastAsia="en-GB"/>
        </w:rPr>
        <w:t xml:space="preserve">be adapted to support CIA. </w:t>
      </w:r>
    </w:p>
    <w:p w14:paraId="6CDA1F0E" w14:textId="77777777" w:rsidR="00A530A5" w:rsidRPr="00637729" w:rsidRDefault="00A530A5" w:rsidP="00A530A5">
      <w:pPr>
        <w:spacing w:before="100" w:beforeAutospacing="1" w:after="100" w:afterAutospacing="1"/>
        <w:rPr>
          <w:szCs w:val="22"/>
          <w:lang w:eastAsia="en-GB"/>
        </w:rPr>
      </w:pPr>
      <w:r w:rsidRPr="00637729">
        <w:rPr>
          <w:szCs w:val="22"/>
          <w:lang w:eastAsia="en-GB"/>
        </w:rPr>
        <w:t>Most considered it feasible to develop a CIA approach suitable both for activity</w:t>
      </w:r>
      <w:r w:rsidRPr="00637729">
        <w:rPr>
          <w:szCs w:val="22"/>
          <w:lang w:eastAsia="en-GB"/>
        </w:rPr>
        <w:noBreakHyphen/>
        <w:t>focussed EIAs and for standalone cumulative assessments, though there were differing views on which pathway should be pursued first.  Respondents pointed out that standalone CIAs are not explicitly required by the Protocol, although they would assist CEP to fulfil its functions under Article 12 of the Protocol</w:t>
      </w:r>
      <w:r>
        <w:rPr>
          <w:szCs w:val="22"/>
          <w:lang w:eastAsia="en-GB"/>
        </w:rPr>
        <w:t>, and some noted that further discussions on this topic would be of benefit.</w:t>
      </w:r>
    </w:p>
    <w:bookmarkEnd w:id="10"/>
    <w:p w14:paraId="06E65A58" w14:textId="77777777" w:rsidR="00A530A5" w:rsidRPr="00637729" w:rsidRDefault="00A530A5" w:rsidP="00A530A5">
      <w:pPr>
        <w:spacing w:before="100" w:beforeAutospacing="1" w:after="100" w:afterAutospacing="1"/>
        <w:rPr>
          <w:b/>
          <w:bCs/>
          <w:szCs w:val="22"/>
          <w:lang w:eastAsia="en-GB"/>
        </w:rPr>
      </w:pPr>
      <w:r w:rsidRPr="00637729">
        <w:rPr>
          <w:szCs w:val="22"/>
          <w:lang w:eastAsia="en-GB"/>
        </w:rPr>
        <w:t>Whilst no case studies of CIA were shared, tools from other frameworks and some Antarctic observations were listed.</w:t>
      </w:r>
    </w:p>
    <w:p w14:paraId="4E2497FE" w14:textId="77777777" w:rsidR="00A530A5" w:rsidRPr="00637729" w:rsidRDefault="00A530A5" w:rsidP="00A530A5">
      <w:pPr>
        <w:spacing w:before="100" w:beforeAutospacing="1" w:after="100" w:afterAutospacing="1"/>
        <w:rPr>
          <w:rFonts w:ascii="Arial" w:hAnsi="Arial" w:cs="Arial"/>
          <w:b/>
          <w:bCs/>
          <w:i/>
          <w:iCs/>
          <w:sz w:val="24"/>
          <w:lang w:eastAsia="en-GB"/>
        </w:rPr>
      </w:pPr>
      <w:r w:rsidRPr="00637729">
        <w:rPr>
          <w:rFonts w:ascii="Arial" w:hAnsi="Arial" w:cs="Arial"/>
          <w:b/>
          <w:bCs/>
          <w:i/>
          <w:iCs/>
          <w:sz w:val="24"/>
          <w:lang w:eastAsia="en-GB"/>
        </w:rPr>
        <w:t xml:space="preserve">Recommendations </w:t>
      </w:r>
    </w:p>
    <w:p w14:paraId="6CE7C3B0" w14:textId="77777777" w:rsidR="00A530A5" w:rsidRPr="00637729" w:rsidRDefault="00A530A5" w:rsidP="00A530A5">
      <w:pPr>
        <w:spacing w:before="100" w:beforeAutospacing="1" w:after="100" w:afterAutospacing="1"/>
        <w:rPr>
          <w:szCs w:val="22"/>
          <w:lang w:eastAsia="en-GB"/>
        </w:rPr>
      </w:pPr>
      <w:r w:rsidRPr="00637729">
        <w:rPr>
          <w:szCs w:val="22"/>
          <w:lang w:eastAsia="en-GB"/>
        </w:rPr>
        <w:t>The United Kingdom recommends the CEP considers</w:t>
      </w:r>
      <w:r>
        <w:rPr>
          <w:szCs w:val="22"/>
          <w:lang w:eastAsia="en-GB"/>
        </w:rPr>
        <w:t xml:space="preserve"> the following actions applicable to cumulative impact assessment in activity-focussed EIAs</w:t>
      </w:r>
      <w:r w:rsidRPr="00637729">
        <w:rPr>
          <w:szCs w:val="22"/>
          <w:lang w:eastAsia="en-GB"/>
        </w:rPr>
        <w:t>:</w:t>
      </w:r>
    </w:p>
    <w:p w14:paraId="124B1DAB" w14:textId="77777777" w:rsidR="00A530A5" w:rsidRPr="00637729" w:rsidRDefault="00A530A5" w:rsidP="00A530A5">
      <w:pPr>
        <w:numPr>
          <w:ilvl w:val="0"/>
          <w:numId w:val="40"/>
        </w:numPr>
        <w:spacing w:before="100" w:beforeAutospacing="1" w:after="100" w:afterAutospacing="1"/>
        <w:rPr>
          <w:szCs w:val="22"/>
          <w:lang w:eastAsia="en-GB"/>
        </w:rPr>
      </w:pPr>
      <w:r w:rsidRPr="00637729">
        <w:rPr>
          <w:szCs w:val="22"/>
          <w:lang w:eastAsia="en-GB"/>
        </w:rPr>
        <w:t>Encourage Parties to share experience in undertaking cumulative impact assessment.</w:t>
      </w:r>
    </w:p>
    <w:p w14:paraId="66BDDDCB" w14:textId="77777777" w:rsidR="00A530A5" w:rsidRPr="00637729" w:rsidRDefault="00A530A5" w:rsidP="00A530A5">
      <w:pPr>
        <w:numPr>
          <w:ilvl w:val="0"/>
          <w:numId w:val="40"/>
        </w:numPr>
        <w:spacing w:before="100" w:beforeAutospacing="1" w:after="100" w:afterAutospacing="1"/>
        <w:rPr>
          <w:szCs w:val="22"/>
          <w:lang w:eastAsia="en-GB"/>
        </w:rPr>
      </w:pPr>
      <w:r w:rsidRPr="00637729">
        <w:rPr>
          <w:szCs w:val="22"/>
          <w:lang w:eastAsia="en-GB"/>
        </w:rPr>
        <w:t>Developing further guidance on cumulative impact assessment to support those conducting and assessing EIAs in accordance with the Protocol.</w:t>
      </w:r>
    </w:p>
    <w:p w14:paraId="1CF2A930" w14:textId="77777777" w:rsidR="00A530A5" w:rsidRPr="00637729" w:rsidRDefault="00A530A5" w:rsidP="00A530A5">
      <w:pPr>
        <w:numPr>
          <w:ilvl w:val="0"/>
          <w:numId w:val="40"/>
        </w:numPr>
        <w:spacing w:before="100" w:beforeAutospacing="1" w:after="100" w:afterAutospacing="1"/>
        <w:rPr>
          <w:szCs w:val="22"/>
          <w:lang w:eastAsia="en-GB"/>
        </w:rPr>
      </w:pPr>
      <w:r w:rsidRPr="00637729">
        <w:rPr>
          <w:szCs w:val="22"/>
          <w:lang w:eastAsia="en-GB"/>
        </w:rPr>
        <w:t xml:space="preserve">Adapting existing tools, whenever they are being developed, to help support cumulative impact assessment. </w:t>
      </w:r>
    </w:p>
    <w:p w14:paraId="24515441" w14:textId="77777777" w:rsidR="00A530A5" w:rsidRPr="00637729" w:rsidRDefault="00A530A5" w:rsidP="00A530A5">
      <w:pPr>
        <w:numPr>
          <w:ilvl w:val="0"/>
          <w:numId w:val="40"/>
        </w:numPr>
        <w:spacing w:before="100" w:beforeAutospacing="1" w:after="100" w:afterAutospacing="1"/>
        <w:rPr>
          <w:szCs w:val="22"/>
          <w:lang w:eastAsia="en-GB"/>
        </w:rPr>
      </w:pPr>
      <w:r w:rsidRPr="00637729">
        <w:rPr>
          <w:szCs w:val="22"/>
          <w:lang w:eastAsia="en-GB"/>
        </w:rPr>
        <w:lastRenderedPageBreak/>
        <w:t xml:space="preserve">Including enhanced provision for assessing cumulative impacts in the </w:t>
      </w:r>
      <w:r>
        <w:rPr>
          <w:szCs w:val="22"/>
          <w:lang w:eastAsia="en-GB"/>
        </w:rPr>
        <w:t>‘</w:t>
      </w:r>
      <w:r w:rsidRPr="007B16A5">
        <w:rPr>
          <w:szCs w:val="22"/>
          <w:lang w:eastAsia="en-GB"/>
        </w:rPr>
        <w:t>Procedures for Comprehensive Environmental Evaluation follow-up</w:t>
      </w:r>
      <w:r>
        <w:rPr>
          <w:szCs w:val="22"/>
          <w:lang w:eastAsia="en-GB"/>
        </w:rPr>
        <w:t xml:space="preserve">’ when next revised, </w:t>
      </w:r>
    </w:p>
    <w:p w14:paraId="5F1A15D5" w14:textId="77777777" w:rsidR="00A530A5" w:rsidRPr="00637729" w:rsidRDefault="00A530A5" w:rsidP="00A530A5">
      <w:pPr>
        <w:numPr>
          <w:ilvl w:val="0"/>
          <w:numId w:val="40"/>
        </w:numPr>
        <w:spacing w:before="100" w:beforeAutospacing="1" w:after="100" w:afterAutospacing="1"/>
        <w:rPr>
          <w:szCs w:val="22"/>
          <w:lang w:eastAsia="en-GB"/>
        </w:rPr>
      </w:pPr>
      <w:r w:rsidRPr="00637729">
        <w:rPr>
          <w:szCs w:val="22"/>
          <w:lang w:eastAsia="en-GB"/>
        </w:rPr>
        <w:t>Developing an EIA manual and</w:t>
      </w:r>
      <w:r>
        <w:rPr>
          <w:szCs w:val="22"/>
          <w:lang w:eastAsia="en-GB"/>
        </w:rPr>
        <w:t>/or a</w:t>
      </w:r>
      <w:r w:rsidRPr="00637729">
        <w:rPr>
          <w:szCs w:val="22"/>
          <w:lang w:eastAsia="en-GB"/>
        </w:rPr>
        <w:t xml:space="preserve"> repository of information that can support cumulative impact assessment and EIA more broadly</w:t>
      </w:r>
      <w:r>
        <w:rPr>
          <w:szCs w:val="22"/>
          <w:lang w:eastAsia="en-GB"/>
        </w:rPr>
        <w:t>.</w:t>
      </w:r>
    </w:p>
    <w:p w14:paraId="06C46C84" w14:textId="77777777" w:rsidR="00A530A5" w:rsidRPr="00637729" w:rsidRDefault="00A530A5" w:rsidP="00A530A5">
      <w:pPr>
        <w:numPr>
          <w:ilvl w:val="0"/>
          <w:numId w:val="40"/>
        </w:numPr>
        <w:spacing w:before="100" w:beforeAutospacing="1" w:after="100" w:afterAutospacing="1"/>
        <w:rPr>
          <w:szCs w:val="22"/>
          <w:lang w:eastAsia="en-GB"/>
        </w:rPr>
      </w:pPr>
      <w:r w:rsidRPr="00637729">
        <w:rPr>
          <w:szCs w:val="22"/>
          <w:lang w:eastAsia="en-GB"/>
        </w:rPr>
        <w:t>Retaining improvements to cumulative impact assessment in the 5-year plan.</w:t>
      </w:r>
    </w:p>
    <w:p w14:paraId="3883B927" w14:textId="77777777" w:rsidR="00A530A5" w:rsidRDefault="00A530A5" w:rsidP="00A530A5">
      <w:pPr>
        <w:spacing w:before="100" w:beforeAutospacing="1" w:after="100" w:afterAutospacing="1"/>
        <w:rPr>
          <w:szCs w:val="22"/>
          <w:lang w:eastAsia="en-GB"/>
        </w:rPr>
      </w:pPr>
      <w:r>
        <w:rPr>
          <w:szCs w:val="22"/>
          <w:lang w:eastAsia="en-GB"/>
        </w:rPr>
        <w:t>The United Kingdom recommends the CEP considers the following recommendation applicable to a standalone cumulative impact assessment:</w:t>
      </w:r>
    </w:p>
    <w:p w14:paraId="3062E5A9" w14:textId="77777777" w:rsidR="00A530A5" w:rsidRDefault="00A530A5" w:rsidP="00A530A5">
      <w:pPr>
        <w:numPr>
          <w:ilvl w:val="0"/>
          <w:numId w:val="41"/>
        </w:numPr>
        <w:spacing w:before="100" w:beforeAutospacing="1" w:after="100" w:afterAutospacing="1"/>
        <w:rPr>
          <w:szCs w:val="22"/>
          <w:lang w:eastAsia="en-GB"/>
        </w:rPr>
      </w:pPr>
      <w:r w:rsidRPr="00637729">
        <w:rPr>
          <w:szCs w:val="22"/>
          <w:lang w:eastAsia="en-GB"/>
        </w:rPr>
        <w:t xml:space="preserve">Encourage </w:t>
      </w:r>
      <w:r>
        <w:rPr>
          <w:szCs w:val="22"/>
          <w:lang w:eastAsia="en-GB"/>
        </w:rPr>
        <w:t>i</w:t>
      </w:r>
      <w:r w:rsidRPr="00637729">
        <w:rPr>
          <w:szCs w:val="22"/>
          <w:lang w:eastAsia="en-GB"/>
        </w:rPr>
        <w:t>nterested Parties to undertake a pilot study.</w:t>
      </w:r>
    </w:p>
    <w:p w14:paraId="5D114BBA" w14:textId="77777777" w:rsidR="00A530A5" w:rsidRDefault="00A530A5" w:rsidP="00A530A5">
      <w:pPr>
        <w:rPr>
          <w:szCs w:val="22"/>
          <w:lang w:eastAsia="en-GB"/>
        </w:rPr>
      </w:pPr>
      <w:r>
        <w:rPr>
          <w:szCs w:val="22"/>
          <w:lang w:eastAsia="en-GB"/>
        </w:rPr>
        <w:br w:type="page"/>
      </w:r>
    </w:p>
    <w:p w14:paraId="7B92F569" w14:textId="77777777" w:rsidR="00A530A5" w:rsidRPr="00A533CB" w:rsidRDefault="00A530A5" w:rsidP="00A530A5">
      <w:pPr>
        <w:rPr>
          <w:szCs w:val="22"/>
          <w:lang w:eastAsia="en-GB"/>
        </w:rPr>
      </w:pPr>
      <w:r w:rsidRPr="00A533CB">
        <w:rPr>
          <w:rFonts w:ascii="Arial" w:hAnsi="Arial" w:cs="Arial"/>
          <w:b/>
          <w:bCs/>
          <w:i/>
          <w:iCs/>
          <w:sz w:val="24"/>
          <w:lang w:eastAsia="en-GB"/>
        </w:rPr>
        <w:lastRenderedPageBreak/>
        <w:t>Appendix A:</w:t>
      </w:r>
    </w:p>
    <w:p w14:paraId="4FDDAAFD" w14:textId="77777777" w:rsidR="00A530A5" w:rsidRPr="00637729" w:rsidRDefault="00A530A5" w:rsidP="00A530A5">
      <w:pPr>
        <w:numPr>
          <w:ilvl w:val="0"/>
          <w:numId w:val="36"/>
        </w:numPr>
        <w:spacing w:before="100" w:beforeAutospacing="1" w:after="100" w:afterAutospacing="1"/>
        <w:rPr>
          <w:b/>
          <w:bCs/>
          <w:szCs w:val="22"/>
          <w:lang w:eastAsia="en-GB"/>
        </w:rPr>
      </w:pPr>
      <w:r w:rsidRPr="00637729">
        <w:rPr>
          <w:b/>
          <w:bCs/>
          <w:szCs w:val="22"/>
          <w:lang w:eastAsia="en-GB"/>
        </w:rPr>
        <w:t>Responses to the specific questions posed:</w:t>
      </w:r>
    </w:p>
    <w:p w14:paraId="05F590D8" w14:textId="77777777" w:rsidR="00A530A5" w:rsidRPr="00637729" w:rsidRDefault="00A530A5" w:rsidP="00A530A5">
      <w:pPr>
        <w:spacing w:before="100" w:beforeAutospacing="1" w:after="100" w:afterAutospacing="1"/>
        <w:rPr>
          <w:b/>
          <w:bCs/>
          <w:szCs w:val="22"/>
          <w:lang w:eastAsia="en-GB"/>
        </w:rPr>
      </w:pPr>
      <w:r w:rsidRPr="00637729">
        <w:rPr>
          <w:b/>
          <w:bCs/>
          <w:szCs w:val="22"/>
          <w:lang w:eastAsia="en-GB"/>
        </w:rPr>
        <w:t>Q1: Are there any additional technical resources and guidance materials that could be considered in developing cumulative impact approaches for Antarctica?</w:t>
      </w:r>
    </w:p>
    <w:p w14:paraId="38C25548" w14:textId="77777777" w:rsidR="00A530A5" w:rsidRPr="00637729" w:rsidRDefault="00A530A5" w:rsidP="00A530A5">
      <w:pPr>
        <w:spacing w:before="100" w:beforeAutospacing="1" w:after="100" w:afterAutospacing="1"/>
        <w:rPr>
          <w:szCs w:val="22"/>
          <w:lang w:eastAsia="en-GB"/>
        </w:rPr>
      </w:pPr>
      <w:r w:rsidRPr="00637729">
        <w:rPr>
          <w:szCs w:val="22"/>
          <w:lang w:eastAsia="en-GB"/>
        </w:rPr>
        <w:t xml:space="preserve">The participants considered that additional technical resources and guidance materials could further support the development of cumulative impact assessment approaches in Antarctica, particularly those that emphasise practical applicability and operational use and guidance.  </w:t>
      </w:r>
    </w:p>
    <w:p w14:paraId="124E8872" w14:textId="77777777" w:rsidR="00A530A5" w:rsidRPr="00637729" w:rsidRDefault="00A530A5" w:rsidP="00A530A5">
      <w:pPr>
        <w:spacing w:before="100" w:beforeAutospacing="1" w:after="100" w:afterAutospacing="1"/>
        <w:rPr>
          <w:szCs w:val="22"/>
          <w:lang w:eastAsia="en-GB"/>
        </w:rPr>
      </w:pPr>
      <w:r w:rsidRPr="00637729">
        <w:rPr>
          <w:szCs w:val="22"/>
          <w:lang w:eastAsia="en-GB"/>
        </w:rPr>
        <w:t xml:space="preserve">Suggested resources cited included: </w:t>
      </w:r>
    </w:p>
    <w:p w14:paraId="69D5365B" w14:textId="77777777" w:rsidR="00A530A5" w:rsidRPr="00637729" w:rsidRDefault="00A530A5" w:rsidP="00A530A5">
      <w:pPr>
        <w:numPr>
          <w:ilvl w:val="0"/>
          <w:numId w:val="21"/>
        </w:numPr>
        <w:spacing w:before="100" w:beforeAutospacing="1" w:after="100" w:afterAutospacing="1"/>
        <w:rPr>
          <w:szCs w:val="22"/>
          <w:lang w:eastAsia="en-GB"/>
        </w:rPr>
      </w:pPr>
      <w:r w:rsidRPr="00637729">
        <w:rPr>
          <w:szCs w:val="22"/>
          <w:lang w:eastAsia="en-GB"/>
        </w:rPr>
        <w:t xml:space="preserve">Existing EIA practice, including EIA follow-up. </w:t>
      </w:r>
    </w:p>
    <w:p w14:paraId="3393430F" w14:textId="77777777" w:rsidR="00A530A5" w:rsidRPr="00637729" w:rsidRDefault="00A530A5" w:rsidP="00A530A5">
      <w:pPr>
        <w:numPr>
          <w:ilvl w:val="0"/>
          <w:numId w:val="21"/>
        </w:numPr>
        <w:spacing w:before="100" w:beforeAutospacing="1" w:after="100" w:afterAutospacing="1"/>
        <w:rPr>
          <w:szCs w:val="22"/>
          <w:lang w:eastAsia="en-GB"/>
        </w:rPr>
      </w:pPr>
      <w:r w:rsidRPr="00637729">
        <w:rPr>
          <w:szCs w:val="22"/>
          <w:lang w:eastAsia="en-GB"/>
        </w:rPr>
        <w:t xml:space="preserve">Experience from ASMA management and reporting, where relevant. </w:t>
      </w:r>
    </w:p>
    <w:p w14:paraId="338075E9" w14:textId="77777777" w:rsidR="00A530A5" w:rsidRPr="00637729" w:rsidRDefault="00A530A5" w:rsidP="00A530A5">
      <w:pPr>
        <w:numPr>
          <w:ilvl w:val="0"/>
          <w:numId w:val="21"/>
        </w:numPr>
        <w:spacing w:before="100" w:beforeAutospacing="1" w:after="100" w:afterAutospacing="1"/>
        <w:rPr>
          <w:szCs w:val="22"/>
          <w:lang w:eastAsia="en-GB"/>
        </w:rPr>
      </w:pPr>
      <w:r w:rsidRPr="00637729">
        <w:rPr>
          <w:szCs w:val="22"/>
          <w:lang w:eastAsia="en-GB"/>
        </w:rPr>
        <w:t>Identification of areas with high potential for cumulative impacts and targeted CIA work.</w:t>
      </w:r>
    </w:p>
    <w:p w14:paraId="62382EDA" w14:textId="77777777" w:rsidR="00A530A5" w:rsidRPr="00637729" w:rsidRDefault="00A530A5" w:rsidP="00A530A5">
      <w:pPr>
        <w:numPr>
          <w:ilvl w:val="0"/>
          <w:numId w:val="21"/>
        </w:numPr>
        <w:spacing w:before="100" w:beforeAutospacing="1" w:after="100" w:afterAutospacing="1"/>
        <w:rPr>
          <w:szCs w:val="22"/>
          <w:lang w:eastAsia="en-GB"/>
        </w:rPr>
      </w:pPr>
      <w:r w:rsidRPr="00637729">
        <w:rPr>
          <w:szCs w:val="22"/>
          <w:lang w:eastAsia="en-GB"/>
        </w:rPr>
        <w:t xml:space="preserve">Relevant findings from inspection reports under Article 14 of the Protocol. </w:t>
      </w:r>
    </w:p>
    <w:p w14:paraId="206A5EC7" w14:textId="77777777" w:rsidR="00A530A5" w:rsidRPr="00637729" w:rsidRDefault="00A530A5" w:rsidP="00A530A5">
      <w:pPr>
        <w:numPr>
          <w:ilvl w:val="0"/>
          <w:numId w:val="21"/>
        </w:numPr>
        <w:spacing w:before="100" w:beforeAutospacing="1" w:after="100" w:afterAutospacing="1"/>
        <w:rPr>
          <w:szCs w:val="22"/>
          <w:lang w:eastAsia="en-GB"/>
        </w:rPr>
      </w:pPr>
      <w:r w:rsidRPr="00637729">
        <w:rPr>
          <w:szCs w:val="22"/>
          <w:lang w:eastAsia="en-GB"/>
        </w:rPr>
        <w:t xml:space="preserve">Impact monitoring focused on specific activities e.g. tourism. </w:t>
      </w:r>
    </w:p>
    <w:p w14:paraId="2BC2BC41" w14:textId="77777777" w:rsidR="00A530A5" w:rsidRPr="00637729" w:rsidRDefault="00A530A5" w:rsidP="00A530A5">
      <w:pPr>
        <w:numPr>
          <w:ilvl w:val="0"/>
          <w:numId w:val="21"/>
        </w:numPr>
        <w:spacing w:before="100" w:beforeAutospacing="1" w:after="100" w:afterAutospacing="1"/>
        <w:rPr>
          <w:szCs w:val="22"/>
          <w:lang w:eastAsia="en-GB"/>
        </w:rPr>
      </w:pPr>
      <w:r w:rsidRPr="00637729">
        <w:rPr>
          <w:szCs w:val="22"/>
          <w:lang w:eastAsia="en-GB"/>
        </w:rPr>
        <w:t xml:space="preserve">Existing Antarctic cumulative impact case studies (even if partial or not comprehensive) and detailed case studies of cumulative human impacts (e.g. Cape Evans, Ross Island; Dry Valleys). </w:t>
      </w:r>
    </w:p>
    <w:p w14:paraId="68BCD9C9" w14:textId="77777777" w:rsidR="00A530A5" w:rsidRPr="00637729" w:rsidRDefault="00A530A5" w:rsidP="00A530A5">
      <w:pPr>
        <w:numPr>
          <w:ilvl w:val="0"/>
          <w:numId w:val="21"/>
        </w:numPr>
        <w:spacing w:before="100" w:beforeAutospacing="1" w:after="100" w:afterAutospacing="1"/>
        <w:rPr>
          <w:szCs w:val="22"/>
          <w:lang w:eastAsia="en-GB"/>
        </w:rPr>
      </w:pPr>
      <w:r w:rsidRPr="00637729">
        <w:rPr>
          <w:szCs w:val="22"/>
          <w:lang w:eastAsia="en-GB"/>
        </w:rPr>
        <w:t>Strategic Environmental Assessment (SEA), landscape-scale environmental planning, and adaptive management frameworks applied in other sensitive or remote environments.</w:t>
      </w:r>
    </w:p>
    <w:p w14:paraId="2FFBDB7F" w14:textId="77777777" w:rsidR="00A530A5" w:rsidRPr="00637729" w:rsidRDefault="00A530A5" w:rsidP="00A530A5">
      <w:pPr>
        <w:numPr>
          <w:ilvl w:val="0"/>
          <w:numId w:val="21"/>
        </w:numPr>
        <w:spacing w:before="100" w:beforeAutospacing="1" w:after="100" w:afterAutospacing="1"/>
        <w:rPr>
          <w:szCs w:val="22"/>
          <w:lang w:val="en-US" w:eastAsia="en-GB"/>
        </w:rPr>
      </w:pPr>
      <w:r w:rsidRPr="00637729">
        <w:rPr>
          <w:szCs w:val="22"/>
          <w:lang w:eastAsia="en-GB"/>
        </w:rPr>
        <w:t xml:space="preserve">Experience from international bodies such as the Convention on Biological Diversity (CBD), International Union for Conservation of Nature (IUCN), the United Nations Environment Programme (UNEP), Geneva Convention, Stockholm Convention, Arctic Monitoring and Assessment Programme (AMAP) and the </w:t>
      </w:r>
      <w:r w:rsidRPr="00637729">
        <w:rPr>
          <w:szCs w:val="22"/>
          <w:lang w:val="en-US" w:eastAsia="en-GB"/>
        </w:rPr>
        <w:t xml:space="preserve">International Council for the Exploration of the Sea (ICES). It was noted that some of these have developed tools </w:t>
      </w:r>
      <w:r w:rsidRPr="00637729">
        <w:rPr>
          <w:szCs w:val="22"/>
          <w:lang w:eastAsia="en-GB"/>
        </w:rPr>
        <w:t>including software, applicable for impact assessment at a regional or larger scale, which are optimized for monitoring indicators.</w:t>
      </w:r>
    </w:p>
    <w:p w14:paraId="6C206B0E" w14:textId="77777777" w:rsidR="00A530A5" w:rsidRPr="00637729" w:rsidRDefault="00A530A5" w:rsidP="00A530A5">
      <w:pPr>
        <w:numPr>
          <w:ilvl w:val="0"/>
          <w:numId w:val="21"/>
        </w:numPr>
        <w:spacing w:before="100" w:beforeAutospacing="1" w:after="100" w:afterAutospacing="1"/>
        <w:rPr>
          <w:szCs w:val="22"/>
          <w:lang w:val="en-US" w:eastAsia="en-GB"/>
        </w:rPr>
      </w:pPr>
      <w:r w:rsidRPr="00637729">
        <w:rPr>
          <w:szCs w:val="22"/>
          <w:lang w:val="en-US" w:eastAsia="en-GB"/>
        </w:rPr>
        <w:t xml:space="preserve">Specific reference material shared is listed in Appendix </w:t>
      </w:r>
      <w:r>
        <w:rPr>
          <w:szCs w:val="22"/>
          <w:lang w:val="en-US" w:eastAsia="en-GB"/>
        </w:rPr>
        <w:t>B</w:t>
      </w:r>
      <w:r w:rsidRPr="00637729">
        <w:rPr>
          <w:szCs w:val="22"/>
          <w:lang w:val="en-US" w:eastAsia="en-GB"/>
        </w:rPr>
        <w:t>.</w:t>
      </w:r>
    </w:p>
    <w:p w14:paraId="32B7E2B6" w14:textId="77777777" w:rsidR="00A530A5" w:rsidRPr="00637729" w:rsidRDefault="00A530A5" w:rsidP="00A530A5">
      <w:pPr>
        <w:numPr>
          <w:ilvl w:val="0"/>
          <w:numId w:val="21"/>
        </w:numPr>
        <w:spacing w:before="100" w:beforeAutospacing="1" w:after="100" w:afterAutospacing="1"/>
        <w:rPr>
          <w:szCs w:val="22"/>
          <w:lang w:val="en-US" w:eastAsia="en-GB"/>
        </w:rPr>
      </w:pPr>
      <w:r w:rsidRPr="00637729">
        <w:rPr>
          <w:szCs w:val="22"/>
          <w:lang w:val="en-US" w:eastAsia="en-GB"/>
        </w:rPr>
        <w:t xml:space="preserve">It was suggested that recommendation 2 in </w:t>
      </w:r>
      <w:hyperlink r:id="rId11" w:history="1">
        <w:r w:rsidRPr="00637729">
          <w:rPr>
            <w:rStyle w:val="Hipervnculo"/>
            <w:szCs w:val="22"/>
            <w:lang w:eastAsia="en-GB"/>
          </w:rPr>
          <w:t>ATCM XL WP41</w:t>
        </w:r>
      </w:hyperlink>
      <w:r w:rsidRPr="00637729">
        <w:rPr>
          <w:szCs w:val="22"/>
          <w:lang w:eastAsia="en-GB"/>
        </w:rPr>
        <w:t>, where a repository of EIA information be established where Members can share resources and guidance material, be revisited.</w:t>
      </w:r>
    </w:p>
    <w:p w14:paraId="538125E0" w14:textId="77777777" w:rsidR="00A530A5" w:rsidRPr="00637729" w:rsidRDefault="00A530A5" w:rsidP="00A530A5">
      <w:pPr>
        <w:spacing w:before="100" w:beforeAutospacing="1" w:after="100" w:afterAutospacing="1"/>
        <w:rPr>
          <w:b/>
          <w:bCs/>
          <w:szCs w:val="22"/>
          <w:lang w:eastAsia="en-GB"/>
        </w:rPr>
      </w:pPr>
      <w:r w:rsidRPr="00637729">
        <w:rPr>
          <w:b/>
          <w:bCs/>
          <w:szCs w:val="22"/>
          <w:lang w:eastAsia="en-GB"/>
        </w:rPr>
        <w:t>Q2: Do the ‘scoping’, ‘retrospective analysis’, ‘prospective analysis’, ‘impact and significance assessment’, and ‘mitigation and monitoring’ phases provide a useful framework for developing a cumulative impacts assessment approach for Antarctica?</w:t>
      </w:r>
    </w:p>
    <w:p w14:paraId="1C96E056" w14:textId="77777777" w:rsidR="00A530A5" w:rsidRPr="00637729" w:rsidRDefault="00A530A5" w:rsidP="00A530A5">
      <w:pPr>
        <w:spacing w:before="100" w:beforeAutospacing="1" w:after="100" w:afterAutospacing="1"/>
        <w:rPr>
          <w:szCs w:val="22"/>
          <w:lang w:eastAsia="en-GB"/>
        </w:rPr>
      </w:pPr>
      <w:r w:rsidRPr="00637729">
        <w:rPr>
          <w:szCs w:val="22"/>
          <w:lang w:eastAsia="en-GB"/>
        </w:rPr>
        <w:t>Those participating found that these phases are reasonable and provide a useful framework for cumulative impact assessment in the Antarctic context, commentary included the following points:</w:t>
      </w:r>
    </w:p>
    <w:p w14:paraId="6329148A" w14:textId="77777777" w:rsidR="00A530A5" w:rsidRDefault="00A530A5" w:rsidP="00A530A5">
      <w:pPr>
        <w:numPr>
          <w:ilvl w:val="0"/>
          <w:numId w:val="24"/>
        </w:numPr>
        <w:spacing w:before="100" w:beforeAutospacing="1" w:after="100" w:afterAutospacing="1"/>
        <w:ind w:left="357" w:hanging="357"/>
        <w:rPr>
          <w:szCs w:val="22"/>
          <w:lang w:eastAsia="en-GB"/>
        </w:rPr>
      </w:pPr>
      <w:r w:rsidRPr="00636432">
        <w:rPr>
          <w:b/>
          <w:bCs/>
          <w:szCs w:val="22"/>
          <w:lang w:eastAsia="en-GB"/>
        </w:rPr>
        <w:t>The value of a structured, interdisciplinary framework</w:t>
      </w:r>
      <w:r w:rsidRPr="00636432">
        <w:rPr>
          <w:szCs w:val="22"/>
          <w:lang w:eastAsia="en-GB"/>
        </w:rPr>
        <w:t xml:space="preserve"> was noted to help</w:t>
      </w:r>
      <w:r w:rsidRPr="00636432">
        <w:rPr>
          <w:b/>
          <w:bCs/>
          <w:szCs w:val="22"/>
          <w:lang w:eastAsia="en-GB"/>
        </w:rPr>
        <w:t xml:space="preserve"> </w:t>
      </w:r>
      <w:r w:rsidRPr="00636432">
        <w:rPr>
          <w:szCs w:val="22"/>
          <w:lang w:eastAsia="en-GB"/>
        </w:rPr>
        <w:t>organize cumulative impact assessments, support interdisciplinary analysis, and allow the integration of baseline data, trends, and cumulative effects across space and time.  The framework needs to be practical and operational, not just conceptual. The parallels between conventional risk management and ‘impact and significance assessment’ were noted.</w:t>
      </w:r>
    </w:p>
    <w:p w14:paraId="3A05CF0B" w14:textId="77777777" w:rsidR="00A530A5" w:rsidRPr="00636432" w:rsidRDefault="00A530A5" w:rsidP="00A530A5">
      <w:pPr>
        <w:numPr>
          <w:ilvl w:val="0"/>
          <w:numId w:val="24"/>
        </w:numPr>
        <w:spacing w:before="100" w:beforeAutospacing="1" w:after="100" w:afterAutospacing="1"/>
        <w:ind w:left="357" w:hanging="357"/>
        <w:rPr>
          <w:szCs w:val="22"/>
          <w:lang w:eastAsia="en-GB"/>
        </w:rPr>
      </w:pPr>
      <w:r w:rsidRPr="00636432">
        <w:rPr>
          <w:b/>
          <w:bCs/>
          <w:szCs w:val="22"/>
          <w:lang w:eastAsia="en-GB"/>
        </w:rPr>
        <w:t>There is a need for clear guidance and tools.</w:t>
      </w:r>
      <w:r w:rsidRPr="00636432">
        <w:rPr>
          <w:szCs w:val="22"/>
          <w:lang w:eastAsia="en-GB"/>
        </w:rPr>
        <w:t xml:space="preserve">   A guiding framework outlining relevant human pressures would make assessments more accessible and reduce reliance on expert knowledge.  Templates for scoping and retrospective analysis, along with a database of past activities, would support consistent application across different scales.</w:t>
      </w:r>
    </w:p>
    <w:p w14:paraId="0BE4BBD4" w14:textId="77777777" w:rsidR="00A530A5" w:rsidRPr="00636432" w:rsidRDefault="00A530A5" w:rsidP="00A530A5">
      <w:pPr>
        <w:numPr>
          <w:ilvl w:val="0"/>
          <w:numId w:val="24"/>
        </w:numPr>
        <w:spacing w:before="100" w:beforeAutospacing="1" w:after="100" w:afterAutospacing="1"/>
        <w:ind w:left="357" w:hanging="357"/>
        <w:rPr>
          <w:szCs w:val="22"/>
          <w:lang w:eastAsia="en-GB"/>
        </w:rPr>
      </w:pPr>
      <w:r w:rsidRPr="00636432">
        <w:rPr>
          <w:b/>
          <w:bCs/>
          <w:szCs w:val="22"/>
          <w:lang w:eastAsia="en-GB"/>
        </w:rPr>
        <w:lastRenderedPageBreak/>
        <w:t>Continuous, iterative assessment is required to enable adaptive management</w:t>
      </w:r>
      <w:r w:rsidRPr="00636432">
        <w:rPr>
          <w:szCs w:val="22"/>
          <w:lang w:eastAsia="en-GB"/>
        </w:rPr>
        <w:t xml:space="preserve">. The impact assessment process should be circular: monitoring feeds back into prospective analysis, incorporating new data and refining future assessments. </w:t>
      </w:r>
    </w:p>
    <w:p w14:paraId="61067DE5" w14:textId="77777777" w:rsidR="00A530A5" w:rsidRPr="00636432" w:rsidRDefault="00A530A5" w:rsidP="00A530A5">
      <w:pPr>
        <w:numPr>
          <w:ilvl w:val="0"/>
          <w:numId w:val="24"/>
        </w:numPr>
        <w:spacing w:before="100" w:beforeAutospacing="1" w:after="100" w:afterAutospacing="1"/>
        <w:ind w:left="357" w:hanging="357"/>
        <w:rPr>
          <w:szCs w:val="22"/>
          <w:lang w:eastAsia="en-GB"/>
        </w:rPr>
      </w:pPr>
      <w:r w:rsidRPr="00636432">
        <w:rPr>
          <w:b/>
          <w:bCs/>
          <w:szCs w:val="22"/>
          <w:lang w:eastAsia="en-GB"/>
        </w:rPr>
        <w:t>Assessments should be carried out on the appropriate spatial and temporal scope</w:t>
      </w:r>
      <w:r w:rsidRPr="00636432">
        <w:rPr>
          <w:szCs w:val="22"/>
          <w:lang w:eastAsia="en-GB"/>
        </w:rPr>
        <w:t xml:space="preserve"> – assessing relevant watersheds, including ice-covered, marine, and nearshore areas.  It was noted that climate change requires broader spatial and temporal perspectives.  Some issues will need case-by-case treatment with clearly defined boundaries.</w:t>
      </w:r>
    </w:p>
    <w:p w14:paraId="511897C7" w14:textId="77777777" w:rsidR="00A530A5" w:rsidRPr="00636432" w:rsidRDefault="00A530A5" w:rsidP="00A530A5">
      <w:pPr>
        <w:numPr>
          <w:ilvl w:val="0"/>
          <w:numId w:val="24"/>
        </w:numPr>
        <w:spacing w:before="100" w:beforeAutospacing="1" w:after="100" w:afterAutospacing="1"/>
        <w:ind w:left="357" w:hanging="357"/>
        <w:rPr>
          <w:szCs w:val="22"/>
          <w:lang w:eastAsia="en-GB"/>
        </w:rPr>
      </w:pPr>
      <w:r w:rsidRPr="00636432">
        <w:rPr>
          <w:b/>
          <w:bCs/>
          <w:szCs w:val="22"/>
          <w:lang w:eastAsia="en-GB"/>
        </w:rPr>
        <w:t>Monitoring</w:t>
      </w:r>
      <w:r w:rsidRPr="00636432">
        <w:rPr>
          <w:szCs w:val="22"/>
          <w:lang w:eastAsia="en-GB"/>
        </w:rPr>
        <w:t>: Monitoring should be targeted, affordable, and designed to inform adaptive management.  Evaluation is essential to ensure the framework remains responsive to changing conditions.</w:t>
      </w:r>
    </w:p>
    <w:p w14:paraId="3783821D" w14:textId="77777777" w:rsidR="00A530A5" w:rsidRPr="00636432" w:rsidRDefault="00A530A5" w:rsidP="00A530A5">
      <w:pPr>
        <w:numPr>
          <w:ilvl w:val="0"/>
          <w:numId w:val="24"/>
        </w:numPr>
        <w:spacing w:before="100" w:beforeAutospacing="1" w:after="100" w:afterAutospacing="1"/>
        <w:ind w:left="357" w:hanging="357"/>
        <w:rPr>
          <w:szCs w:val="22"/>
          <w:lang w:eastAsia="en-GB"/>
        </w:rPr>
      </w:pPr>
      <w:r w:rsidRPr="00636432">
        <w:rPr>
          <w:b/>
          <w:bCs/>
          <w:szCs w:val="22"/>
          <w:lang w:eastAsia="en-GB"/>
        </w:rPr>
        <w:t xml:space="preserve">Consideration of other users and environmental context:  </w:t>
      </w:r>
      <w:r w:rsidRPr="00636432">
        <w:rPr>
          <w:szCs w:val="22"/>
          <w:lang w:eastAsia="en-GB"/>
        </w:rPr>
        <w:t>Impacts on other users must be considered, including risks such as pollution or introduction of non-native species.  Cumulative impacts vary by context—for example, ice-free areas near fishing grounds may experience different pressures than unfished areas.</w:t>
      </w:r>
    </w:p>
    <w:p w14:paraId="4B235DB0" w14:textId="77777777" w:rsidR="00A530A5" w:rsidRPr="00636432" w:rsidRDefault="00A530A5" w:rsidP="00A530A5">
      <w:pPr>
        <w:numPr>
          <w:ilvl w:val="0"/>
          <w:numId w:val="24"/>
        </w:numPr>
        <w:spacing w:before="100" w:beforeAutospacing="1" w:after="100" w:afterAutospacing="1"/>
        <w:ind w:left="357" w:hanging="357"/>
        <w:rPr>
          <w:szCs w:val="22"/>
          <w:lang w:eastAsia="en-GB"/>
        </w:rPr>
      </w:pPr>
      <w:r w:rsidRPr="00636432">
        <w:rPr>
          <w:b/>
          <w:bCs/>
          <w:szCs w:val="22"/>
          <w:lang w:eastAsia="en-GB"/>
        </w:rPr>
        <w:t>Communication and coordination:</w:t>
      </w:r>
      <w:r w:rsidRPr="00636432">
        <w:rPr>
          <w:szCs w:val="22"/>
          <w:lang w:eastAsia="en-GB"/>
        </w:rPr>
        <w:t xml:space="preserve"> Operators should maintain regular, constructive dialogue with their national competent authorities to ensure mutual understanding and manage expectations.</w:t>
      </w:r>
    </w:p>
    <w:p w14:paraId="26CE09E6" w14:textId="77777777" w:rsidR="00A530A5" w:rsidRPr="00AD2C72" w:rsidRDefault="00A530A5" w:rsidP="00A530A5">
      <w:pPr>
        <w:pStyle w:val="Prrafodelista"/>
        <w:numPr>
          <w:ilvl w:val="0"/>
          <w:numId w:val="24"/>
        </w:numPr>
        <w:spacing w:before="100" w:beforeAutospacing="1" w:after="100" w:afterAutospacing="1"/>
        <w:ind w:left="357" w:hanging="357"/>
        <w:rPr>
          <w:szCs w:val="22"/>
          <w:lang w:eastAsia="en-GB"/>
        </w:rPr>
      </w:pPr>
      <w:r w:rsidRPr="00AD2C72">
        <w:rPr>
          <w:b/>
          <w:bCs/>
          <w:szCs w:val="22"/>
          <w:lang w:eastAsia="en-GB"/>
        </w:rPr>
        <w:t>Limits of approaches:</w:t>
      </w:r>
      <w:r w:rsidRPr="00AD2C72">
        <w:rPr>
          <w:szCs w:val="22"/>
          <w:lang w:eastAsia="en-GB"/>
        </w:rPr>
        <w:t xml:space="preserve"> Focused assessments (e.g., only ice-free areas) can be useful but may overlook important interactions, so their limitation but be acknowledged.</w:t>
      </w:r>
    </w:p>
    <w:p w14:paraId="495E71AE" w14:textId="77777777" w:rsidR="00A530A5" w:rsidRPr="00637729" w:rsidRDefault="00A530A5" w:rsidP="00A530A5">
      <w:pPr>
        <w:spacing w:before="100" w:beforeAutospacing="1" w:after="100" w:afterAutospacing="1"/>
        <w:rPr>
          <w:szCs w:val="22"/>
          <w:lang w:eastAsia="en-GB"/>
        </w:rPr>
      </w:pPr>
      <w:r w:rsidRPr="00637729">
        <w:rPr>
          <w:szCs w:val="22"/>
          <w:lang w:eastAsia="en-GB"/>
        </w:rPr>
        <w:t>A point was made that these phases reflect those in the typical EIA process so clarity was sought that the CIA was to be undertaken as part of</w:t>
      </w:r>
      <w:r>
        <w:rPr>
          <w:szCs w:val="22"/>
          <w:lang w:eastAsia="en-GB"/>
        </w:rPr>
        <w:t xml:space="preserve"> </w:t>
      </w:r>
      <w:proofErr w:type="spellStart"/>
      <w:r>
        <w:rPr>
          <w:szCs w:val="22"/>
          <w:lang w:eastAsia="en-GB"/>
        </w:rPr>
        <w:t>and</w:t>
      </w:r>
      <w:proofErr w:type="spellEnd"/>
      <w:r>
        <w:rPr>
          <w:szCs w:val="22"/>
          <w:lang w:eastAsia="en-GB"/>
        </w:rPr>
        <w:t xml:space="preserve"> embedded in</w:t>
      </w:r>
      <w:r w:rsidRPr="00637729">
        <w:rPr>
          <w:szCs w:val="22"/>
          <w:lang w:eastAsia="en-GB"/>
        </w:rPr>
        <w:t xml:space="preserve"> an EIA</w:t>
      </w:r>
      <w:r>
        <w:rPr>
          <w:szCs w:val="22"/>
          <w:lang w:eastAsia="en-GB"/>
        </w:rPr>
        <w:t>, as well as potentially a standalone assessment connected to the state of the environment.</w:t>
      </w:r>
    </w:p>
    <w:p w14:paraId="473BF1BC" w14:textId="77777777" w:rsidR="00A530A5" w:rsidRPr="00637729" w:rsidRDefault="00A530A5" w:rsidP="00A530A5">
      <w:pPr>
        <w:spacing w:before="100" w:beforeAutospacing="1" w:after="100" w:afterAutospacing="1"/>
        <w:rPr>
          <w:b/>
          <w:bCs/>
          <w:szCs w:val="22"/>
          <w:lang w:eastAsia="en-GB"/>
        </w:rPr>
      </w:pPr>
      <w:r w:rsidRPr="00637729">
        <w:rPr>
          <w:b/>
          <w:bCs/>
          <w:szCs w:val="22"/>
          <w:lang w:eastAsia="en-GB"/>
        </w:rPr>
        <w:t>Q3: How might these phases (see Q2) need to be amended or added to?</w:t>
      </w:r>
    </w:p>
    <w:p w14:paraId="61B584BF" w14:textId="77777777" w:rsidR="00A530A5" w:rsidRPr="00637729" w:rsidRDefault="00A530A5" w:rsidP="00A530A5">
      <w:pPr>
        <w:spacing w:before="100" w:beforeAutospacing="1" w:after="100" w:afterAutospacing="1"/>
        <w:rPr>
          <w:szCs w:val="22"/>
          <w:lang w:eastAsia="en-GB"/>
        </w:rPr>
      </w:pPr>
      <w:r w:rsidRPr="00637729">
        <w:rPr>
          <w:szCs w:val="22"/>
          <w:lang w:eastAsia="en-GB"/>
        </w:rPr>
        <w:t xml:space="preserve">Suggestions were made on a range of themes as described below: </w:t>
      </w:r>
    </w:p>
    <w:p w14:paraId="0BB29039" w14:textId="77777777" w:rsidR="00A530A5" w:rsidRPr="00637729" w:rsidRDefault="00A530A5" w:rsidP="00A530A5">
      <w:pPr>
        <w:numPr>
          <w:ilvl w:val="0"/>
          <w:numId w:val="25"/>
        </w:numPr>
        <w:spacing w:before="100" w:beforeAutospacing="1" w:after="100" w:afterAutospacing="1"/>
        <w:rPr>
          <w:szCs w:val="22"/>
          <w:lang w:eastAsia="en-GB"/>
        </w:rPr>
      </w:pPr>
      <w:r w:rsidRPr="00637729">
        <w:rPr>
          <w:b/>
          <w:bCs/>
          <w:szCs w:val="22"/>
          <w:lang w:eastAsia="en-GB"/>
        </w:rPr>
        <w:t xml:space="preserve">Distinction between mitigation and monitoring: </w:t>
      </w:r>
      <w:r w:rsidRPr="00637729">
        <w:rPr>
          <w:szCs w:val="22"/>
          <w:lang w:eastAsia="en-GB"/>
        </w:rPr>
        <w:t>Respondents pointed out that these are different activities requiring separate methodologies.  Treating them as distinct phases would improve clarity, planning, implementation, and evaluation.  The point was also made that monitoring must be both environmental (e.g., noise, dust, water quality) and compliance</w:t>
      </w:r>
      <w:r w:rsidRPr="00637729">
        <w:rPr>
          <w:szCs w:val="22"/>
          <w:lang w:eastAsia="en-GB"/>
        </w:rPr>
        <w:noBreakHyphen/>
        <w:t>focused (ensuring mitigation measures are implemented and effective).</w:t>
      </w:r>
    </w:p>
    <w:p w14:paraId="5C537F58" w14:textId="77777777" w:rsidR="00A530A5" w:rsidRPr="00637729" w:rsidRDefault="00A530A5" w:rsidP="00A530A5">
      <w:pPr>
        <w:numPr>
          <w:ilvl w:val="0"/>
          <w:numId w:val="30"/>
        </w:numPr>
        <w:spacing w:before="100" w:beforeAutospacing="1" w:after="100" w:afterAutospacing="1"/>
        <w:rPr>
          <w:szCs w:val="22"/>
          <w:lang w:eastAsia="en-GB"/>
        </w:rPr>
      </w:pPr>
      <w:r w:rsidRPr="00637729">
        <w:rPr>
          <w:b/>
          <w:bCs/>
          <w:szCs w:val="22"/>
          <w:lang w:eastAsia="en-GB"/>
        </w:rPr>
        <w:t xml:space="preserve">Importance of adaptive, iterative processes: </w:t>
      </w:r>
      <w:r w:rsidRPr="00637729">
        <w:rPr>
          <w:szCs w:val="22"/>
          <w:lang w:eastAsia="en-GB"/>
        </w:rPr>
        <w:t>Respondents widely support a circular or feedback</w:t>
      </w:r>
      <w:r w:rsidRPr="00637729">
        <w:rPr>
          <w:szCs w:val="22"/>
          <w:lang w:eastAsia="en-GB"/>
        </w:rPr>
        <w:noBreakHyphen/>
        <w:t xml:space="preserve">loop approach that enables adaptive management.  Monitoring results should feed back into future assessments, allowing adjustments as conditions or impacts evolve. Noting that some impacts may become unacceptable over time, requiring responsive management actions. </w:t>
      </w:r>
    </w:p>
    <w:p w14:paraId="0A494C5B" w14:textId="77777777" w:rsidR="00A530A5" w:rsidRPr="00637729" w:rsidRDefault="00A530A5" w:rsidP="00A530A5">
      <w:pPr>
        <w:numPr>
          <w:ilvl w:val="0"/>
          <w:numId w:val="26"/>
        </w:numPr>
        <w:spacing w:before="100" w:beforeAutospacing="1" w:after="100" w:afterAutospacing="1"/>
        <w:rPr>
          <w:szCs w:val="22"/>
          <w:lang w:eastAsia="en-GB"/>
        </w:rPr>
      </w:pPr>
      <w:r w:rsidRPr="00637729">
        <w:rPr>
          <w:b/>
          <w:bCs/>
          <w:szCs w:val="22"/>
          <w:lang w:eastAsia="en-GB"/>
        </w:rPr>
        <w:t xml:space="preserve">Need for a broader and more strategic framework:  </w:t>
      </w:r>
      <w:r w:rsidRPr="00637729">
        <w:rPr>
          <w:szCs w:val="22"/>
          <w:lang w:eastAsia="en-GB"/>
        </w:rPr>
        <w:t>Several Members suggest adding an early, strategic phase to build a regional understanding of cumulative impacts across Antarctic areas.  Assessments should consider appropriate spatial scales, including watersheds, ice</w:t>
      </w:r>
      <w:r w:rsidRPr="00637729">
        <w:rPr>
          <w:szCs w:val="22"/>
          <w:lang w:eastAsia="en-GB"/>
        </w:rPr>
        <w:noBreakHyphen/>
        <w:t>covered areas, nearshore zones, and the broader marine environment. Climate change reinforces the need for wider spatial and temporal perspectives.</w:t>
      </w:r>
    </w:p>
    <w:p w14:paraId="3902FC6D" w14:textId="77777777" w:rsidR="00A530A5" w:rsidRPr="00637729" w:rsidRDefault="00A530A5" w:rsidP="00A530A5">
      <w:pPr>
        <w:numPr>
          <w:ilvl w:val="0"/>
          <w:numId w:val="27"/>
        </w:numPr>
        <w:spacing w:before="100" w:beforeAutospacing="1" w:after="100" w:afterAutospacing="1"/>
        <w:rPr>
          <w:b/>
          <w:bCs/>
          <w:szCs w:val="22"/>
          <w:lang w:eastAsia="en-GB"/>
        </w:rPr>
      </w:pPr>
      <w:r w:rsidRPr="00637729">
        <w:rPr>
          <w:b/>
          <w:bCs/>
          <w:szCs w:val="22"/>
          <w:lang w:eastAsia="en-GB"/>
        </w:rPr>
        <w:t>Consistency in approach:</w:t>
      </w:r>
      <w:r w:rsidRPr="00637729">
        <w:rPr>
          <w:szCs w:val="22"/>
          <w:lang w:eastAsia="en-GB"/>
        </w:rPr>
        <w:t xml:space="preserve"> Activities are authorised by different national authorities acting independently, which may lead to inconsistencies in approach.  A more harmonised EIA approach could improve consistency, whether the CIA is standalone or integrated.</w:t>
      </w:r>
    </w:p>
    <w:p w14:paraId="429AB25F" w14:textId="77777777" w:rsidR="00A530A5" w:rsidRPr="00637729" w:rsidRDefault="00A530A5" w:rsidP="00A530A5">
      <w:pPr>
        <w:numPr>
          <w:ilvl w:val="0"/>
          <w:numId w:val="28"/>
        </w:numPr>
        <w:spacing w:before="100" w:beforeAutospacing="1" w:after="100" w:afterAutospacing="1"/>
        <w:rPr>
          <w:szCs w:val="22"/>
          <w:lang w:eastAsia="en-GB"/>
        </w:rPr>
      </w:pPr>
      <w:r w:rsidRPr="00637729">
        <w:rPr>
          <w:b/>
          <w:bCs/>
          <w:szCs w:val="22"/>
          <w:lang w:eastAsia="en-GB"/>
        </w:rPr>
        <w:t xml:space="preserve">Scope: </w:t>
      </w:r>
      <w:r w:rsidRPr="00637729">
        <w:rPr>
          <w:szCs w:val="22"/>
          <w:lang w:eastAsia="en-GB"/>
        </w:rPr>
        <w:t>It was noted that CIA should not be limited by site type; ice</w:t>
      </w:r>
      <w:r w:rsidRPr="00637729">
        <w:rPr>
          <w:szCs w:val="22"/>
          <w:lang w:eastAsia="en-GB"/>
        </w:rPr>
        <w:noBreakHyphen/>
        <w:t>free, nearshore, and marine systems are interconnected, that risks such as pollution and non</w:t>
      </w:r>
      <w:r w:rsidRPr="00637729">
        <w:rPr>
          <w:szCs w:val="22"/>
          <w:lang w:eastAsia="en-GB"/>
        </w:rPr>
        <w:noBreakHyphen/>
        <w:t xml:space="preserve">native species </w:t>
      </w:r>
      <w:r w:rsidRPr="00637729">
        <w:rPr>
          <w:szCs w:val="22"/>
          <w:lang w:eastAsia="en-GB"/>
        </w:rPr>
        <w:lastRenderedPageBreak/>
        <w:t>introduction must be considered and that CIA should also account for activities outside the EIA system, such as krill fisheries.</w:t>
      </w:r>
    </w:p>
    <w:p w14:paraId="43B9B902" w14:textId="77777777" w:rsidR="00A530A5" w:rsidRPr="00637729" w:rsidRDefault="00A530A5" w:rsidP="00A530A5">
      <w:pPr>
        <w:numPr>
          <w:ilvl w:val="0"/>
          <w:numId w:val="29"/>
        </w:numPr>
        <w:spacing w:before="100" w:beforeAutospacing="1" w:after="100" w:afterAutospacing="1"/>
        <w:rPr>
          <w:szCs w:val="22"/>
          <w:lang w:eastAsia="en-GB"/>
        </w:rPr>
      </w:pPr>
      <w:r w:rsidRPr="00637729">
        <w:rPr>
          <w:b/>
          <w:bCs/>
          <w:szCs w:val="22"/>
          <w:lang w:eastAsia="en-GB"/>
        </w:rPr>
        <w:t>Challenges and value of ecological thresholds:</w:t>
      </w:r>
      <w:r w:rsidRPr="00637729">
        <w:rPr>
          <w:szCs w:val="22"/>
          <w:lang w:eastAsia="en-GB"/>
        </w:rPr>
        <w:t xml:space="preserve"> Determining ecological thresholds, boundaries, and management targets is recognised as important but difficult.  Many thresholds are not yet defined for Antarctic ecosystems, and setting them will be challenging. However, respondents noted that progress in CIA can still be made without agreed thresholds; identifying cumulative impacts remains valuable even if significance cannot be fully determined.  Work on thresholds and acceptable limits should proceed in parallel.</w:t>
      </w:r>
    </w:p>
    <w:p w14:paraId="46FB5B0A" w14:textId="77777777" w:rsidR="00A530A5" w:rsidRPr="00637729" w:rsidRDefault="00A530A5" w:rsidP="00A530A5">
      <w:pPr>
        <w:numPr>
          <w:ilvl w:val="0"/>
          <w:numId w:val="30"/>
        </w:numPr>
        <w:spacing w:before="100" w:beforeAutospacing="1" w:after="100" w:afterAutospacing="1"/>
        <w:rPr>
          <w:szCs w:val="22"/>
          <w:lang w:eastAsia="en-GB"/>
        </w:rPr>
      </w:pPr>
      <w:r w:rsidRPr="00637729">
        <w:rPr>
          <w:b/>
          <w:bCs/>
          <w:szCs w:val="22"/>
          <w:lang w:eastAsia="en-GB"/>
        </w:rPr>
        <w:t>Additional Observations:</w:t>
      </w:r>
      <w:r w:rsidRPr="00637729">
        <w:rPr>
          <w:szCs w:val="22"/>
          <w:lang w:eastAsia="en-GB"/>
        </w:rPr>
        <w:t xml:space="preserve"> Respondents also noted that:</w:t>
      </w:r>
    </w:p>
    <w:p w14:paraId="33E07C41" w14:textId="77777777" w:rsidR="00A530A5" w:rsidRPr="00637729" w:rsidRDefault="00A530A5" w:rsidP="00A530A5">
      <w:pPr>
        <w:numPr>
          <w:ilvl w:val="1"/>
          <w:numId w:val="30"/>
        </w:numPr>
        <w:spacing w:before="100" w:beforeAutospacing="1" w:after="100" w:afterAutospacing="1"/>
        <w:rPr>
          <w:szCs w:val="22"/>
          <w:lang w:eastAsia="en-GB"/>
        </w:rPr>
      </w:pPr>
      <w:r w:rsidRPr="00637729">
        <w:rPr>
          <w:szCs w:val="22"/>
          <w:lang w:eastAsia="en-GB"/>
        </w:rPr>
        <w:t>continued collaboration and information</w:t>
      </w:r>
      <w:r w:rsidRPr="00637729">
        <w:rPr>
          <w:szCs w:val="22"/>
          <w:lang w:eastAsia="en-GB"/>
        </w:rPr>
        <w:noBreakHyphen/>
        <w:t>sharing among Parties, NCAs, and the CEP is encouraged to support pragmatic and consistent assessments.</w:t>
      </w:r>
    </w:p>
    <w:p w14:paraId="460B997D" w14:textId="77777777" w:rsidR="00A530A5" w:rsidRPr="00637729" w:rsidRDefault="00A530A5" w:rsidP="00A530A5">
      <w:pPr>
        <w:numPr>
          <w:ilvl w:val="1"/>
          <w:numId w:val="30"/>
        </w:numPr>
        <w:spacing w:before="100" w:beforeAutospacing="1" w:after="100" w:afterAutospacing="1"/>
        <w:rPr>
          <w:szCs w:val="22"/>
          <w:lang w:eastAsia="en-GB"/>
        </w:rPr>
      </w:pPr>
      <w:r w:rsidRPr="00637729">
        <w:rPr>
          <w:szCs w:val="22"/>
          <w:lang w:eastAsia="en-GB"/>
        </w:rPr>
        <w:t>a clearer distinction is needed between regional</w:t>
      </w:r>
      <w:r w:rsidRPr="00637729">
        <w:rPr>
          <w:szCs w:val="22"/>
          <w:lang w:eastAsia="en-GB"/>
        </w:rPr>
        <w:noBreakHyphen/>
        <w:t>level understanding and project</w:t>
      </w:r>
      <w:r w:rsidRPr="00637729">
        <w:rPr>
          <w:szCs w:val="22"/>
          <w:lang w:eastAsia="en-GB"/>
        </w:rPr>
        <w:noBreakHyphen/>
        <w:t>level analysis.</w:t>
      </w:r>
    </w:p>
    <w:p w14:paraId="460C1C03" w14:textId="77777777" w:rsidR="00A530A5" w:rsidRPr="00637729" w:rsidRDefault="00A530A5" w:rsidP="00A530A5">
      <w:pPr>
        <w:numPr>
          <w:ilvl w:val="1"/>
          <w:numId w:val="30"/>
        </w:numPr>
        <w:spacing w:before="100" w:beforeAutospacing="1" w:after="100" w:afterAutospacing="1"/>
        <w:rPr>
          <w:szCs w:val="22"/>
          <w:lang w:eastAsia="en-GB"/>
        </w:rPr>
      </w:pPr>
      <w:r w:rsidRPr="00637729">
        <w:rPr>
          <w:szCs w:val="22"/>
          <w:lang w:eastAsia="en-GB"/>
        </w:rPr>
        <w:t>coastal ecosystems are underrepresented and require dedicated monitoring schemes.</w:t>
      </w:r>
    </w:p>
    <w:p w14:paraId="599B837E" w14:textId="77777777" w:rsidR="00A530A5" w:rsidRPr="00637729" w:rsidRDefault="00A530A5" w:rsidP="00A530A5">
      <w:pPr>
        <w:numPr>
          <w:ilvl w:val="1"/>
          <w:numId w:val="30"/>
        </w:numPr>
        <w:spacing w:before="100" w:beforeAutospacing="1" w:after="100" w:afterAutospacing="1"/>
        <w:rPr>
          <w:szCs w:val="22"/>
          <w:lang w:eastAsia="en-GB"/>
        </w:rPr>
      </w:pPr>
      <w:r w:rsidRPr="00637729">
        <w:rPr>
          <w:szCs w:val="22"/>
          <w:lang w:eastAsia="en-GB"/>
        </w:rPr>
        <w:t>the concept of Valuable Ecosystem Components is useful but may not fully reflect the comprehensive protection obligations under the Protocol.</w:t>
      </w:r>
    </w:p>
    <w:p w14:paraId="3E1061E6" w14:textId="77777777" w:rsidR="00A530A5" w:rsidRPr="00637729" w:rsidRDefault="00A530A5" w:rsidP="00A530A5">
      <w:pPr>
        <w:spacing w:before="100" w:beforeAutospacing="1" w:after="100" w:afterAutospacing="1"/>
        <w:rPr>
          <w:b/>
          <w:bCs/>
          <w:szCs w:val="22"/>
          <w:lang w:eastAsia="en-GB"/>
        </w:rPr>
      </w:pPr>
      <w:r w:rsidRPr="00637729">
        <w:rPr>
          <w:b/>
          <w:bCs/>
          <w:szCs w:val="22"/>
          <w:lang w:eastAsia="en-GB"/>
        </w:rPr>
        <w:t>Q4: Are there any additional methods and tools that could be useful in supporting Antarctic cumulative impacts assessment?</w:t>
      </w:r>
    </w:p>
    <w:p w14:paraId="15888854" w14:textId="77777777" w:rsidR="00A530A5" w:rsidRPr="00637729" w:rsidRDefault="00A530A5" w:rsidP="00A530A5">
      <w:pPr>
        <w:spacing w:before="100" w:beforeAutospacing="1" w:after="100" w:afterAutospacing="1"/>
        <w:rPr>
          <w:szCs w:val="22"/>
          <w:lang w:eastAsia="en-GB"/>
        </w:rPr>
      </w:pPr>
      <w:r w:rsidRPr="00637729">
        <w:rPr>
          <w:szCs w:val="22"/>
          <w:lang w:eastAsia="en-GB"/>
        </w:rPr>
        <w:t>Participants cited a number of additional methods and tools that may be useful, these include:</w:t>
      </w:r>
    </w:p>
    <w:p w14:paraId="31E2B4D7" w14:textId="77777777" w:rsidR="00A530A5" w:rsidRPr="00637729" w:rsidRDefault="00A530A5" w:rsidP="00A530A5">
      <w:pPr>
        <w:numPr>
          <w:ilvl w:val="0"/>
          <w:numId w:val="31"/>
        </w:numPr>
        <w:spacing w:before="100" w:beforeAutospacing="1" w:after="100" w:afterAutospacing="1"/>
        <w:rPr>
          <w:szCs w:val="22"/>
          <w:lang w:eastAsia="en-GB"/>
        </w:rPr>
      </w:pPr>
      <w:r w:rsidRPr="00637729">
        <w:rPr>
          <w:szCs w:val="22"/>
          <w:lang w:eastAsia="en-GB"/>
        </w:rPr>
        <w:t>Shared, interoperable GIS platforms.</w:t>
      </w:r>
    </w:p>
    <w:p w14:paraId="61406A07" w14:textId="77777777" w:rsidR="00A530A5" w:rsidRPr="00637729" w:rsidRDefault="00A530A5" w:rsidP="00A530A5">
      <w:pPr>
        <w:numPr>
          <w:ilvl w:val="0"/>
          <w:numId w:val="31"/>
        </w:numPr>
        <w:spacing w:before="100" w:beforeAutospacing="1" w:after="100" w:afterAutospacing="1"/>
        <w:rPr>
          <w:szCs w:val="22"/>
          <w:lang w:eastAsia="en-GB"/>
        </w:rPr>
      </w:pPr>
      <w:r w:rsidRPr="00637729">
        <w:rPr>
          <w:szCs w:val="22"/>
          <w:lang w:eastAsia="en-GB"/>
        </w:rPr>
        <w:t>Earlier sharing between Parties of planned activities - the EIES may support this.</w:t>
      </w:r>
    </w:p>
    <w:p w14:paraId="7F308B25" w14:textId="77777777" w:rsidR="00A530A5" w:rsidRPr="00637729" w:rsidRDefault="00A530A5" w:rsidP="00A530A5">
      <w:pPr>
        <w:numPr>
          <w:ilvl w:val="0"/>
          <w:numId w:val="31"/>
        </w:numPr>
        <w:spacing w:before="100" w:beforeAutospacing="1" w:after="100" w:afterAutospacing="1"/>
        <w:rPr>
          <w:szCs w:val="22"/>
          <w:lang w:eastAsia="en-GB"/>
        </w:rPr>
      </w:pPr>
      <w:r w:rsidRPr="00637729">
        <w:rPr>
          <w:szCs w:val="22"/>
          <w:lang w:eastAsia="en-GB"/>
        </w:rPr>
        <w:t>Scenario</w:t>
      </w:r>
      <w:r w:rsidRPr="00637729">
        <w:rPr>
          <w:szCs w:val="22"/>
          <w:lang w:eastAsia="en-GB"/>
        </w:rPr>
        <w:noBreakHyphen/>
        <w:t>based analysis and pressure–state–response models.</w:t>
      </w:r>
    </w:p>
    <w:p w14:paraId="04570D45" w14:textId="77777777" w:rsidR="00A530A5" w:rsidRPr="00637729" w:rsidRDefault="00A530A5" w:rsidP="00A530A5">
      <w:pPr>
        <w:numPr>
          <w:ilvl w:val="0"/>
          <w:numId w:val="31"/>
        </w:numPr>
        <w:spacing w:before="100" w:beforeAutospacing="1" w:after="100" w:afterAutospacing="1"/>
        <w:rPr>
          <w:szCs w:val="22"/>
          <w:lang w:eastAsia="en-GB"/>
        </w:rPr>
      </w:pPr>
      <w:r w:rsidRPr="00637729">
        <w:rPr>
          <w:szCs w:val="22"/>
          <w:lang w:eastAsia="en-GB"/>
        </w:rPr>
        <w:t>Indicators of environmental resilience and emerging ecological thresholds.</w:t>
      </w:r>
    </w:p>
    <w:p w14:paraId="1AA4C93D" w14:textId="77777777" w:rsidR="00A530A5" w:rsidRPr="00637729" w:rsidRDefault="00A530A5" w:rsidP="00A530A5">
      <w:pPr>
        <w:numPr>
          <w:ilvl w:val="0"/>
          <w:numId w:val="31"/>
        </w:numPr>
        <w:spacing w:before="100" w:beforeAutospacing="1" w:after="100" w:afterAutospacing="1"/>
        <w:rPr>
          <w:szCs w:val="22"/>
          <w:lang w:eastAsia="en-GB"/>
        </w:rPr>
      </w:pPr>
      <w:r w:rsidRPr="00637729">
        <w:rPr>
          <w:szCs w:val="22"/>
          <w:lang w:eastAsia="en-GB"/>
        </w:rPr>
        <w:t>Tools assessing ecological connectivity and fragmentation from human activity.</w:t>
      </w:r>
    </w:p>
    <w:p w14:paraId="3EC8F357" w14:textId="77777777" w:rsidR="00A530A5" w:rsidRPr="00637729" w:rsidRDefault="00A530A5" w:rsidP="00A530A5">
      <w:pPr>
        <w:numPr>
          <w:ilvl w:val="0"/>
          <w:numId w:val="31"/>
        </w:numPr>
        <w:spacing w:before="100" w:beforeAutospacing="1" w:after="100" w:afterAutospacing="1"/>
        <w:rPr>
          <w:szCs w:val="22"/>
          <w:lang w:eastAsia="en-GB"/>
        </w:rPr>
      </w:pPr>
      <w:r w:rsidRPr="00637729">
        <w:rPr>
          <w:szCs w:val="22"/>
          <w:lang w:eastAsia="en-GB"/>
        </w:rPr>
        <w:t>Long terms monitoring programmes.  Repeat photography (from satellite to on</w:t>
      </w:r>
      <w:r w:rsidRPr="00637729">
        <w:rPr>
          <w:szCs w:val="22"/>
          <w:lang w:eastAsia="en-GB"/>
        </w:rPr>
        <w:noBreakHyphen/>
        <w:t>site) to detect environmental change was suggested.</w:t>
      </w:r>
    </w:p>
    <w:p w14:paraId="3E2C23B4" w14:textId="77777777" w:rsidR="00A530A5" w:rsidRPr="00637729" w:rsidRDefault="00A530A5" w:rsidP="00A530A5">
      <w:pPr>
        <w:numPr>
          <w:ilvl w:val="0"/>
          <w:numId w:val="31"/>
        </w:numPr>
        <w:spacing w:before="100" w:beforeAutospacing="1" w:after="100" w:afterAutospacing="1"/>
        <w:rPr>
          <w:szCs w:val="22"/>
          <w:lang w:eastAsia="en-GB"/>
        </w:rPr>
      </w:pPr>
      <w:r w:rsidRPr="00637729">
        <w:rPr>
          <w:szCs w:val="22"/>
          <w:lang w:eastAsia="en-GB"/>
        </w:rPr>
        <w:t>Wilderness and footprint analysis methods.</w:t>
      </w:r>
    </w:p>
    <w:p w14:paraId="3E6274BA" w14:textId="77777777" w:rsidR="00A530A5" w:rsidRPr="00637729" w:rsidRDefault="00A530A5" w:rsidP="00A530A5">
      <w:pPr>
        <w:numPr>
          <w:ilvl w:val="0"/>
          <w:numId w:val="31"/>
        </w:numPr>
        <w:spacing w:before="100" w:beforeAutospacing="1" w:after="100" w:afterAutospacing="1"/>
        <w:rPr>
          <w:szCs w:val="22"/>
          <w:lang w:eastAsia="en-GB"/>
        </w:rPr>
      </w:pPr>
      <w:r w:rsidRPr="00637729">
        <w:rPr>
          <w:szCs w:val="22"/>
          <w:lang w:eastAsia="en-GB"/>
        </w:rPr>
        <w:t>Multiple case studies to test and refine CIA approaches.</w:t>
      </w:r>
    </w:p>
    <w:p w14:paraId="6224D038" w14:textId="77777777" w:rsidR="00A530A5" w:rsidRPr="00637729" w:rsidRDefault="00A530A5" w:rsidP="00A530A5">
      <w:pPr>
        <w:numPr>
          <w:ilvl w:val="0"/>
          <w:numId w:val="31"/>
        </w:numPr>
        <w:spacing w:before="100" w:beforeAutospacing="1" w:after="100" w:afterAutospacing="1"/>
        <w:rPr>
          <w:szCs w:val="22"/>
          <w:lang w:eastAsia="en-GB"/>
        </w:rPr>
      </w:pPr>
      <w:r w:rsidRPr="00637729">
        <w:rPr>
          <w:szCs w:val="22"/>
          <w:lang w:eastAsia="en-GB"/>
        </w:rPr>
        <w:t>Spatial resources showing cumulative human footprints to support decision</w:t>
      </w:r>
      <w:r w:rsidRPr="00637729">
        <w:rPr>
          <w:szCs w:val="22"/>
          <w:lang w:eastAsia="en-GB"/>
        </w:rPr>
        <w:noBreakHyphen/>
        <w:t>making.</w:t>
      </w:r>
    </w:p>
    <w:p w14:paraId="3954ED94" w14:textId="77777777" w:rsidR="00A530A5" w:rsidRPr="00637729" w:rsidRDefault="00A530A5" w:rsidP="00A530A5">
      <w:pPr>
        <w:numPr>
          <w:ilvl w:val="0"/>
          <w:numId w:val="31"/>
        </w:numPr>
        <w:spacing w:before="100" w:beforeAutospacing="1" w:after="100" w:afterAutospacing="1"/>
        <w:rPr>
          <w:szCs w:val="22"/>
          <w:lang w:eastAsia="en-GB"/>
        </w:rPr>
      </w:pPr>
      <w:r w:rsidRPr="00637729">
        <w:rPr>
          <w:szCs w:val="22"/>
          <w:lang w:eastAsia="en-GB"/>
        </w:rPr>
        <w:t>Tools aligned with the CEP EIA guideline steps—such as spatial databases of past and planned activities and case study examples—would help predict cumulative effects.</w:t>
      </w:r>
    </w:p>
    <w:p w14:paraId="0A2B1C90" w14:textId="77777777" w:rsidR="00A530A5" w:rsidRPr="00637729" w:rsidRDefault="00A530A5" w:rsidP="00A530A5">
      <w:pPr>
        <w:numPr>
          <w:ilvl w:val="0"/>
          <w:numId w:val="31"/>
        </w:numPr>
        <w:spacing w:before="100" w:beforeAutospacing="1" w:after="100" w:afterAutospacing="1"/>
        <w:rPr>
          <w:szCs w:val="22"/>
          <w:lang w:eastAsia="en-GB"/>
        </w:rPr>
      </w:pPr>
      <w:r w:rsidRPr="00637729">
        <w:rPr>
          <w:szCs w:val="22"/>
          <w:lang w:eastAsia="en-GB"/>
        </w:rPr>
        <w:t>Modelling tools exist and could be effective, but their usefulness is constrained by limited data availability and challenges in parameterisation.</w:t>
      </w:r>
    </w:p>
    <w:p w14:paraId="32F372F7" w14:textId="77777777" w:rsidR="00A530A5" w:rsidRPr="00637729" w:rsidRDefault="00A530A5" w:rsidP="00A530A5">
      <w:pPr>
        <w:spacing w:before="100" w:beforeAutospacing="1" w:after="100" w:afterAutospacing="1"/>
        <w:rPr>
          <w:szCs w:val="22"/>
          <w:lang w:eastAsia="en-GB"/>
        </w:rPr>
      </w:pPr>
      <w:r w:rsidRPr="00637729">
        <w:rPr>
          <w:szCs w:val="22"/>
          <w:lang w:eastAsia="en-GB"/>
        </w:rPr>
        <w:t>Additional points were made as follows:</w:t>
      </w:r>
    </w:p>
    <w:p w14:paraId="408E3F7A" w14:textId="77777777" w:rsidR="00A530A5" w:rsidRPr="00637729" w:rsidRDefault="00A530A5" w:rsidP="00A530A5">
      <w:pPr>
        <w:numPr>
          <w:ilvl w:val="0"/>
          <w:numId w:val="32"/>
        </w:numPr>
        <w:spacing w:before="100" w:beforeAutospacing="1" w:after="100" w:afterAutospacing="1"/>
        <w:rPr>
          <w:szCs w:val="22"/>
          <w:lang w:eastAsia="en-GB"/>
        </w:rPr>
      </w:pPr>
      <w:r w:rsidRPr="00637729">
        <w:rPr>
          <w:b/>
          <w:bCs/>
          <w:szCs w:val="22"/>
          <w:lang w:eastAsia="en-GB"/>
        </w:rPr>
        <w:t xml:space="preserve">Gaps in mitigation method: </w:t>
      </w:r>
      <w:r w:rsidRPr="00637729">
        <w:rPr>
          <w:szCs w:val="22"/>
          <w:lang w:eastAsia="en-GB"/>
        </w:rPr>
        <w:t>Respondents noted a lack of specific methods for the mitigation phase. It was suggested that incorporating established mitigation categories (elimination, reduction, control, or, where this is not possible, restitution measures such as replacement, restoration or compensation) such as those used in the Canadian guidance presented in the report.</w:t>
      </w:r>
    </w:p>
    <w:p w14:paraId="2C260BAE" w14:textId="77777777" w:rsidR="00A530A5" w:rsidRPr="00637729" w:rsidRDefault="00A530A5" w:rsidP="00A530A5">
      <w:pPr>
        <w:numPr>
          <w:ilvl w:val="0"/>
          <w:numId w:val="33"/>
        </w:numPr>
        <w:spacing w:before="100" w:beforeAutospacing="1" w:after="100" w:afterAutospacing="1"/>
        <w:rPr>
          <w:b/>
          <w:bCs/>
          <w:szCs w:val="22"/>
          <w:lang w:eastAsia="en-GB"/>
        </w:rPr>
      </w:pPr>
      <w:r w:rsidRPr="00637729">
        <w:rPr>
          <w:b/>
          <w:bCs/>
          <w:szCs w:val="22"/>
          <w:lang w:eastAsia="en-GB"/>
        </w:rPr>
        <w:t>Challenges in determining impact significance:</w:t>
      </w:r>
      <w:r w:rsidRPr="00637729">
        <w:rPr>
          <w:szCs w:val="22"/>
          <w:lang w:eastAsia="en-GB"/>
        </w:rPr>
        <w:t xml:space="preserve">  The absence of clear ecological targets or thresholds for Antarctica remains a limitation as discussed in the response to Q3, ecological risk assessment approaches could help quantify the likelihood of adverse effects</w:t>
      </w:r>
    </w:p>
    <w:p w14:paraId="4A9ADC51" w14:textId="77777777" w:rsidR="00A530A5" w:rsidRPr="00637729" w:rsidRDefault="00A530A5" w:rsidP="00A530A5">
      <w:pPr>
        <w:spacing w:before="100" w:beforeAutospacing="1" w:after="100" w:afterAutospacing="1"/>
        <w:rPr>
          <w:b/>
          <w:bCs/>
          <w:szCs w:val="22"/>
          <w:lang w:eastAsia="en-GB"/>
        </w:rPr>
      </w:pPr>
      <w:r w:rsidRPr="00637729">
        <w:rPr>
          <w:b/>
          <w:bCs/>
          <w:szCs w:val="22"/>
          <w:lang w:eastAsia="en-GB"/>
        </w:rPr>
        <w:lastRenderedPageBreak/>
        <w:t xml:space="preserve">Q5: Can any priority be given to the methods and tools for assessing cumulative impacts that are highlighted in this discussion document? </w:t>
      </w:r>
    </w:p>
    <w:p w14:paraId="3202DB8E" w14:textId="77777777" w:rsidR="00A530A5" w:rsidRPr="00637729" w:rsidRDefault="00A530A5" w:rsidP="00A530A5">
      <w:pPr>
        <w:spacing w:before="100" w:beforeAutospacing="1" w:after="100" w:afterAutospacing="1"/>
        <w:rPr>
          <w:szCs w:val="22"/>
          <w:lang w:eastAsia="en-GB"/>
        </w:rPr>
      </w:pPr>
      <w:r w:rsidRPr="00637729">
        <w:rPr>
          <w:szCs w:val="22"/>
          <w:lang w:eastAsia="en-GB"/>
        </w:rPr>
        <w:t xml:space="preserve">The respondents consider that most methods in the discussion document are useful, but prioritisation is needed.  It was suggested that priority should be given to methods and tools that are: </w:t>
      </w:r>
    </w:p>
    <w:p w14:paraId="32AD9F0B" w14:textId="77777777" w:rsidR="00A530A5" w:rsidRPr="00637729" w:rsidRDefault="00A530A5" w:rsidP="00A530A5">
      <w:pPr>
        <w:numPr>
          <w:ilvl w:val="0"/>
          <w:numId w:val="34"/>
        </w:numPr>
        <w:spacing w:before="100" w:beforeAutospacing="1" w:after="100" w:afterAutospacing="1"/>
        <w:rPr>
          <w:szCs w:val="22"/>
          <w:lang w:eastAsia="en-GB"/>
        </w:rPr>
      </w:pPr>
      <w:r w:rsidRPr="00637729">
        <w:rPr>
          <w:szCs w:val="22"/>
          <w:lang w:eastAsia="en-GB"/>
        </w:rPr>
        <w:t>Practical and feasible for Parties to apply.</w:t>
      </w:r>
    </w:p>
    <w:p w14:paraId="49BB3546" w14:textId="77777777" w:rsidR="00A530A5" w:rsidRPr="00637729" w:rsidRDefault="00A530A5" w:rsidP="00A530A5">
      <w:pPr>
        <w:numPr>
          <w:ilvl w:val="0"/>
          <w:numId w:val="34"/>
        </w:numPr>
        <w:spacing w:before="100" w:beforeAutospacing="1" w:after="100" w:afterAutospacing="1"/>
        <w:rPr>
          <w:szCs w:val="22"/>
          <w:lang w:eastAsia="en-GB"/>
        </w:rPr>
      </w:pPr>
      <w:r w:rsidRPr="00637729">
        <w:rPr>
          <w:szCs w:val="22"/>
          <w:lang w:eastAsia="en-GB"/>
        </w:rPr>
        <w:t>Able to integrate spatial and temporal dimensions.</w:t>
      </w:r>
    </w:p>
    <w:p w14:paraId="2DF794D3" w14:textId="77777777" w:rsidR="00A530A5" w:rsidRPr="00637729" w:rsidRDefault="00A530A5" w:rsidP="00A530A5">
      <w:pPr>
        <w:numPr>
          <w:ilvl w:val="0"/>
          <w:numId w:val="34"/>
        </w:numPr>
        <w:spacing w:before="100" w:beforeAutospacing="1" w:after="100" w:afterAutospacing="1"/>
        <w:rPr>
          <w:szCs w:val="22"/>
          <w:lang w:eastAsia="en-GB"/>
        </w:rPr>
      </w:pPr>
      <w:r w:rsidRPr="00637729">
        <w:rPr>
          <w:szCs w:val="22"/>
          <w:lang w:eastAsia="en-GB"/>
        </w:rPr>
        <w:t>Comparable and consistent across regions and activity types.</w:t>
      </w:r>
    </w:p>
    <w:p w14:paraId="0E1526B1" w14:textId="77777777" w:rsidR="00A530A5" w:rsidRPr="00637729" w:rsidRDefault="00A530A5" w:rsidP="00A530A5">
      <w:pPr>
        <w:numPr>
          <w:ilvl w:val="0"/>
          <w:numId w:val="34"/>
        </w:numPr>
        <w:spacing w:before="100" w:beforeAutospacing="1" w:after="100" w:afterAutospacing="1"/>
        <w:rPr>
          <w:szCs w:val="22"/>
          <w:lang w:eastAsia="en-GB"/>
        </w:rPr>
      </w:pPr>
      <w:r w:rsidRPr="00637729">
        <w:rPr>
          <w:szCs w:val="22"/>
          <w:lang w:eastAsia="en-GB"/>
        </w:rPr>
        <w:t>Simple, affordable, and realistic for monitoring and data collection.</w:t>
      </w:r>
    </w:p>
    <w:p w14:paraId="5C7A0514" w14:textId="77777777" w:rsidR="00A530A5" w:rsidRPr="00637729" w:rsidRDefault="00A530A5" w:rsidP="00A530A5">
      <w:pPr>
        <w:numPr>
          <w:ilvl w:val="0"/>
          <w:numId w:val="34"/>
        </w:numPr>
        <w:spacing w:before="100" w:beforeAutospacing="1" w:after="100" w:afterAutospacing="1"/>
        <w:rPr>
          <w:szCs w:val="22"/>
          <w:lang w:eastAsia="en-GB"/>
        </w:rPr>
      </w:pPr>
      <w:r w:rsidRPr="00637729">
        <w:rPr>
          <w:szCs w:val="22"/>
          <w:lang w:eastAsia="en-GB"/>
        </w:rPr>
        <w:t>Incremental and adaptable as new information emerges.</w:t>
      </w:r>
    </w:p>
    <w:p w14:paraId="5021B39F" w14:textId="77777777" w:rsidR="00A530A5" w:rsidRPr="00637729" w:rsidRDefault="00A530A5" w:rsidP="00A530A5">
      <w:pPr>
        <w:spacing w:before="100" w:beforeAutospacing="1" w:after="100" w:afterAutospacing="1"/>
        <w:rPr>
          <w:szCs w:val="22"/>
          <w:lang w:eastAsia="en-GB"/>
        </w:rPr>
      </w:pPr>
      <w:r w:rsidRPr="00637729">
        <w:rPr>
          <w:szCs w:val="22"/>
          <w:lang w:eastAsia="en-GB"/>
        </w:rPr>
        <w:t xml:space="preserve">However, there </w:t>
      </w:r>
      <w:r>
        <w:rPr>
          <w:szCs w:val="22"/>
          <w:lang w:eastAsia="en-GB"/>
        </w:rPr>
        <w:t>were different views</w:t>
      </w:r>
      <w:r w:rsidRPr="00637729">
        <w:rPr>
          <w:szCs w:val="22"/>
          <w:lang w:eastAsia="en-GB"/>
        </w:rPr>
        <w:t xml:space="preserve"> on which specific methods and tools should be prioritised, and it was noted that prioritisation may be challenging because the most appropriate method varies by context and a combination of tools may be necessary to gain a full understanding.</w:t>
      </w:r>
    </w:p>
    <w:p w14:paraId="37F4AF0F" w14:textId="77777777" w:rsidR="00A530A5" w:rsidRPr="00637729" w:rsidRDefault="00A530A5" w:rsidP="00A530A5">
      <w:pPr>
        <w:spacing w:before="100" w:beforeAutospacing="1" w:after="100" w:afterAutospacing="1"/>
        <w:rPr>
          <w:szCs w:val="22"/>
          <w:lang w:eastAsia="en-GB"/>
        </w:rPr>
      </w:pPr>
      <w:r w:rsidRPr="00637729">
        <w:rPr>
          <w:szCs w:val="22"/>
          <w:lang w:eastAsia="en-GB"/>
        </w:rPr>
        <w:t xml:space="preserve">Suggestions made by respondents include: </w:t>
      </w:r>
    </w:p>
    <w:p w14:paraId="40EC9330" w14:textId="77777777" w:rsidR="00A530A5" w:rsidRDefault="00A530A5" w:rsidP="00A530A5">
      <w:pPr>
        <w:numPr>
          <w:ilvl w:val="0"/>
          <w:numId w:val="35"/>
        </w:numPr>
        <w:spacing w:before="100" w:beforeAutospacing="1" w:after="100" w:afterAutospacing="1"/>
        <w:rPr>
          <w:szCs w:val="22"/>
          <w:lang w:eastAsia="en-GB"/>
        </w:rPr>
      </w:pPr>
      <w:r w:rsidRPr="00637729">
        <w:rPr>
          <w:szCs w:val="22"/>
          <w:lang w:eastAsia="en-GB"/>
        </w:rPr>
        <w:t>Working towards an agreed framework and identifying key tools including those that support data on activities and their spatial locations, such as habitat modelling, mapping and analysis and quantitative modelling.</w:t>
      </w:r>
    </w:p>
    <w:p w14:paraId="4ED76FE1" w14:textId="77777777" w:rsidR="00A530A5" w:rsidRPr="004920A1" w:rsidRDefault="00A530A5" w:rsidP="00A530A5">
      <w:pPr>
        <w:numPr>
          <w:ilvl w:val="0"/>
          <w:numId w:val="35"/>
        </w:numPr>
        <w:spacing w:before="100" w:beforeAutospacing="1" w:after="100" w:afterAutospacing="1"/>
        <w:rPr>
          <w:szCs w:val="22"/>
          <w:lang w:eastAsia="en-GB"/>
        </w:rPr>
      </w:pPr>
      <w:r w:rsidRPr="00637729">
        <w:rPr>
          <w:szCs w:val="22"/>
          <w:lang w:eastAsia="en-GB"/>
        </w:rPr>
        <w:t>Developing conceptual models as they summarise diverse information, identify data gaps, support interdisciplinary communication, and underpin more advanced tools such as quantitative modelling.</w:t>
      </w:r>
    </w:p>
    <w:p w14:paraId="39EBE39B" w14:textId="77777777" w:rsidR="00A530A5" w:rsidRPr="004920A1" w:rsidRDefault="00A530A5" w:rsidP="00A530A5">
      <w:pPr>
        <w:numPr>
          <w:ilvl w:val="0"/>
          <w:numId w:val="35"/>
        </w:numPr>
        <w:spacing w:before="100" w:beforeAutospacing="1" w:after="100" w:afterAutospacing="1"/>
        <w:rPr>
          <w:szCs w:val="22"/>
          <w:lang w:eastAsia="en-GB"/>
        </w:rPr>
      </w:pPr>
      <w:r>
        <w:rPr>
          <w:szCs w:val="22"/>
          <w:lang w:eastAsia="en-GB"/>
        </w:rPr>
        <w:t>S</w:t>
      </w:r>
      <w:r w:rsidRPr="00637729">
        <w:rPr>
          <w:szCs w:val="22"/>
          <w:lang w:eastAsia="en-GB"/>
        </w:rPr>
        <w:t xml:space="preserve">patial methods were considered useful particularly in the short term because relevant data already exist and can be updated over time. </w:t>
      </w:r>
    </w:p>
    <w:p w14:paraId="2987751F" w14:textId="77777777" w:rsidR="00A530A5" w:rsidRPr="004920A1" w:rsidRDefault="00A530A5" w:rsidP="00A530A5">
      <w:pPr>
        <w:numPr>
          <w:ilvl w:val="0"/>
          <w:numId w:val="35"/>
        </w:numPr>
        <w:spacing w:before="100" w:beforeAutospacing="1" w:after="100" w:afterAutospacing="1"/>
        <w:rPr>
          <w:szCs w:val="22"/>
          <w:lang w:eastAsia="en-GB"/>
        </w:rPr>
      </w:pPr>
      <w:r w:rsidRPr="00637729">
        <w:rPr>
          <w:szCs w:val="22"/>
          <w:lang w:eastAsia="en-GB"/>
        </w:rPr>
        <w:t>GIS</w:t>
      </w:r>
      <w:r w:rsidRPr="00637729">
        <w:rPr>
          <w:szCs w:val="22"/>
          <w:lang w:eastAsia="en-GB"/>
        </w:rPr>
        <w:noBreakHyphen/>
        <w:t>based analyses.</w:t>
      </w:r>
    </w:p>
    <w:p w14:paraId="4CA4E87F" w14:textId="77777777" w:rsidR="00A530A5" w:rsidRPr="00637729" w:rsidRDefault="00A530A5" w:rsidP="00A530A5">
      <w:pPr>
        <w:numPr>
          <w:ilvl w:val="0"/>
          <w:numId w:val="35"/>
        </w:numPr>
        <w:spacing w:before="100" w:beforeAutospacing="1" w:after="100" w:afterAutospacing="1"/>
        <w:rPr>
          <w:szCs w:val="22"/>
          <w:lang w:eastAsia="en-GB"/>
        </w:rPr>
      </w:pPr>
      <w:r w:rsidRPr="00637729">
        <w:rPr>
          <w:szCs w:val="22"/>
          <w:lang w:eastAsia="en-GB"/>
        </w:rPr>
        <w:t>Inventories of past and ongoing activities (which can strengthen spatial analyses)</w:t>
      </w:r>
    </w:p>
    <w:p w14:paraId="6D783FDA" w14:textId="77777777" w:rsidR="00A530A5" w:rsidRPr="00637729" w:rsidRDefault="00A530A5" w:rsidP="00A530A5">
      <w:pPr>
        <w:numPr>
          <w:ilvl w:val="0"/>
          <w:numId w:val="35"/>
        </w:numPr>
        <w:spacing w:before="100" w:beforeAutospacing="1" w:after="100" w:afterAutospacing="1"/>
        <w:rPr>
          <w:szCs w:val="22"/>
          <w:lang w:eastAsia="en-GB"/>
        </w:rPr>
      </w:pPr>
      <w:r w:rsidRPr="00637729">
        <w:rPr>
          <w:szCs w:val="22"/>
          <w:lang w:eastAsia="en-GB"/>
        </w:rPr>
        <w:t>The need to establishing clear assessment criteria was highlighted.</w:t>
      </w:r>
    </w:p>
    <w:p w14:paraId="393687BB" w14:textId="77777777" w:rsidR="00A530A5" w:rsidRPr="00637729" w:rsidRDefault="00A530A5" w:rsidP="00A530A5">
      <w:pPr>
        <w:numPr>
          <w:ilvl w:val="0"/>
          <w:numId w:val="35"/>
        </w:numPr>
        <w:spacing w:before="100" w:beforeAutospacing="1" w:after="100" w:afterAutospacing="1"/>
        <w:rPr>
          <w:szCs w:val="22"/>
          <w:lang w:eastAsia="en-GB"/>
        </w:rPr>
      </w:pPr>
      <w:r w:rsidRPr="00637729">
        <w:rPr>
          <w:szCs w:val="22"/>
          <w:lang w:eastAsia="en-GB"/>
        </w:rPr>
        <w:t>Quantitative modelling was viewed as an effective approach.</w:t>
      </w:r>
    </w:p>
    <w:p w14:paraId="7C01DC62" w14:textId="77777777" w:rsidR="00A530A5" w:rsidRPr="00637729" w:rsidRDefault="00A530A5" w:rsidP="00A530A5">
      <w:pPr>
        <w:spacing w:before="100" w:beforeAutospacing="1" w:after="100" w:afterAutospacing="1"/>
        <w:rPr>
          <w:szCs w:val="22"/>
          <w:lang w:eastAsia="en-GB"/>
        </w:rPr>
      </w:pPr>
      <w:r w:rsidRPr="00637729">
        <w:rPr>
          <w:szCs w:val="22"/>
          <w:lang w:eastAsia="en-GB"/>
        </w:rPr>
        <w:t>It was commented that some listed tools such as questionnaires or expert panels are better viewed as information</w:t>
      </w:r>
      <w:r w:rsidRPr="00637729">
        <w:rPr>
          <w:szCs w:val="22"/>
          <w:lang w:eastAsia="en-GB"/>
        </w:rPr>
        <w:noBreakHyphen/>
        <w:t>gathering techniques rather than analytical methods.</w:t>
      </w:r>
    </w:p>
    <w:p w14:paraId="6E70986E" w14:textId="77777777" w:rsidR="00A530A5" w:rsidRPr="00637729" w:rsidRDefault="00A530A5" w:rsidP="00A530A5">
      <w:pPr>
        <w:spacing w:before="100" w:beforeAutospacing="1" w:after="100" w:afterAutospacing="1"/>
        <w:rPr>
          <w:b/>
          <w:bCs/>
          <w:szCs w:val="22"/>
          <w:lang w:eastAsia="en-GB"/>
        </w:rPr>
      </w:pPr>
      <w:r w:rsidRPr="00637729">
        <w:rPr>
          <w:b/>
          <w:bCs/>
          <w:szCs w:val="22"/>
          <w:lang w:eastAsia="en-GB"/>
        </w:rPr>
        <w:t>Question 6: Is there merit in expanding upon any of these tools and including them in guidelines for Antarctic cumulative impact assessment (see Q10)?</w:t>
      </w:r>
    </w:p>
    <w:p w14:paraId="7094A57A" w14:textId="77777777" w:rsidR="00A530A5" w:rsidRPr="00637729" w:rsidRDefault="00A530A5" w:rsidP="00A530A5">
      <w:pPr>
        <w:spacing w:before="100" w:beforeAutospacing="1" w:after="100" w:afterAutospacing="1"/>
        <w:rPr>
          <w:szCs w:val="22"/>
          <w:lang w:eastAsia="en-GB"/>
        </w:rPr>
      </w:pPr>
      <w:r w:rsidRPr="00637729">
        <w:rPr>
          <w:szCs w:val="22"/>
          <w:lang w:eastAsia="en-GB"/>
        </w:rPr>
        <w:t>Some respondents support further development of selected tools for cumulative impact assessment and their inclusion in formal guidance, arguing that clearer, expanded guidance would reduce variability and strengthen the consistency and effectiveness of assessments. They highlight the need for improved tools addressing cumulative impacts from large, long</w:t>
      </w:r>
      <w:r w:rsidRPr="00637729">
        <w:rPr>
          <w:szCs w:val="22"/>
          <w:lang w:eastAsia="en-GB"/>
        </w:rPr>
        <w:noBreakHyphen/>
        <w:t>lived infrastructure and for better mechanisms to support monitoring and follow</w:t>
      </w:r>
      <w:r w:rsidRPr="00637729">
        <w:rPr>
          <w:szCs w:val="22"/>
          <w:lang w:eastAsia="en-GB"/>
        </w:rPr>
        <w:noBreakHyphen/>
        <w:t>up. Expanding and clearly defining environmental indicators and indices is also seen as valuable for guiding future research and ensuring comparable data.</w:t>
      </w:r>
    </w:p>
    <w:p w14:paraId="119D1A5B" w14:textId="77777777" w:rsidR="00A530A5" w:rsidRPr="00637729" w:rsidRDefault="00A530A5" w:rsidP="00A530A5">
      <w:pPr>
        <w:spacing w:before="100" w:beforeAutospacing="1" w:after="100" w:afterAutospacing="1"/>
        <w:rPr>
          <w:szCs w:val="22"/>
          <w:lang w:eastAsia="en-GB"/>
        </w:rPr>
      </w:pPr>
      <w:r w:rsidRPr="00637729">
        <w:rPr>
          <w:szCs w:val="22"/>
          <w:lang w:eastAsia="en-GB"/>
        </w:rPr>
        <w:t>Others suggested that the priority should be choosing and applying the most appropriate tools for each specific assessment rather than expanding the entire toolkit. They emphasise that the list of tools should remain flexible rather than prescriptive.</w:t>
      </w:r>
    </w:p>
    <w:p w14:paraId="5308D13A" w14:textId="77777777" w:rsidR="00A530A5" w:rsidRPr="00637729" w:rsidRDefault="00A530A5" w:rsidP="00A530A5">
      <w:pPr>
        <w:spacing w:before="100" w:beforeAutospacing="1" w:after="100" w:afterAutospacing="1"/>
        <w:rPr>
          <w:b/>
          <w:bCs/>
          <w:szCs w:val="22"/>
          <w:lang w:eastAsia="en-GB"/>
        </w:rPr>
      </w:pPr>
      <w:r w:rsidRPr="00637729">
        <w:rPr>
          <w:b/>
          <w:bCs/>
          <w:szCs w:val="22"/>
          <w:lang w:eastAsia="en-GB"/>
        </w:rPr>
        <w:t>Question 7: Are there any additional data and information sources and would this be a useful resource to include in guidelines for Antarctic cumulative impact assessment (see Q10)?</w:t>
      </w:r>
    </w:p>
    <w:p w14:paraId="144F7271" w14:textId="77777777" w:rsidR="00A530A5" w:rsidRPr="00637729" w:rsidRDefault="00A530A5" w:rsidP="00A530A5">
      <w:pPr>
        <w:spacing w:before="100" w:beforeAutospacing="1" w:after="100" w:afterAutospacing="1"/>
        <w:rPr>
          <w:szCs w:val="22"/>
          <w:lang w:eastAsia="en-GB"/>
        </w:rPr>
      </w:pPr>
      <w:r w:rsidRPr="00637729">
        <w:rPr>
          <w:szCs w:val="22"/>
          <w:lang w:eastAsia="en-GB"/>
        </w:rPr>
        <w:lastRenderedPageBreak/>
        <w:t>Respondents identify a wide range of additional data sources that would significantly strengthen cumulative impact assessments and improve decision</w:t>
      </w:r>
      <w:r w:rsidRPr="00637729">
        <w:rPr>
          <w:szCs w:val="22"/>
          <w:lang w:eastAsia="en-GB"/>
        </w:rPr>
        <w:noBreakHyphen/>
        <w:t>making. Beyond existing environmental and biodiversity datasets, participants highlight the need for integrated information on infrastructure (its location, use, and capacity), shared</w:t>
      </w:r>
      <w:r w:rsidRPr="00637729">
        <w:rPr>
          <w:szCs w:val="22"/>
          <w:lang w:eastAsia="en-GB"/>
        </w:rPr>
        <w:noBreakHyphen/>
        <w:t>use and cooperative arrangements, and long</w:t>
      </w:r>
      <w:r w:rsidRPr="00637729">
        <w:rPr>
          <w:szCs w:val="22"/>
          <w:lang w:eastAsia="en-GB"/>
        </w:rPr>
        <w:noBreakHyphen/>
        <w:t>term environmental time</w:t>
      </w:r>
      <w:r w:rsidRPr="00637729">
        <w:rPr>
          <w:szCs w:val="22"/>
          <w:lang w:eastAsia="en-GB"/>
        </w:rPr>
        <w:noBreakHyphen/>
        <w:t>series data to support trend analysis. They also emphasise the importance of core activity</w:t>
      </w:r>
      <w:r w:rsidRPr="00637729">
        <w:rPr>
          <w:szCs w:val="22"/>
          <w:lang w:eastAsia="en-GB"/>
        </w:rPr>
        <w:noBreakHyphen/>
        <w:t>related data, including past, current, and anticipated activities, previous EIAs, Annex III site listings, HSMs, and pre</w:t>
      </w:r>
      <w:r w:rsidRPr="00637729">
        <w:rPr>
          <w:szCs w:val="22"/>
          <w:lang w:eastAsia="en-GB"/>
        </w:rPr>
        <w:noBreakHyphen/>
        <w:t xml:space="preserve"> and post</w:t>
      </w:r>
      <w:r w:rsidRPr="00637729">
        <w:rPr>
          <w:szCs w:val="22"/>
          <w:lang w:eastAsia="en-GB"/>
        </w:rPr>
        <w:noBreakHyphen/>
        <w:t>activity reports. Climate</w:t>
      </w:r>
      <w:r w:rsidRPr="00637729">
        <w:rPr>
          <w:szCs w:val="22"/>
          <w:lang w:eastAsia="en-GB"/>
        </w:rPr>
        <w:noBreakHyphen/>
        <w:t>related datasets, particularly for areas with long</w:t>
      </w:r>
      <w:r w:rsidRPr="00637729">
        <w:rPr>
          <w:szCs w:val="22"/>
          <w:lang w:eastAsia="en-GB"/>
        </w:rPr>
        <w:noBreakHyphen/>
        <w:t>term human presence, and relevant CCAMLR data are also considered valuable. Respondents note that all national and international Antarctic datasets are potentially useful.</w:t>
      </w:r>
    </w:p>
    <w:p w14:paraId="46E620C2" w14:textId="77777777" w:rsidR="00A530A5" w:rsidRPr="00637729" w:rsidRDefault="00A530A5" w:rsidP="00A530A5">
      <w:pPr>
        <w:spacing w:before="100" w:beforeAutospacing="1" w:after="100" w:afterAutospacing="1"/>
        <w:rPr>
          <w:szCs w:val="22"/>
          <w:lang w:eastAsia="en-GB"/>
        </w:rPr>
      </w:pPr>
      <w:r w:rsidRPr="00637729">
        <w:rPr>
          <w:szCs w:val="22"/>
          <w:lang w:eastAsia="en-GB"/>
        </w:rPr>
        <w:t>Several pointed out that substantial research data remains outside existing databases. Literature reviews and closer engagement with researchers could help access this information more efficiently. If standalone CIA guidelines are developed, respondents suggest including a curated list of recommended data sources to support users.</w:t>
      </w:r>
    </w:p>
    <w:p w14:paraId="058385CD" w14:textId="77777777" w:rsidR="00A530A5" w:rsidRPr="00637729" w:rsidRDefault="00A530A5" w:rsidP="00A530A5">
      <w:pPr>
        <w:spacing w:before="100" w:beforeAutospacing="1" w:after="100" w:afterAutospacing="1"/>
        <w:rPr>
          <w:szCs w:val="22"/>
          <w:lang w:eastAsia="en-GB"/>
        </w:rPr>
      </w:pPr>
      <w:r w:rsidRPr="00637729">
        <w:rPr>
          <w:szCs w:val="22"/>
          <w:lang w:val="en-NZ" w:eastAsia="en-GB"/>
        </w:rPr>
        <w:t>It was suggested that as data and information sources tend to change over time, their inclusion within any guidelines might risk them becoming obsolete (depending on how often the guidelines were to be reviewed). It was suggested that SCAR (via its website or the Antarctic Environments Portal) might be able to compile and make available a list of known digital databases that may be of use in CIA.</w:t>
      </w:r>
    </w:p>
    <w:p w14:paraId="21B0BC5A" w14:textId="77777777" w:rsidR="00A530A5" w:rsidRPr="00637729" w:rsidRDefault="00A530A5" w:rsidP="00A530A5">
      <w:pPr>
        <w:spacing w:before="100" w:beforeAutospacing="1" w:after="100" w:afterAutospacing="1"/>
        <w:rPr>
          <w:szCs w:val="22"/>
          <w:lang w:eastAsia="en-GB"/>
        </w:rPr>
      </w:pPr>
      <w:r w:rsidRPr="00637729">
        <w:rPr>
          <w:szCs w:val="22"/>
          <w:lang w:eastAsia="en-GB"/>
        </w:rPr>
        <w:t>Finally, it was cautioned that while international experience is helpful, Antarctica’s unique context limits the direct applicability of global CIA methods. Many common impact sources elsewhere do not exist on a large scale in Antarctica, whereas priority Antarctic impacts are less well studied. They recommend focusing methodological development on impact types most relevant to Antarctica, including from a cumulative perspective.</w:t>
      </w:r>
    </w:p>
    <w:p w14:paraId="143688FD" w14:textId="77777777" w:rsidR="00A530A5" w:rsidRPr="00637729" w:rsidRDefault="00A530A5" w:rsidP="00A530A5">
      <w:pPr>
        <w:spacing w:before="100" w:beforeAutospacing="1" w:after="100" w:afterAutospacing="1"/>
        <w:rPr>
          <w:b/>
          <w:bCs/>
          <w:szCs w:val="22"/>
          <w:lang w:eastAsia="en-GB"/>
        </w:rPr>
      </w:pPr>
      <w:r w:rsidRPr="00637729">
        <w:rPr>
          <w:b/>
          <w:bCs/>
          <w:szCs w:val="22"/>
          <w:lang w:eastAsia="en-GB"/>
        </w:rPr>
        <w:t>Question 8: Is it feasible to establish an approach to assessing cumulative impact in Antarctica that can be applied both as part of an activity-focussed EIA, as well as a standalone cumulative impact assessment?</w:t>
      </w:r>
    </w:p>
    <w:p w14:paraId="0B31FF8C" w14:textId="77777777" w:rsidR="00A530A5" w:rsidRPr="00637729" w:rsidRDefault="00A530A5" w:rsidP="00A530A5">
      <w:pPr>
        <w:spacing w:before="100" w:beforeAutospacing="1" w:after="100" w:afterAutospacing="1"/>
        <w:rPr>
          <w:szCs w:val="22"/>
          <w:lang w:eastAsia="en-GB"/>
        </w:rPr>
      </w:pPr>
      <w:r w:rsidRPr="00637729">
        <w:rPr>
          <w:szCs w:val="22"/>
          <w:lang w:eastAsia="en-GB"/>
        </w:rPr>
        <w:t>Most respondents considered it feasible to develop cumulative impact assessment approaches that function both as part of activity</w:t>
      </w:r>
      <w:r w:rsidRPr="00637729">
        <w:rPr>
          <w:szCs w:val="22"/>
          <w:lang w:eastAsia="en-GB"/>
        </w:rPr>
        <w:noBreakHyphen/>
        <w:t xml:space="preserve">focused EIAs and as standalone cumulative impact assessments, however there were mixed views as to whether it would be preferable/easiest to develop an approach to standalone cumulative impact assessment first,  or to do the activity focussed EIA initially.   </w:t>
      </w:r>
    </w:p>
    <w:p w14:paraId="182542BA" w14:textId="77777777" w:rsidR="00A530A5" w:rsidRPr="00637729" w:rsidRDefault="00A530A5" w:rsidP="00A530A5">
      <w:pPr>
        <w:spacing w:before="100" w:beforeAutospacing="1" w:after="100" w:afterAutospacing="1"/>
        <w:rPr>
          <w:szCs w:val="22"/>
          <w:lang w:val="en-US" w:eastAsia="en-GB"/>
        </w:rPr>
      </w:pPr>
      <w:r w:rsidRPr="00637729">
        <w:rPr>
          <w:szCs w:val="22"/>
          <w:lang w:eastAsia="en-GB"/>
        </w:rPr>
        <w:t>Respondents highlighted important practical and institutional considerations</w:t>
      </w:r>
      <w:r w:rsidRPr="00637729">
        <w:rPr>
          <w:b/>
          <w:szCs w:val="22"/>
          <w:lang w:eastAsia="en-GB"/>
        </w:rPr>
        <w:t xml:space="preserve">. </w:t>
      </w:r>
      <w:r w:rsidRPr="00637729">
        <w:rPr>
          <w:szCs w:val="22"/>
          <w:lang w:eastAsia="en-GB"/>
        </w:rPr>
        <w:t>While standalone CIAs would be highly useful for the CEP’s advisory role, they are not explicitly anchored in the Protocol in the same way as activity</w:t>
      </w:r>
      <w:r w:rsidRPr="00637729">
        <w:rPr>
          <w:szCs w:val="22"/>
          <w:lang w:eastAsia="en-GB"/>
        </w:rPr>
        <w:noBreakHyphen/>
        <w:t xml:space="preserve">focused EIAs, making it more challenging to establish a formal process, </w:t>
      </w:r>
      <w:r w:rsidRPr="00637729">
        <w:rPr>
          <w:szCs w:val="22"/>
          <w:lang w:val="en-US" w:eastAsia="en-GB"/>
        </w:rPr>
        <w:t xml:space="preserve">although clearly such assessments would be highly useful for the CEP in fulfilling its functions under Article 12 of the Protocol, in particular the effectiveness of measures taken pursuant to this Protocol (a) and advising on the state of the Antarctic environment(j).  </w:t>
      </w:r>
    </w:p>
    <w:p w14:paraId="687D9B21" w14:textId="77777777" w:rsidR="00A530A5" w:rsidRPr="00637729" w:rsidRDefault="00A530A5" w:rsidP="00A530A5">
      <w:pPr>
        <w:spacing w:before="100" w:beforeAutospacing="1" w:after="100" w:afterAutospacing="1"/>
        <w:rPr>
          <w:szCs w:val="22"/>
          <w:lang w:eastAsia="en-GB"/>
        </w:rPr>
      </w:pPr>
      <w:r w:rsidRPr="00637729">
        <w:rPr>
          <w:szCs w:val="22"/>
          <w:lang w:eastAsia="en-GB"/>
        </w:rPr>
        <w:t>Across responses, there is broad agreement that any improvements to CIA or EIA is welcome and methodologies should aim for practical benefits</w:t>
      </w:r>
      <w:r w:rsidRPr="00637729">
        <w:rPr>
          <w:b/>
          <w:szCs w:val="22"/>
          <w:lang w:eastAsia="en-GB"/>
        </w:rPr>
        <w:t>:</w:t>
      </w:r>
      <w:r w:rsidRPr="00637729">
        <w:rPr>
          <w:szCs w:val="22"/>
          <w:lang w:eastAsia="en-GB"/>
        </w:rPr>
        <w:t xml:space="preserve"> more accurate and complete assessments, reduced uncertainty, better risk management, and stronger baseline information for decision</w:t>
      </w:r>
      <w:r w:rsidRPr="00637729">
        <w:rPr>
          <w:szCs w:val="22"/>
          <w:lang w:eastAsia="en-GB"/>
        </w:rPr>
        <w:noBreakHyphen/>
        <w:t xml:space="preserve">making. </w:t>
      </w:r>
    </w:p>
    <w:p w14:paraId="35B53EB8" w14:textId="77777777" w:rsidR="00A530A5" w:rsidRPr="00637729" w:rsidRDefault="00A530A5" w:rsidP="00A530A5">
      <w:pPr>
        <w:spacing w:before="100" w:beforeAutospacing="1" w:after="100" w:afterAutospacing="1"/>
        <w:rPr>
          <w:b/>
          <w:bCs/>
          <w:szCs w:val="22"/>
          <w:lang w:eastAsia="en-GB"/>
        </w:rPr>
      </w:pPr>
      <w:r w:rsidRPr="00637729">
        <w:rPr>
          <w:b/>
          <w:bCs/>
          <w:szCs w:val="22"/>
          <w:lang w:eastAsia="en-GB"/>
        </w:rPr>
        <w:t>Question 9: Should the CEP / Parties consider undertaking standalone cumulative impact assessments (independently from project-specific EIAs)? If so, which areas of Antarctica, or which activities might be prioritised for standalone cumulative impact assessment?</w:t>
      </w:r>
    </w:p>
    <w:p w14:paraId="0533EABF" w14:textId="77777777" w:rsidR="00A530A5" w:rsidRPr="00637729" w:rsidRDefault="00A530A5" w:rsidP="00A530A5">
      <w:pPr>
        <w:spacing w:before="100" w:beforeAutospacing="1" w:after="100" w:afterAutospacing="1"/>
        <w:rPr>
          <w:szCs w:val="22"/>
          <w:lang w:eastAsia="en-GB"/>
        </w:rPr>
      </w:pPr>
      <w:r w:rsidRPr="00637729">
        <w:rPr>
          <w:szCs w:val="22"/>
          <w:lang w:eastAsia="en-GB"/>
        </w:rPr>
        <w:lastRenderedPageBreak/>
        <w:t>There is broad agreement that stand</w:t>
      </w:r>
      <w:r w:rsidRPr="00637729">
        <w:rPr>
          <w:szCs w:val="22"/>
          <w:lang w:eastAsia="en-GB"/>
        </w:rPr>
        <w:noBreakHyphen/>
        <w:t>alone cumulative impact assessments would be valuable and feasible, particularly in locations or contexts where cumulative pressures are most pronounced. Respondents consistently highlight several priority settings where such assessments would offer the greatest benefit:</w:t>
      </w:r>
    </w:p>
    <w:p w14:paraId="33C142F5" w14:textId="77777777" w:rsidR="00A530A5" w:rsidRPr="00637729" w:rsidRDefault="00A530A5" w:rsidP="00A530A5">
      <w:pPr>
        <w:numPr>
          <w:ilvl w:val="0"/>
          <w:numId w:val="38"/>
        </w:numPr>
        <w:spacing w:before="100" w:beforeAutospacing="1" w:after="100" w:afterAutospacing="1"/>
        <w:rPr>
          <w:szCs w:val="22"/>
          <w:lang w:eastAsia="en-GB"/>
        </w:rPr>
      </w:pPr>
      <w:r w:rsidRPr="00637729">
        <w:rPr>
          <w:szCs w:val="22"/>
          <w:lang w:eastAsia="en-GB"/>
        </w:rPr>
        <w:t>Highly visited sites, including tourism hotspots.</w:t>
      </w:r>
    </w:p>
    <w:p w14:paraId="183272DE" w14:textId="77777777" w:rsidR="00A530A5" w:rsidRPr="00637729" w:rsidRDefault="00A530A5" w:rsidP="00A530A5">
      <w:pPr>
        <w:numPr>
          <w:ilvl w:val="0"/>
          <w:numId w:val="38"/>
        </w:numPr>
        <w:spacing w:before="100" w:beforeAutospacing="1" w:after="100" w:afterAutospacing="1"/>
        <w:rPr>
          <w:szCs w:val="22"/>
          <w:lang w:eastAsia="en-GB"/>
        </w:rPr>
      </w:pPr>
      <w:r w:rsidRPr="00637729">
        <w:rPr>
          <w:szCs w:val="22"/>
          <w:lang w:eastAsia="en-GB"/>
        </w:rPr>
        <w:t>Areas with dense scientific or logistical infrastructure, such as regions with multiple stations.</w:t>
      </w:r>
    </w:p>
    <w:p w14:paraId="626D7B86" w14:textId="77777777" w:rsidR="00A530A5" w:rsidRPr="00637729" w:rsidRDefault="00A530A5" w:rsidP="00A530A5">
      <w:pPr>
        <w:numPr>
          <w:ilvl w:val="0"/>
          <w:numId w:val="38"/>
        </w:numPr>
        <w:spacing w:before="100" w:beforeAutospacing="1" w:after="100" w:afterAutospacing="1"/>
        <w:rPr>
          <w:szCs w:val="22"/>
          <w:lang w:eastAsia="en-GB"/>
        </w:rPr>
      </w:pPr>
      <w:r w:rsidRPr="00637729">
        <w:rPr>
          <w:szCs w:val="22"/>
          <w:lang w:eastAsia="en-GB"/>
        </w:rPr>
        <w:t>Antarctic Specially Managed Areas (ASMAs), where activities by multiple Parties overlap.</w:t>
      </w:r>
    </w:p>
    <w:p w14:paraId="1D28AB75" w14:textId="77777777" w:rsidR="00A530A5" w:rsidRPr="00637729" w:rsidRDefault="00A530A5" w:rsidP="00A530A5">
      <w:pPr>
        <w:numPr>
          <w:ilvl w:val="0"/>
          <w:numId w:val="38"/>
        </w:numPr>
        <w:spacing w:before="100" w:beforeAutospacing="1" w:after="100" w:afterAutospacing="1"/>
        <w:rPr>
          <w:szCs w:val="22"/>
          <w:lang w:eastAsia="en-GB"/>
        </w:rPr>
      </w:pPr>
      <w:r w:rsidRPr="00637729">
        <w:rPr>
          <w:szCs w:val="22"/>
          <w:lang w:eastAsia="en-GB"/>
        </w:rPr>
        <w:t>Regions with high historical or current activity levels, especially coastal areas.</w:t>
      </w:r>
    </w:p>
    <w:p w14:paraId="3C4670EF" w14:textId="77777777" w:rsidR="00A530A5" w:rsidRPr="00637729" w:rsidRDefault="00A530A5" w:rsidP="00A530A5">
      <w:pPr>
        <w:numPr>
          <w:ilvl w:val="0"/>
          <w:numId w:val="38"/>
        </w:numPr>
        <w:spacing w:before="100" w:beforeAutospacing="1" w:after="100" w:afterAutospacing="1"/>
        <w:rPr>
          <w:szCs w:val="22"/>
          <w:lang w:eastAsia="en-GB"/>
        </w:rPr>
      </w:pPr>
      <w:r w:rsidRPr="00637729">
        <w:rPr>
          <w:szCs w:val="22"/>
          <w:lang w:eastAsia="en-GB"/>
        </w:rPr>
        <w:t>Large</w:t>
      </w:r>
      <w:r w:rsidRPr="00637729">
        <w:rPr>
          <w:szCs w:val="22"/>
          <w:lang w:eastAsia="en-GB"/>
        </w:rPr>
        <w:noBreakHyphen/>
        <w:t>scale projects, long</w:t>
      </w:r>
      <w:r w:rsidRPr="00637729">
        <w:rPr>
          <w:szCs w:val="22"/>
          <w:lang w:eastAsia="en-GB"/>
        </w:rPr>
        <w:noBreakHyphen/>
        <w:t>term impacts, and vulnerable or degraded ecosystems.</w:t>
      </w:r>
    </w:p>
    <w:p w14:paraId="75675AF6" w14:textId="77777777" w:rsidR="00A530A5" w:rsidRPr="00637729" w:rsidRDefault="00A530A5" w:rsidP="00A530A5">
      <w:pPr>
        <w:spacing w:before="100" w:beforeAutospacing="1" w:after="100" w:afterAutospacing="1"/>
        <w:rPr>
          <w:szCs w:val="22"/>
          <w:lang w:eastAsia="en-GB"/>
        </w:rPr>
      </w:pPr>
      <w:r w:rsidRPr="00637729">
        <w:rPr>
          <w:szCs w:val="22"/>
          <w:lang w:eastAsia="en-GB"/>
        </w:rPr>
        <w:t>Responses emphasise that such assessments should:</w:t>
      </w:r>
    </w:p>
    <w:p w14:paraId="19197CEA" w14:textId="77777777" w:rsidR="00A530A5" w:rsidRPr="00637729" w:rsidRDefault="00A530A5" w:rsidP="00A530A5">
      <w:pPr>
        <w:numPr>
          <w:ilvl w:val="0"/>
          <w:numId w:val="39"/>
        </w:numPr>
        <w:spacing w:before="100" w:beforeAutospacing="1" w:after="100" w:afterAutospacing="1"/>
        <w:rPr>
          <w:szCs w:val="22"/>
          <w:lang w:eastAsia="en-GB"/>
        </w:rPr>
      </w:pPr>
      <w:r w:rsidRPr="00637729">
        <w:rPr>
          <w:szCs w:val="22"/>
          <w:lang w:eastAsia="en-GB"/>
        </w:rPr>
        <w:t>Cover larger spatial areas and longer timeframes than typical EIAs.</w:t>
      </w:r>
    </w:p>
    <w:p w14:paraId="01D9E611" w14:textId="77777777" w:rsidR="00A530A5" w:rsidRPr="00637729" w:rsidRDefault="00A530A5" w:rsidP="00A530A5">
      <w:pPr>
        <w:numPr>
          <w:ilvl w:val="0"/>
          <w:numId w:val="39"/>
        </w:numPr>
        <w:spacing w:before="100" w:beforeAutospacing="1" w:after="100" w:afterAutospacing="1"/>
        <w:rPr>
          <w:szCs w:val="22"/>
          <w:lang w:eastAsia="en-GB"/>
        </w:rPr>
      </w:pPr>
      <w:r w:rsidRPr="00637729">
        <w:rPr>
          <w:szCs w:val="22"/>
          <w:lang w:eastAsia="en-GB"/>
        </w:rPr>
        <w:t>Explicitly address cumulative pressures, environmental resilience, and opportunities for shared or optimised infrastructure use.</w:t>
      </w:r>
    </w:p>
    <w:p w14:paraId="1F5BD17A" w14:textId="77777777" w:rsidR="00A530A5" w:rsidRPr="00637729" w:rsidRDefault="00A530A5" w:rsidP="00A530A5">
      <w:pPr>
        <w:numPr>
          <w:ilvl w:val="0"/>
          <w:numId w:val="39"/>
        </w:numPr>
        <w:spacing w:before="100" w:beforeAutospacing="1" w:after="100" w:afterAutospacing="1"/>
        <w:rPr>
          <w:szCs w:val="22"/>
          <w:lang w:eastAsia="en-GB"/>
        </w:rPr>
      </w:pPr>
      <w:r w:rsidRPr="00637729">
        <w:rPr>
          <w:szCs w:val="22"/>
          <w:lang w:eastAsia="en-GB"/>
        </w:rPr>
        <w:t>Incorporate relevant external pressures, such as fishing activity where it interacts with Antarctic ecosystems.</w:t>
      </w:r>
    </w:p>
    <w:p w14:paraId="207FEAC0" w14:textId="77777777" w:rsidR="00A530A5" w:rsidRPr="00637729" w:rsidRDefault="00A530A5" w:rsidP="00A530A5">
      <w:pPr>
        <w:spacing w:before="100" w:beforeAutospacing="1" w:after="100" w:afterAutospacing="1"/>
        <w:rPr>
          <w:szCs w:val="22"/>
          <w:lang w:eastAsia="en-GB"/>
        </w:rPr>
      </w:pPr>
      <w:r w:rsidRPr="00637729">
        <w:rPr>
          <w:szCs w:val="22"/>
          <w:lang w:eastAsia="en-GB"/>
        </w:rPr>
        <w:t xml:space="preserve">The point about standalone cumulative impact assessments not being explicitly mandated by the Protocol (as discussed in Q8) remains however and warrants further discussion.  </w:t>
      </w:r>
    </w:p>
    <w:p w14:paraId="665D7F6B" w14:textId="77777777" w:rsidR="00A530A5" w:rsidRPr="00637729" w:rsidRDefault="00A530A5" w:rsidP="00A530A5">
      <w:pPr>
        <w:spacing w:before="100" w:beforeAutospacing="1" w:after="100" w:afterAutospacing="1"/>
        <w:rPr>
          <w:b/>
          <w:bCs/>
          <w:szCs w:val="22"/>
          <w:lang w:eastAsia="en-GB"/>
        </w:rPr>
      </w:pPr>
      <w:r w:rsidRPr="00637729">
        <w:rPr>
          <w:b/>
          <w:bCs/>
          <w:szCs w:val="22"/>
          <w:lang w:eastAsia="en-GB"/>
        </w:rPr>
        <w:t>Question 10: Is there merit in developing standalone guidelines for Antarctic cumulative impact assessment or could the current Antarctic EIA guidelines be amended to better accommodate guidance material for cumulative impact assessment?</w:t>
      </w:r>
    </w:p>
    <w:p w14:paraId="2BEE2A80" w14:textId="77777777" w:rsidR="00A530A5" w:rsidRPr="00637729" w:rsidRDefault="00A530A5" w:rsidP="00A530A5">
      <w:pPr>
        <w:spacing w:before="100" w:beforeAutospacing="1" w:after="100" w:afterAutospacing="1"/>
        <w:rPr>
          <w:szCs w:val="22"/>
          <w:lang w:eastAsia="en-GB"/>
        </w:rPr>
      </w:pPr>
      <w:r w:rsidRPr="00637729">
        <w:rPr>
          <w:szCs w:val="22"/>
          <w:lang w:eastAsia="en-GB"/>
        </w:rPr>
        <w:t>Those who responded to this question saw value in developing further guidance on CIA, but there was no clear preference for the guidance being standalone or included in the current EIA guidelines when next updated.  Several respondents thought that either approach would work but were keen to avoid duplication of effort and highlighted the need for consistency.</w:t>
      </w:r>
    </w:p>
    <w:p w14:paraId="6AE1494A" w14:textId="77777777" w:rsidR="00A530A5" w:rsidRPr="00637729" w:rsidRDefault="00A530A5" w:rsidP="00A530A5">
      <w:pPr>
        <w:spacing w:before="100" w:beforeAutospacing="1" w:after="100" w:afterAutospacing="1"/>
        <w:rPr>
          <w:szCs w:val="22"/>
          <w:lang w:eastAsia="en-GB"/>
        </w:rPr>
      </w:pPr>
      <w:r w:rsidRPr="00637729">
        <w:rPr>
          <w:szCs w:val="22"/>
          <w:lang w:eastAsia="en-GB"/>
        </w:rPr>
        <w:t>The idea of developing an EIA manual, similar to existing manuals within CEP, was also raised as a potential source of guidance.</w:t>
      </w:r>
    </w:p>
    <w:p w14:paraId="5FC57F16" w14:textId="77777777" w:rsidR="00A530A5" w:rsidRPr="00637729" w:rsidRDefault="00A530A5" w:rsidP="00A530A5">
      <w:pPr>
        <w:numPr>
          <w:ilvl w:val="0"/>
          <w:numId w:val="36"/>
        </w:numPr>
        <w:spacing w:before="100" w:beforeAutospacing="1" w:after="100" w:afterAutospacing="1"/>
        <w:rPr>
          <w:b/>
          <w:bCs/>
          <w:szCs w:val="22"/>
          <w:lang w:eastAsia="en-GB"/>
        </w:rPr>
      </w:pPr>
      <w:r w:rsidRPr="00637729">
        <w:rPr>
          <w:b/>
          <w:bCs/>
          <w:szCs w:val="22"/>
          <w:lang w:eastAsia="en-GB"/>
        </w:rPr>
        <w:t>Other Comments:</w:t>
      </w:r>
    </w:p>
    <w:p w14:paraId="36A95BB7" w14:textId="77777777" w:rsidR="00A530A5" w:rsidRPr="00637729" w:rsidRDefault="00A530A5" w:rsidP="00A530A5">
      <w:pPr>
        <w:spacing w:before="100" w:beforeAutospacing="1" w:after="100" w:afterAutospacing="1"/>
        <w:rPr>
          <w:b/>
          <w:bCs/>
          <w:szCs w:val="22"/>
          <w:lang w:eastAsia="en-GB"/>
        </w:rPr>
      </w:pPr>
      <w:r w:rsidRPr="00637729">
        <w:rPr>
          <w:szCs w:val="22"/>
          <w:lang w:eastAsia="en-GB"/>
        </w:rPr>
        <w:t>A summary of responses is included below which indicated several themes.</w:t>
      </w:r>
    </w:p>
    <w:p w14:paraId="1A304477" w14:textId="77777777" w:rsidR="00A530A5" w:rsidRPr="00637729" w:rsidRDefault="00A530A5" w:rsidP="00A530A5">
      <w:pPr>
        <w:spacing w:before="100" w:beforeAutospacing="1" w:after="100" w:afterAutospacing="1"/>
        <w:rPr>
          <w:szCs w:val="22"/>
          <w:lang w:eastAsia="en-GB"/>
        </w:rPr>
      </w:pPr>
      <w:r w:rsidRPr="00637729">
        <w:rPr>
          <w:b/>
          <w:bCs/>
          <w:szCs w:val="22"/>
          <w:lang w:eastAsia="en-GB"/>
        </w:rPr>
        <w:t xml:space="preserve">Need for a clear purpose: </w:t>
      </w:r>
      <w:r w:rsidRPr="00637729">
        <w:rPr>
          <w:szCs w:val="22"/>
          <w:lang w:eastAsia="en-GB"/>
        </w:rPr>
        <w:t xml:space="preserve">Feedback emphasises that progress on CIA needs a clearer articulation of its purpose.  Clarifying what we wish to achieve, who will be the users and how does this fit in with the larger framework of regulation according to the Protocol?  The commentary saw these tools being relevant to </w:t>
      </w:r>
      <w:proofErr w:type="spellStart"/>
      <w:r w:rsidRPr="00637729">
        <w:rPr>
          <w:szCs w:val="22"/>
          <w:lang w:eastAsia="en-GB"/>
        </w:rPr>
        <w:t>i</w:t>
      </w:r>
      <w:proofErr w:type="spellEnd"/>
      <w:r w:rsidRPr="00637729">
        <w:rPr>
          <w:szCs w:val="22"/>
          <w:lang w:eastAsia="en-GB"/>
        </w:rPr>
        <w:t xml:space="preserve">) </w:t>
      </w:r>
      <w:bookmarkStart w:id="11" w:name="_Hlk221292941"/>
      <w:r w:rsidRPr="00637729">
        <w:rPr>
          <w:szCs w:val="22"/>
          <w:lang w:eastAsia="en-GB"/>
        </w:rPr>
        <w:t xml:space="preserve">provide more practical guidance for those conducting and assessing EIAs in accordance with the Protocol and ii) providing the CEP with a more holistic understanding of how cumulative impacts affect the Antarctic environment, to provide robust advice to ATCM. </w:t>
      </w:r>
    </w:p>
    <w:bookmarkEnd w:id="11"/>
    <w:p w14:paraId="48BF398F" w14:textId="77777777" w:rsidR="00A530A5" w:rsidRPr="00637729" w:rsidRDefault="00A530A5" w:rsidP="00A530A5">
      <w:pPr>
        <w:spacing w:before="100" w:beforeAutospacing="1" w:after="100" w:afterAutospacing="1"/>
        <w:rPr>
          <w:szCs w:val="22"/>
          <w:lang w:eastAsia="en-GB"/>
        </w:rPr>
      </w:pPr>
      <w:r w:rsidRPr="00637729">
        <w:rPr>
          <w:b/>
          <w:bCs/>
          <w:szCs w:val="22"/>
          <w:lang w:eastAsia="en-GB"/>
        </w:rPr>
        <w:t>Importance of scale and context</w:t>
      </w:r>
      <w:r w:rsidRPr="00637729">
        <w:rPr>
          <w:szCs w:val="22"/>
          <w:lang w:eastAsia="en-GB"/>
        </w:rPr>
        <w:t>:  Respondents note that different impacts require different spatial and temporal scales—from facility</w:t>
      </w:r>
      <w:r w:rsidRPr="00637729">
        <w:rPr>
          <w:szCs w:val="22"/>
          <w:lang w:eastAsia="en-GB"/>
        </w:rPr>
        <w:noBreakHyphen/>
        <w:t>level to ecosystem, regional, or continental scales, and from seasonal to millennial timescales. Prioritising spatial tools early on, as they can support both expert and non</w:t>
      </w:r>
      <w:r w:rsidRPr="00637729">
        <w:rPr>
          <w:szCs w:val="22"/>
          <w:lang w:eastAsia="en-GB"/>
        </w:rPr>
        <w:noBreakHyphen/>
        <w:t>expert users and help visualise cumulative pressures is suggested. Some recommend prioritising areas with high human activity or rapid climate change, such as coastal and marine habitats of the Antarctic Peninsula.</w:t>
      </w:r>
    </w:p>
    <w:p w14:paraId="6B1002DB" w14:textId="77777777" w:rsidR="00A530A5" w:rsidRPr="00637729" w:rsidRDefault="00A530A5" w:rsidP="00A530A5">
      <w:pPr>
        <w:spacing w:before="100" w:beforeAutospacing="1" w:after="100" w:afterAutospacing="1"/>
        <w:rPr>
          <w:szCs w:val="22"/>
          <w:lang w:eastAsia="en-GB"/>
        </w:rPr>
      </w:pPr>
      <w:r w:rsidRPr="00637729">
        <w:rPr>
          <w:b/>
          <w:bCs/>
          <w:szCs w:val="22"/>
          <w:lang w:eastAsia="en-GB"/>
        </w:rPr>
        <w:lastRenderedPageBreak/>
        <w:t xml:space="preserve">Strengthening data, baselines, and information exchange:  </w:t>
      </w:r>
      <w:r w:rsidRPr="00637729">
        <w:rPr>
          <w:szCs w:val="22"/>
          <w:lang w:eastAsia="en-GB"/>
        </w:rPr>
        <w:t>The need for improved data availability and standardisation was highlighted. Priorities include:</w:t>
      </w:r>
    </w:p>
    <w:p w14:paraId="604A7894" w14:textId="77777777" w:rsidR="00A530A5" w:rsidRPr="00637729" w:rsidRDefault="00A530A5" w:rsidP="00A530A5">
      <w:pPr>
        <w:numPr>
          <w:ilvl w:val="0"/>
          <w:numId w:val="37"/>
        </w:numPr>
        <w:spacing w:before="100" w:beforeAutospacing="1" w:after="100" w:afterAutospacing="1"/>
        <w:rPr>
          <w:szCs w:val="22"/>
          <w:lang w:eastAsia="en-GB"/>
        </w:rPr>
      </w:pPr>
      <w:r w:rsidRPr="00637729">
        <w:rPr>
          <w:szCs w:val="22"/>
          <w:lang w:eastAsia="en-GB"/>
        </w:rPr>
        <w:t>Shared databases and consistent data collection protocols</w:t>
      </w:r>
    </w:p>
    <w:p w14:paraId="2400AAB2" w14:textId="77777777" w:rsidR="00A530A5" w:rsidRPr="00637729" w:rsidRDefault="00A530A5" w:rsidP="00A530A5">
      <w:pPr>
        <w:numPr>
          <w:ilvl w:val="0"/>
          <w:numId w:val="37"/>
        </w:numPr>
        <w:spacing w:before="100" w:beforeAutospacing="1" w:after="100" w:afterAutospacing="1"/>
        <w:rPr>
          <w:szCs w:val="22"/>
          <w:lang w:eastAsia="en-GB"/>
        </w:rPr>
      </w:pPr>
      <w:r w:rsidRPr="00637729">
        <w:rPr>
          <w:szCs w:val="22"/>
          <w:lang w:eastAsia="en-GB"/>
        </w:rPr>
        <w:t>Clear data ownership and handling arrangements</w:t>
      </w:r>
    </w:p>
    <w:p w14:paraId="48A13BD7" w14:textId="77777777" w:rsidR="00A530A5" w:rsidRPr="00637729" w:rsidRDefault="00A530A5" w:rsidP="00A530A5">
      <w:pPr>
        <w:numPr>
          <w:ilvl w:val="0"/>
          <w:numId w:val="37"/>
        </w:numPr>
        <w:spacing w:before="100" w:beforeAutospacing="1" w:after="100" w:afterAutospacing="1"/>
        <w:rPr>
          <w:szCs w:val="22"/>
          <w:lang w:eastAsia="en-GB"/>
        </w:rPr>
      </w:pPr>
      <w:r w:rsidRPr="00637729">
        <w:rPr>
          <w:szCs w:val="22"/>
          <w:lang w:eastAsia="en-GB"/>
        </w:rPr>
        <w:t>Better integration of baseline data, long</w:t>
      </w:r>
      <w:r w:rsidRPr="00637729">
        <w:rPr>
          <w:szCs w:val="22"/>
          <w:lang w:eastAsia="en-GB"/>
        </w:rPr>
        <w:noBreakHyphen/>
        <w:t>term environmental records, and activity inventories</w:t>
      </w:r>
    </w:p>
    <w:p w14:paraId="6C818464" w14:textId="77777777" w:rsidR="00A530A5" w:rsidRPr="00637729" w:rsidRDefault="00A530A5" w:rsidP="00A530A5">
      <w:pPr>
        <w:numPr>
          <w:ilvl w:val="0"/>
          <w:numId w:val="37"/>
        </w:numPr>
        <w:spacing w:before="100" w:beforeAutospacing="1" w:after="100" w:afterAutospacing="1"/>
        <w:rPr>
          <w:szCs w:val="22"/>
          <w:lang w:eastAsia="en-GB"/>
        </w:rPr>
      </w:pPr>
      <w:r w:rsidRPr="00637729">
        <w:rPr>
          <w:szCs w:val="22"/>
          <w:lang w:eastAsia="en-GB"/>
        </w:rPr>
        <w:t>Enhanced coordination between Parties, drawing on ASMA experience.</w:t>
      </w:r>
    </w:p>
    <w:p w14:paraId="3FC0CFA3" w14:textId="77777777" w:rsidR="00A530A5" w:rsidRPr="00637729" w:rsidRDefault="00A530A5" w:rsidP="00A530A5">
      <w:pPr>
        <w:spacing w:before="100" w:beforeAutospacing="1" w:after="100" w:afterAutospacing="1"/>
        <w:rPr>
          <w:szCs w:val="22"/>
          <w:lang w:eastAsia="en-GB"/>
        </w:rPr>
      </w:pPr>
      <w:r w:rsidRPr="00637729">
        <w:rPr>
          <w:b/>
          <w:bCs/>
          <w:szCs w:val="22"/>
          <w:lang w:eastAsia="en-GB"/>
        </w:rPr>
        <w:t>Interdisciplinary approaches and resource considerations</w:t>
      </w:r>
      <w:r w:rsidRPr="00637729">
        <w:rPr>
          <w:szCs w:val="22"/>
          <w:lang w:eastAsia="en-GB"/>
        </w:rPr>
        <w:t>:  CIA inherently requires interdisciplinary collaboration, yet not all Parties have the capacity for complex analytical methods.  A tiered approach was suggested, depending on the activity and available resources. Mapping which sectors and expertise are essential for CIA would help ensure practicality.  Aligning research funding with CIA needs to fill knowledge gaps more strategically.</w:t>
      </w:r>
    </w:p>
    <w:p w14:paraId="62EA7BDA" w14:textId="77777777" w:rsidR="00A530A5" w:rsidRPr="00637729" w:rsidRDefault="00A530A5" w:rsidP="00A530A5">
      <w:pPr>
        <w:spacing w:before="100" w:beforeAutospacing="1" w:after="100" w:afterAutospacing="1"/>
        <w:rPr>
          <w:szCs w:val="22"/>
          <w:lang w:eastAsia="en-GB"/>
        </w:rPr>
      </w:pPr>
      <w:r w:rsidRPr="00637729">
        <w:rPr>
          <w:b/>
          <w:bCs/>
          <w:szCs w:val="22"/>
          <w:lang w:eastAsia="en-GB"/>
        </w:rPr>
        <w:t>Testing approaches and prioritising practical application</w:t>
      </w:r>
      <w:r w:rsidRPr="00637729">
        <w:rPr>
          <w:szCs w:val="22"/>
          <w:lang w:eastAsia="en-GB"/>
        </w:rPr>
        <w:t>:  Pilot assessments were suggested as a practical way to test and refine improved CIA methods.</w:t>
      </w:r>
    </w:p>
    <w:p w14:paraId="589E39A7" w14:textId="77777777" w:rsidR="00A530A5" w:rsidRPr="00637729" w:rsidRDefault="00A530A5" w:rsidP="00A530A5">
      <w:pPr>
        <w:spacing w:before="100" w:beforeAutospacing="1" w:after="100" w:afterAutospacing="1"/>
        <w:rPr>
          <w:b/>
          <w:bCs/>
          <w:szCs w:val="22"/>
          <w:lang w:eastAsia="en-GB"/>
        </w:rPr>
      </w:pPr>
      <w:r w:rsidRPr="00637729">
        <w:rPr>
          <w:b/>
          <w:bCs/>
          <w:szCs w:val="22"/>
          <w:lang w:eastAsia="en-GB"/>
        </w:rPr>
        <w:t>3) Case Studies</w:t>
      </w:r>
    </w:p>
    <w:p w14:paraId="4916A53E" w14:textId="77777777" w:rsidR="00A530A5" w:rsidRPr="00637729" w:rsidRDefault="00A530A5" w:rsidP="00A530A5">
      <w:pPr>
        <w:spacing w:before="100" w:beforeAutospacing="1" w:after="100" w:afterAutospacing="1"/>
        <w:rPr>
          <w:szCs w:val="22"/>
          <w:lang w:eastAsia="en-GB"/>
        </w:rPr>
      </w:pPr>
      <w:r w:rsidRPr="00637729">
        <w:rPr>
          <w:szCs w:val="22"/>
          <w:lang w:eastAsia="en-GB"/>
        </w:rPr>
        <w:t>No case studies were provided by participants, however one shared the benefit of their observations in the time taken for some cumulative impacts to become apparent and suggested that the procedure for CEE follow up in Resolution 2 (1997) may benefit from including consideration of the time frame for the review process</w:t>
      </w:r>
      <w:r>
        <w:rPr>
          <w:szCs w:val="22"/>
          <w:lang w:eastAsia="en-GB"/>
        </w:rPr>
        <w:t>, as well as specific reference to cumulative impacts</w:t>
      </w:r>
      <w:r w:rsidRPr="00637729">
        <w:rPr>
          <w:szCs w:val="22"/>
          <w:lang w:eastAsia="en-GB"/>
        </w:rPr>
        <w:t>.</w:t>
      </w:r>
    </w:p>
    <w:p w14:paraId="04CE12BE" w14:textId="77777777" w:rsidR="00A530A5" w:rsidRPr="00637729" w:rsidRDefault="00A530A5" w:rsidP="00A530A5">
      <w:pPr>
        <w:spacing w:before="100" w:beforeAutospacing="1" w:after="100" w:afterAutospacing="1"/>
        <w:rPr>
          <w:szCs w:val="22"/>
          <w:lang w:eastAsia="en-GB"/>
        </w:rPr>
      </w:pPr>
      <w:r w:rsidRPr="00637729">
        <w:rPr>
          <w:szCs w:val="22"/>
          <w:lang w:eastAsia="en-GB"/>
        </w:rPr>
        <w:t xml:space="preserve">Tools from other frameworks were suggested and referenced in the Q1 response and/or Appendix </w:t>
      </w:r>
      <w:r>
        <w:rPr>
          <w:szCs w:val="22"/>
          <w:lang w:eastAsia="en-GB"/>
        </w:rPr>
        <w:t>B</w:t>
      </w:r>
      <w:r w:rsidRPr="00637729">
        <w:rPr>
          <w:szCs w:val="22"/>
          <w:lang w:eastAsia="en-GB"/>
        </w:rPr>
        <w:t>.</w:t>
      </w:r>
    </w:p>
    <w:p w14:paraId="70B1C6FB" w14:textId="77777777" w:rsidR="00A530A5" w:rsidRDefault="00A530A5" w:rsidP="00A530A5">
      <w:pPr>
        <w:rPr>
          <w:rFonts w:ascii="Arial" w:hAnsi="Arial" w:cs="Arial"/>
          <w:sz w:val="24"/>
          <w:lang w:eastAsia="en-GB"/>
        </w:rPr>
      </w:pPr>
      <w:r>
        <w:rPr>
          <w:rFonts w:ascii="Arial" w:hAnsi="Arial" w:cs="Arial"/>
          <w:sz w:val="24"/>
          <w:lang w:eastAsia="en-GB"/>
        </w:rPr>
        <w:br w:type="page"/>
      </w:r>
    </w:p>
    <w:p w14:paraId="6F2B81B8" w14:textId="77777777" w:rsidR="00A530A5" w:rsidRPr="00637729" w:rsidRDefault="00A530A5" w:rsidP="00A530A5">
      <w:pPr>
        <w:spacing w:before="100" w:beforeAutospacing="1" w:after="100" w:afterAutospacing="1"/>
        <w:rPr>
          <w:rFonts w:ascii="Arial" w:hAnsi="Arial" w:cs="Arial"/>
          <w:i/>
          <w:iCs/>
          <w:sz w:val="24"/>
          <w:lang w:eastAsia="en-GB"/>
        </w:rPr>
      </w:pPr>
      <w:r>
        <w:rPr>
          <w:rFonts w:ascii="Arial" w:hAnsi="Arial" w:cs="Arial"/>
          <w:b/>
          <w:bCs/>
          <w:i/>
          <w:iCs/>
          <w:sz w:val="24"/>
          <w:lang w:eastAsia="en-GB"/>
        </w:rPr>
        <w:lastRenderedPageBreak/>
        <w:t>Appendix B</w:t>
      </w:r>
      <w:r w:rsidRPr="00637729">
        <w:rPr>
          <w:rFonts w:ascii="Arial" w:hAnsi="Arial" w:cs="Arial"/>
          <w:i/>
          <w:iCs/>
          <w:sz w:val="24"/>
          <w:lang w:eastAsia="en-GB"/>
        </w:rPr>
        <w:t xml:space="preserve">:  </w:t>
      </w:r>
    </w:p>
    <w:p w14:paraId="731C5777" w14:textId="77777777" w:rsidR="00A530A5" w:rsidRPr="00637729" w:rsidRDefault="00A530A5" w:rsidP="00A530A5">
      <w:pPr>
        <w:spacing w:before="100" w:beforeAutospacing="1" w:after="100" w:afterAutospacing="1"/>
        <w:rPr>
          <w:szCs w:val="22"/>
          <w:lang w:eastAsia="en-GB"/>
        </w:rPr>
      </w:pPr>
      <w:r w:rsidRPr="00637729">
        <w:rPr>
          <w:szCs w:val="22"/>
          <w:lang w:eastAsia="en-GB"/>
        </w:rPr>
        <w:t>Additional technical resources and guidance materials suggested by informal ICG participants that could help in developing cumulative impact approaches for Antarctica</w:t>
      </w:r>
    </w:p>
    <w:p w14:paraId="21547887" w14:textId="77777777" w:rsidR="00A530A5" w:rsidRPr="00637729" w:rsidRDefault="00A530A5" w:rsidP="00A530A5">
      <w:pPr>
        <w:numPr>
          <w:ilvl w:val="0"/>
          <w:numId w:val="21"/>
        </w:numPr>
        <w:spacing w:before="100" w:beforeAutospacing="1" w:after="100" w:afterAutospacing="1"/>
        <w:rPr>
          <w:szCs w:val="22"/>
          <w:lang w:val="en-US" w:eastAsia="en-GB"/>
        </w:rPr>
      </w:pPr>
      <w:r w:rsidRPr="00637729">
        <w:rPr>
          <w:szCs w:val="22"/>
          <w:lang w:val="en-US" w:eastAsia="en-GB"/>
        </w:rPr>
        <w:t xml:space="preserve">ICES has developed Ecosystem Overviews (EOs), a central tool to map main pressures, associated human activities and impacts on ecosystem state of assessed ecoregions. This approach involves mapping human activities (e.g., global, shipping, military), their pressures (e.g. marine litter, underwater noise), and the states of biodiversity (e.g. </w:t>
      </w:r>
      <w:proofErr w:type="spellStart"/>
      <w:r w:rsidRPr="00637729">
        <w:rPr>
          <w:szCs w:val="22"/>
          <w:lang w:val="en-US" w:eastAsia="en-GB"/>
        </w:rPr>
        <w:t>foodwebs</w:t>
      </w:r>
      <w:proofErr w:type="spellEnd"/>
      <w:r w:rsidRPr="00637729">
        <w:rPr>
          <w:szCs w:val="22"/>
          <w:lang w:val="en-US" w:eastAsia="en-GB"/>
        </w:rPr>
        <w:t xml:space="preserve">, productivity, fish, seabirds). </w:t>
      </w:r>
    </w:p>
    <w:p w14:paraId="40A0961B" w14:textId="77777777" w:rsidR="00A530A5" w:rsidRPr="00637729" w:rsidRDefault="00A530A5" w:rsidP="00A530A5">
      <w:pPr>
        <w:numPr>
          <w:ilvl w:val="0"/>
          <w:numId w:val="21"/>
        </w:numPr>
        <w:spacing w:before="100" w:beforeAutospacing="1" w:after="100" w:afterAutospacing="1"/>
        <w:rPr>
          <w:szCs w:val="22"/>
          <w:lang w:val="en-US" w:eastAsia="en-GB"/>
        </w:rPr>
      </w:pPr>
      <w:r w:rsidRPr="00637729">
        <w:rPr>
          <w:szCs w:val="22"/>
          <w:lang w:val="en-US" w:eastAsia="en-GB"/>
        </w:rPr>
        <w:t xml:space="preserve">The ICES Working Group on Integrated Ecosystem Assessments (WG-ICA) is a multi-disciplinary group working on the Ecosystem Approach to Management in the Central Arctic Ocean (Jørgensen, 2025). Although differences exist between the two polar regions, the Arctic also hosts ice-dependent flora and fauna, prone to climate change, and has a wide range of human activities. This working group has some central key objectives that could inspire an overarching framework for assessing cumulative impacts in the Antarctic. Material from ICES that may be relevant include: </w:t>
      </w:r>
    </w:p>
    <w:p w14:paraId="6BAB5316" w14:textId="77777777" w:rsidR="00A530A5" w:rsidRPr="00637729" w:rsidRDefault="00A530A5" w:rsidP="00A530A5">
      <w:pPr>
        <w:numPr>
          <w:ilvl w:val="1"/>
          <w:numId w:val="21"/>
        </w:numPr>
        <w:spacing w:before="100" w:beforeAutospacing="1" w:after="100" w:afterAutospacing="1"/>
        <w:rPr>
          <w:szCs w:val="22"/>
          <w:lang w:val="en-US" w:eastAsia="en-GB"/>
        </w:rPr>
      </w:pPr>
      <w:r w:rsidRPr="00637729">
        <w:rPr>
          <w:szCs w:val="22"/>
          <w:lang w:val="en-US" w:eastAsia="en-GB"/>
        </w:rPr>
        <w:t>A technical guideline for Ecosystem Overview has been provided by ICES (ICES, 2023) and applications can be found for the Central Arctic Ocean ecoregion (ICES, 2021).</w:t>
      </w:r>
    </w:p>
    <w:p w14:paraId="269F658F" w14:textId="77777777" w:rsidR="00A530A5" w:rsidRPr="00637729" w:rsidRDefault="00A530A5" w:rsidP="00A530A5">
      <w:pPr>
        <w:numPr>
          <w:ilvl w:val="1"/>
          <w:numId w:val="21"/>
        </w:numPr>
        <w:spacing w:before="100" w:beforeAutospacing="1" w:after="100" w:afterAutospacing="1"/>
        <w:rPr>
          <w:szCs w:val="22"/>
          <w:lang w:val="en-US" w:eastAsia="en-GB"/>
        </w:rPr>
      </w:pPr>
      <w:r w:rsidRPr="00637729">
        <w:rPr>
          <w:szCs w:val="22"/>
          <w:lang w:val="en-US" w:eastAsia="en-GB"/>
        </w:rPr>
        <w:t xml:space="preserve">ICES. 2023. ICES Ecosystem Overviews Technical Guidelines. Version 4. ICES Guidelines and Policies - Advice Technical Guidelines. 24 pp. </w:t>
      </w:r>
      <w:hyperlink r:id="rId12">
        <w:r w:rsidRPr="00637729">
          <w:rPr>
            <w:rStyle w:val="Hipervnculo"/>
            <w:szCs w:val="22"/>
            <w:lang w:val="en-US" w:eastAsia="en-GB"/>
          </w:rPr>
          <w:t>https://doi.org/10.17895/ices.pub.22059803</w:t>
        </w:r>
      </w:hyperlink>
      <w:r w:rsidRPr="00637729">
        <w:rPr>
          <w:szCs w:val="22"/>
          <w:lang w:eastAsia="en-GB"/>
        </w:rPr>
        <w:t xml:space="preserve"> </w:t>
      </w:r>
    </w:p>
    <w:p w14:paraId="4C07EE73" w14:textId="77777777" w:rsidR="00A530A5" w:rsidRPr="00637729" w:rsidRDefault="00A530A5" w:rsidP="00A530A5">
      <w:pPr>
        <w:numPr>
          <w:ilvl w:val="1"/>
          <w:numId w:val="21"/>
        </w:numPr>
        <w:spacing w:before="100" w:beforeAutospacing="1" w:after="100" w:afterAutospacing="1"/>
        <w:rPr>
          <w:szCs w:val="22"/>
          <w:lang w:val="en-US" w:eastAsia="en-GB"/>
        </w:rPr>
      </w:pPr>
      <w:r w:rsidRPr="00637729">
        <w:rPr>
          <w:szCs w:val="22"/>
          <w:lang w:val="en-US" w:eastAsia="en-GB"/>
        </w:rPr>
        <w:t xml:space="preserve">ICES. 2021. Central Arctic Ocean ecoregion – Ecosystem Overview. In Report of the ICES Advisory Committee, 2021. ICES Advice 2021, Section 2.1. </w:t>
      </w:r>
      <w:hyperlink r:id="rId13">
        <w:r w:rsidRPr="00637729">
          <w:rPr>
            <w:rStyle w:val="Hipervnculo"/>
            <w:szCs w:val="22"/>
            <w:lang w:val="en-US" w:eastAsia="en-GB"/>
          </w:rPr>
          <w:t>https://doi.org/10.17895/ices.advice.9420</w:t>
        </w:r>
      </w:hyperlink>
      <w:r w:rsidRPr="00637729">
        <w:rPr>
          <w:szCs w:val="22"/>
          <w:lang w:eastAsia="en-GB"/>
        </w:rPr>
        <w:t xml:space="preserve"> </w:t>
      </w:r>
    </w:p>
    <w:p w14:paraId="675380E6" w14:textId="77777777" w:rsidR="00A530A5" w:rsidRPr="00637729" w:rsidRDefault="00A530A5" w:rsidP="00A530A5">
      <w:pPr>
        <w:numPr>
          <w:ilvl w:val="1"/>
          <w:numId w:val="21"/>
        </w:numPr>
        <w:spacing w:before="100" w:beforeAutospacing="1" w:after="100" w:afterAutospacing="1"/>
        <w:rPr>
          <w:szCs w:val="22"/>
          <w:lang w:val="en-US" w:eastAsia="en-GB"/>
        </w:rPr>
      </w:pPr>
      <w:r w:rsidRPr="00637729">
        <w:rPr>
          <w:szCs w:val="22"/>
          <w:lang w:val="en-US" w:eastAsia="en-GB"/>
        </w:rPr>
        <w:t xml:space="preserve">Jørgensen, L. L. (ed.). 2025. Ecosystem assessment of the Central Arctic Ocean: Description of human activities, its pressures, and vulnerability of the ecosystem. ICES Cooperative Research Reports Vol. 361. 223 pp. </w:t>
      </w:r>
      <w:hyperlink r:id="rId14">
        <w:r w:rsidRPr="00637729">
          <w:rPr>
            <w:rStyle w:val="Hipervnculo"/>
            <w:szCs w:val="22"/>
            <w:lang w:val="en-US" w:eastAsia="en-GB"/>
          </w:rPr>
          <w:t>https://doi.org/10.17895/ices.pub.30540437</w:t>
        </w:r>
      </w:hyperlink>
      <w:r w:rsidRPr="00637729">
        <w:rPr>
          <w:szCs w:val="22"/>
          <w:lang w:eastAsia="en-GB"/>
        </w:rPr>
        <w:t xml:space="preserve"> </w:t>
      </w:r>
    </w:p>
    <w:p w14:paraId="0984F091" w14:textId="77777777" w:rsidR="00A530A5" w:rsidRPr="00637729" w:rsidRDefault="00A530A5" w:rsidP="00A530A5">
      <w:pPr>
        <w:numPr>
          <w:ilvl w:val="0"/>
          <w:numId w:val="21"/>
        </w:numPr>
        <w:spacing w:before="100" w:beforeAutospacing="1" w:after="100" w:afterAutospacing="1"/>
        <w:rPr>
          <w:szCs w:val="22"/>
          <w:lang w:eastAsia="en-GB"/>
        </w:rPr>
      </w:pPr>
      <w:r w:rsidRPr="00637729">
        <w:rPr>
          <w:szCs w:val="22"/>
          <w:lang w:eastAsia="en-GB"/>
        </w:rPr>
        <w:t xml:space="preserve">The Australian Government developed a high-level technical summary of a report that was provided to the Marine Biodiversity Hub on Guidelines for the analysis of cumulative impacts and risk to the Great Barrier Reef. (This report is available on the forum). While this report is focused on the Great Barrier Reef, it contains valuable information which may assist in the development of similar guidelines or approaches for the Antarctic.  These guidelines include a </w:t>
      </w:r>
      <w:proofErr w:type="gramStart"/>
      <w:r w:rsidRPr="00637729">
        <w:rPr>
          <w:szCs w:val="22"/>
          <w:lang w:eastAsia="en-GB"/>
        </w:rPr>
        <w:t>5 step</w:t>
      </w:r>
      <w:proofErr w:type="gramEnd"/>
      <w:r w:rsidRPr="00637729">
        <w:rPr>
          <w:szCs w:val="22"/>
          <w:lang w:eastAsia="en-GB"/>
        </w:rPr>
        <w:t xml:space="preserve"> process which describe Step 1: Understanding Pressures; Step 2: Understanding values; Step 3: Conceptual modes of key habitats; Step 4: Zones of influence; Step 5: Risk assessment and uncertainty.</w:t>
      </w:r>
    </w:p>
    <w:p w14:paraId="4A839345" w14:textId="77777777" w:rsidR="00CF4CC5" w:rsidRDefault="00CF4CC5" w:rsidP="00952E9F"/>
    <w:sectPr w:rsidR="00CF4CC5" w:rsidSect="00283F0F">
      <w:headerReference w:type="default" r:id="rId15"/>
      <w:footerReference w:type="default" r:id="rId16"/>
      <w:type w:val="oddPage"/>
      <w:pgSz w:w="11907" w:h="16840"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C726B" w14:textId="77777777" w:rsidR="001C34D9" w:rsidRDefault="001C34D9">
      <w:r>
        <w:separator/>
      </w:r>
    </w:p>
  </w:endnote>
  <w:endnote w:type="continuationSeparator" w:id="0">
    <w:p w14:paraId="3FB61DC0" w14:textId="77777777" w:rsidR="001C34D9" w:rsidRDefault="001C3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7D92F" w14:textId="77777777" w:rsidR="00CF4CC5" w:rsidRDefault="00CF4CC5" w:rsidP="00CF5C82">
    <w:pPr>
      <w:framePr w:wrap="around" w:vAnchor="text" w:hAnchor="margin" w:xAlign="right" w:y="1"/>
    </w:pPr>
    <w:r>
      <w:fldChar w:fldCharType="begin"/>
    </w:r>
    <w:r>
      <w:instrText xml:space="preserve">PAGE  </w:instrText>
    </w:r>
    <w:r w:rsidR="001C34D9">
      <w:fldChar w:fldCharType="separate"/>
    </w:r>
    <w:r>
      <w:fldChar w:fldCharType="end"/>
    </w:r>
  </w:p>
  <w:p w14:paraId="5523CCCC" w14:textId="77777777" w:rsidR="00CF4CC5" w:rsidRDefault="00CF4CC5" w:rsidP="00FA0B9F">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BFC58" w14:textId="77777777" w:rsidR="00CF4CC5" w:rsidRDefault="00CF4CC5" w:rsidP="00CF5C82">
    <w:pPr>
      <w:framePr w:wrap="around" w:vAnchor="text" w:hAnchor="margin" w:xAlign="right" w:y="1"/>
    </w:pPr>
    <w:r>
      <w:fldChar w:fldCharType="begin"/>
    </w:r>
    <w:r>
      <w:instrText xml:space="preserve">PAGE  </w:instrText>
    </w:r>
    <w:r>
      <w:fldChar w:fldCharType="separate"/>
    </w:r>
    <w:r>
      <w:rPr>
        <w:noProof/>
      </w:rPr>
      <w:t>1</w:t>
    </w:r>
    <w:r>
      <w:fldChar w:fldCharType="end"/>
    </w:r>
  </w:p>
  <w:p w14:paraId="1A8C9CB4" w14:textId="206B0FBC" w:rsidR="00CF4CC5" w:rsidRDefault="00CF4CC5" w:rsidP="00A530A5">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E3D83" w14:textId="77777777" w:rsidR="00CF4CC5" w:rsidRDefault="00CF4CC5" w:rsidP="00CF5C82">
    <w:pPr>
      <w:framePr w:wrap="around" w:vAnchor="text" w:hAnchor="margin" w:xAlign="right" w:y="1"/>
    </w:pPr>
    <w:r>
      <w:fldChar w:fldCharType="begin"/>
    </w:r>
    <w:r>
      <w:instrText xml:space="preserve">PAGE  </w:instrText>
    </w:r>
    <w:r>
      <w:fldChar w:fldCharType="separate"/>
    </w:r>
    <w:r>
      <w:rPr>
        <w:noProof/>
      </w:rPr>
      <w:t>3</w:t>
    </w:r>
    <w:r>
      <w:fldChar w:fldCharType="end"/>
    </w:r>
  </w:p>
  <w:p w14:paraId="744A94C4" w14:textId="77777777" w:rsidR="00CF4CC5" w:rsidRDefault="00CF4CC5" w:rsidP="00E311C9">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F800" w14:textId="77777777" w:rsidR="001C34D9" w:rsidRDefault="001C34D9">
      <w:r>
        <w:separator/>
      </w:r>
    </w:p>
  </w:footnote>
  <w:footnote w:type="continuationSeparator" w:id="0">
    <w:p w14:paraId="073CD1CF" w14:textId="77777777" w:rsidR="001C34D9" w:rsidRDefault="001C34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272" w:type="dxa"/>
      <w:jc w:val="center"/>
      <w:tblLook w:val="01E0" w:firstRow="1" w:lastRow="1" w:firstColumn="1" w:lastColumn="1" w:noHBand="0" w:noVBand="0"/>
    </w:tblPr>
    <w:tblGrid>
      <w:gridCol w:w="5495"/>
      <w:gridCol w:w="3005"/>
      <w:gridCol w:w="1248"/>
      <w:gridCol w:w="1134"/>
      <w:gridCol w:w="390"/>
    </w:tblGrid>
    <w:tr w:rsidR="00424E74" w14:paraId="77C9C966" w14:textId="77777777" w:rsidTr="002E12EC">
      <w:trPr>
        <w:trHeight w:val="344"/>
        <w:jc w:val="center"/>
      </w:trPr>
      <w:tc>
        <w:tcPr>
          <w:tcW w:w="5495" w:type="dxa"/>
        </w:tcPr>
        <w:p w14:paraId="0E8FCC7F" w14:textId="77777777" w:rsidR="00CF4CC5" w:rsidRDefault="00CF4CC5" w:rsidP="00F968D4">
          <w:bookmarkStart w:id="2" w:name="_Hlk218605822"/>
        </w:p>
      </w:tc>
      <w:tc>
        <w:tcPr>
          <w:tcW w:w="4253" w:type="dxa"/>
          <w:gridSpan w:val="2"/>
        </w:tcPr>
        <w:p w14:paraId="3DA4E733" w14:textId="77777777" w:rsidR="00CF4CC5" w:rsidRPr="00BD47E4" w:rsidRDefault="00CF4CC5" w:rsidP="002A07BC">
          <w:pPr>
            <w:jc w:val="right"/>
            <w:rPr>
              <w:b/>
              <w:sz w:val="32"/>
              <w:szCs w:val="32"/>
            </w:rPr>
          </w:pPr>
          <w:bookmarkStart w:id="3" w:name="type"/>
          <w:r w:rsidRPr="00BD47E4">
            <w:rPr>
              <w:b/>
              <w:sz w:val="32"/>
              <w:szCs w:val="32"/>
            </w:rPr>
            <w:t>WP</w:t>
          </w:r>
          <w:bookmarkEnd w:id="3"/>
        </w:p>
      </w:tc>
      <w:tc>
        <w:tcPr>
          <w:tcW w:w="1524" w:type="dxa"/>
          <w:gridSpan w:val="2"/>
        </w:tcPr>
        <w:p w14:paraId="7A4658CE" w14:textId="4AAF7F0D" w:rsidR="00CF4CC5" w:rsidRPr="00BD47E4" w:rsidRDefault="00CF4CC5" w:rsidP="00DB7C09">
          <w:pPr>
            <w:rPr>
              <w:b/>
              <w:sz w:val="32"/>
              <w:szCs w:val="32"/>
            </w:rPr>
          </w:pPr>
          <w:bookmarkStart w:id="4" w:name="number"/>
          <w:r w:rsidRPr="00BD47E4">
            <w:rPr>
              <w:b/>
              <w:sz w:val="32"/>
              <w:szCs w:val="32"/>
            </w:rPr>
            <w:t>4</w:t>
          </w:r>
          <w:bookmarkEnd w:id="4"/>
          <w:r w:rsidR="00274CB3">
            <w:rPr>
              <w:b/>
              <w:sz w:val="32"/>
              <w:szCs w:val="32"/>
            </w:rPr>
            <w:t>0</w:t>
          </w:r>
        </w:p>
      </w:tc>
    </w:tr>
    <w:tr w:rsidR="00424E74" w14:paraId="286483A8" w14:textId="77777777" w:rsidTr="002E12EC">
      <w:trPr>
        <w:trHeight w:val="2165"/>
        <w:jc w:val="center"/>
      </w:trPr>
      <w:tc>
        <w:tcPr>
          <w:tcW w:w="5495" w:type="dxa"/>
        </w:tcPr>
        <w:p w14:paraId="134043EC" w14:textId="77777777" w:rsidR="00CF4CC5" w:rsidRPr="00EE4D48" w:rsidRDefault="00CF4CC5" w:rsidP="002A07BC">
          <w:pPr>
            <w:rPr>
              <w:b/>
              <w:sz w:val="28"/>
              <w:szCs w:val="28"/>
            </w:rPr>
          </w:pPr>
          <w:r>
            <w:rPr>
              <w:b/>
              <w:noProof/>
              <w:sz w:val="28"/>
              <w:szCs w:val="28"/>
            </w:rPr>
            <w:drawing>
              <wp:anchor distT="0" distB="0" distL="114300" distR="114300" simplePos="0" relativeHeight="251658240" behindDoc="1" locked="0" layoutInCell="1" allowOverlap="1" wp14:anchorId="6977C750" wp14:editId="33264425">
                <wp:simplePos x="0" y="0"/>
                <wp:positionH relativeFrom="column">
                  <wp:posOffset>0</wp:posOffset>
                </wp:positionH>
                <wp:positionV relativeFrom="paragraph">
                  <wp:posOffset>3810</wp:posOffset>
                </wp:positionV>
                <wp:extent cx="3218688" cy="1839250"/>
                <wp:effectExtent l="0" t="0" r="1270" b="8890"/>
                <wp:wrapNone/>
                <wp:docPr id="203257775"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376962" name="Imagen 1" descr="Imagen que contiene 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3242528" cy="1852873"/>
                        </a:xfrm>
                        <a:prstGeom prst="rect">
                          <a:avLst/>
                        </a:prstGeom>
                      </pic:spPr>
                    </pic:pic>
                  </a:graphicData>
                </a:graphic>
                <wp14:sizeRelH relativeFrom="margin">
                  <wp14:pctWidth>0</wp14:pctWidth>
                </wp14:sizeRelH>
                <wp14:sizeRelV relativeFrom="margin">
                  <wp14:pctHeight>0</wp14:pctHeight>
                </wp14:sizeRelV>
              </wp:anchor>
            </w:drawing>
          </w:r>
        </w:p>
      </w:tc>
      <w:tc>
        <w:tcPr>
          <w:tcW w:w="5777" w:type="dxa"/>
          <w:gridSpan w:val="4"/>
          <w:vAlign w:val="center"/>
        </w:tcPr>
        <w:p w14:paraId="237A5D93" w14:textId="77777777" w:rsidR="00CF4CC5" w:rsidRPr="00FE5146" w:rsidRDefault="00CF4CC5" w:rsidP="00490760">
          <w:pPr>
            <w:jc w:val="right"/>
            <w:rPr>
              <w:sz w:val="144"/>
              <w:szCs w:val="144"/>
            </w:rPr>
          </w:pPr>
          <w:r w:rsidRPr="00FE5146">
            <w:rPr>
              <w:sz w:val="144"/>
              <w:szCs w:val="144"/>
            </w:rPr>
            <w:t>ENG</w:t>
          </w:r>
        </w:p>
      </w:tc>
    </w:tr>
    <w:tr w:rsidR="00424E74" w14:paraId="7C30FA47" w14:textId="77777777" w:rsidTr="002E12EC">
      <w:trPr>
        <w:trHeight w:val="409"/>
        <w:jc w:val="center"/>
      </w:trPr>
      <w:tc>
        <w:tcPr>
          <w:tcW w:w="8500" w:type="dxa"/>
          <w:gridSpan w:val="2"/>
        </w:tcPr>
        <w:p w14:paraId="331B80CD" w14:textId="77777777" w:rsidR="00CF4CC5" w:rsidRDefault="00CF4CC5" w:rsidP="002C30DA">
          <w:pPr>
            <w:jc w:val="right"/>
          </w:pPr>
          <w:r>
            <w:t>Agenda Item:</w:t>
          </w:r>
        </w:p>
      </w:tc>
      <w:tc>
        <w:tcPr>
          <w:tcW w:w="2382" w:type="dxa"/>
          <w:gridSpan w:val="2"/>
        </w:tcPr>
        <w:p w14:paraId="4128F7DD" w14:textId="77777777" w:rsidR="00CF4CC5" w:rsidRDefault="00CF4CC5" w:rsidP="002C30DA">
          <w:pPr>
            <w:jc w:val="right"/>
          </w:pPr>
          <w:bookmarkStart w:id="5" w:name="agenda"/>
          <w:r>
            <w:t>CEP 5b</w:t>
          </w:r>
          <w:bookmarkEnd w:id="5"/>
        </w:p>
      </w:tc>
      <w:tc>
        <w:tcPr>
          <w:tcW w:w="390" w:type="dxa"/>
        </w:tcPr>
        <w:p w14:paraId="5BB9A663" w14:textId="77777777" w:rsidR="00CF4CC5" w:rsidRDefault="00CF4CC5" w:rsidP="00387A65">
          <w:pPr>
            <w:jc w:val="right"/>
          </w:pPr>
        </w:p>
      </w:tc>
    </w:tr>
    <w:tr w:rsidR="00424E74" w14:paraId="61F3254B" w14:textId="77777777" w:rsidTr="002E12EC">
      <w:trPr>
        <w:trHeight w:val="397"/>
        <w:jc w:val="center"/>
      </w:trPr>
      <w:tc>
        <w:tcPr>
          <w:tcW w:w="8500" w:type="dxa"/>
          <w:gridSpan w:val="2"/>
        </w:tcPr>
        <w:p w14:paraId="7DFE7F95" w14:textId="77777777" w:rsidR="00CF4CC5" w:rsidRDefault="00CF4CC5" w:rsidP="002C30DA">
          <w:pPr>
            <w:jc w:val="right"/>
          </w:pPr>
          <w:r>
            <w:t>Presented by:</w:t>
          </w:r>
        </w:p>
      </w:tc>
      <w:tc>
        <w:tcPr>
          <w:tcW w:w="2382" w:type="dxa"/>
          <w:gridSpan w:val="2"/>
        </w:tcPr>
        <w:p w14:paraId="277178D5" w14:textId="77777777" w:rsidR="00CF4CC5" w:rsidRDefault="00CF4CC5" w:rsidP="002C30DA">
          <w:pPr>
            <w:jc w:val="right"/>
          </w:pPr>
          <w:bookmarkStart w:id="6" w:name="party"/>
          <w:r>
            <w:t>United Kingdom</w:t>
          </w:r>
          <w:bookmarkEnd w:id="6"/>
        </w:p>
      </w:tc>
      <w:tc>
        <w:tcPr>
          <w:tcW w:w="390" w:type="dxa"/>
        </w:tcPr>
        <w:p w14:paraId="4735470A" w14:textId="77777777" w:rsidR="00CF4CC5" w:rsidRDefault="00CF4CC5" w:rsidP="00387A65">
          <w:pPr>
            <w:jc w:val="right"/>
          </w:pPr>
        </w:p>
      </w:tc>
    </w:tr>
    <w:tr w:rsidR="00424E74" w14:paraId="580B058A" w14:textId="77777777" w:rsidTr="002E12EC">
      <w:trPr>
        <w:trHeight w:val="409"/>
        <w:jc w:val="center"/>
      </w:trPr>
      <w:tc>
        <w:tcPr>
          <w:tcW w:w="8500" w:type="dxa"/>
          <w:gridSpan w:val="2"/>
        </w:tcPr>
        <w:p w14:paraId="47EAA635" w14:textId="77777777" w:rsidR="00CF4CC5" w:rsidRDefault="00CF4CC5" w:rsidP="002C30DA">
          <w:pPr>
            <w:jc w:val="right"/>
          </w:pPr>
          <w:r>
            <w:t>Original:</w:t>
          </w:r>
        </w:p>
      </w:tc>
      <w:tc>
        <w:tcPr>
          <w:tcW w:w="2382" w:type="dxa"/>
          <w:gridSpan w:val="2"/>
        </w:tcPr>
        <w:p w14:paraId="0FF711AE" w14:textId="77777777" w:rsidR="00CF4CC5" w:rsidRDefault="00CF4CC5" w:rsidP="002C30DA">
          <w:pPr>
            <w:jc w:val="right"/>
          </w:pPr>
          <w:bookmarkStart w:id="7" w:name="language"/>
          <w:r>
            <w:t>English</w:t>
          </w:r>
          <w:bookmarkEnd w:id="7"/>
        </w:p>
      </w:tc>
      <w:tc>
        <w:tcPr>
          <w:tcW w:w="390" w:type="dxa"/>
        </w:tcPr>
        <w:p w14:paraId="146DEC32" w14:textId="77777777" w:rsidR="00CF4CC5" w:rsidRDefault="00CF4CC5" w:rsidP="00387A65">
          <w:pPr>
            <w:jc w:val="right"/>
          </w:pPr>
        </w:p>
      </w:tc>
    </w:tr>
    <w:tr w:rsidR="00424E74" w14:paraId="0FC9AC60" w14:textId="77777777" w:rsidTr="002E12EC">
      <w:trPr>
        <w:trHeight w:val="409"/>
        <w:jc w:val="center"/>
      </w:trPr>
      <w:tc>
        <w:tcPr>
          <w:tcW w:w="8500" w:type="dxa"/>
          <w:gridSpan w:val="2"/>
        </w:tcPr>
        <w:p w14:paraId="39E074FF" w14:textId="77777777" w:rsidR="00CF4CC5" w:rsidRDefault="00CF4CC5" w:rsidP="0002555C">
          <w:pPr>
            <w:jc w:val="right"/>
          </w:pPr>
          <w:r>
            <w:t>Submitted:</w:t>
          </w:r>
        </w:p>
      </w:tc>
      <w:tc>
        <w:tcPr>
          <w:tcW w:w="2382" w:type="dxa"/>
          <w:gridSpan w:val="2"/>
        </w:tcPr>
        <w:p w14:paraId="72F529C2" w14:textId="77777777" w:rsidR="00CF4CC5" w:rsidRDefault="00CF4CC5" w:rsidP="0002555C">
          <w:pPr>
            <w:jc w:val="right"/>
          </w:pPr>
          <w:bookmarkStart w:id="8" w:name="date_submission"/>
          <w:r>
            <w:t>27 Mar 2026</w:t>
          </w:r>
          <w:bookmarkEnd w:id="8"/>
        </w:p>
      </w:tc>
      <w:tc>
        <w:tcPr>
          <w:tcW w:w="390" w:type="dxa"/>
        </w:tcPr>
        <w:p w14:paraId="424FF07C" w14:textId="77777777" w:rsidR="00CF4CC5" w:rsidRDefault="00CF4CC5" w:rsidP="0002555C">
          <w:pPr>
            <w:jc w:val="right"/>
          </w:pPr>
        </w:p>
      </w:tc>
    </w:tr>
    <w:tr w:rsidR="00424E74" w14:paraId="61D3C971" w14:textId="77777777" w:rsidTr="0002555C">
      <w:trPr>
        <w:trHeight w:val="409"/>
        <w:jc w:val="center"/>
      </w:trPr>
      <w:tc>
        <w:tcPr>
          <w:tcW w:w="8500" w:type="dxa"/>
          <w:gridSpan w:val="2"/>
        </w:tcPr>
        <w:p w14:paraId="46E6A4DC" w14:textId="77777777" w:rsidR="00CF4CC5" w:rsidRDefault="00CF4CC5" w:rsidP="0002555C">
          <w:pPr>
            <w:jc w:val="right"/>
          </w:pPr>
          <w:r>
            <w:t>Revision:</w:t>
          </w:r>
        </w:p>
      </w:tc>
      <w:tc>
        <w:tcPr>
          <w:tcW w:w="2382" w:type="dxa"/>
          <w:gridSpan w:val="2"/>
        </w:tcPr>
        <w:p w14:paraId="194F586D" w14:textId="77777777" w:rsidR="00CF4CC5" w:rsidRDefault="00CF4CC5" w:rsidP="0002555C">
          <w:pPr>
            <w:jc w:val="right"/>
          </w:pPr>
          <w:bookmarkStart w:id="9" w:name="date_revision"/>
          <w:r>
            <w:t>---</w:t>
          </w:r>
          <w:bookmarkEnd w:id="9"/>
        </w:p>
      </w:tc>
      <w:tc>
        <w:tcPr>
          <w:tcW w:w="390" w:type="dxa"/>
        </w:tcPr>
        <w:p w14:paraId="14001289" w14:textId="77777777" w:rsidR="00CF4CC5" w:rsidRDefault="00CF4CC5" w:rsidP="0002555C">
          <w:pPr>
            <w:jc w:val="right"/>
          </w:pPr>
        </w:p>
      </w:tc>
    </w:tr>
    <w:bookmarkEnd w:id="2"/>
  </w:tbl>
  <w:p w14:paraId="14E3CC52" w14:textId="77777777" w:rsidR="00CF4CC5" w:rsidRDefault="00CF4CC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26" w:type="dxa"/>
      <w:jc w:val="center"/>
      <w:tblLook w:val="01E0" w:firstRow="1" w:lastRow="1" w:firstColumn="1" w:lastColumn="1" w:noHBand="0" w:noVBand="0"/>
    </w:tblPr>
    <w:tblGrid>
      <w:gridCol w:w="9694"/>
      <w:gridCol w:w="1332"/>
    </w:tblGrid>
    <w:tr w:rsidR="00424E74" w14:paraId="26353903" w14:textId="77777777">
      <w:trPr>
        <w:trHeight w:val="354"/>
        <w:jc w:val="center"/>
      </w:trPr>
      <w:tc>
        <w:tcPr>
          <w:tcW w:w="9694" w:type="dxa"/>
        </w:tcPr>
        <w:p w14:paraId="0145E7AD" w14:textId="554C49C3" w:rsidR="00CF4CC5" w:rsidRPr="00BD47E4" w:rsidRDefault="00A530A5" w:rsidP="00C26F2D">
          <w:pPr>
            <w:jc w:val="right"/>
            <w:rPr>
              <w:b/>
              <w:sz w:val="32"/>
              <w:szCs w:val="32"/>
            </w:rPr>
          </w:pPr>
          <w:r>
            <w:rPr>
              <w:b/>
              <w:sz w:val="32"/>
              <w:szCs w:val="32"/>
            </w:rPr>
            <w:t>WP</w:t>
          </w:r>
        </w:p>
      </w:tc>
      <w:tc>
        <w:tcPr>
          <w:tcW w:w="1332" w:type="dxa"/>
        </w:tcPr>
        <w:p w14:paraId="71D57D4F" w14:textId="418E1781" w:rsidR="00CF4CC5" w:rsidRPr="00BD47E4" w:rsidRDefault="00A530A5" w:rsidP="00080F4C">
          <w:pPr>
            <w:rPr>
              <w:b/>
              <w:sz w:val="32"/>
              <w:szCs w:val="32"/>
            </w:rPr>
          </w:pPr>
          <w:r>
            <w:rPr>
              <w:b/>
              <w:sz w:val="32"/>
              <w:szCs w:val="32"/>
            </w:rPr>
            <w:t>4</w:t>
          </w:r>
          <w:r w:rsidR="00274CB3">
            <w:rPr>
              <w:b/>
              <w:sz w:val="32"/>
              <w:szCs w:val="32"/>
            </w:rPr>
            <w:t>0</w:t>
          </w:r>
        </w:p>
      </w:tc>
    </w:tr>
  </w:tbl>
  <w:p w14:paraId="62D8EA1A" w14:textId="77777777" w:rsidR="00CF4CC5" w:rsidRDefault="00CF4CC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044987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E0EC73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EB63ED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9D2F98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114CC6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E141F9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0DA27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982BAE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A6C13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DCC038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F94657"/>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64452E8"/>
    <w:multiLevelType w:val="multilevel"/>
    <w:tmpl w:val="C9E256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C75814"/>
    <w:multiLevelType w:val="multilevel"/>
    <w:tmpl w:val="FB6863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6577EA"/>
    <w:multiLevelType w:val="hybridMultilevel"/>
    <w:tmpl w:val="21A63D98"/>
    <w:lvl w:ilvl="0" w:tplc="2D1E6586">
      <w:start w:val="1"/>
      <w:numFmt w:val="bullet"/>
      <w:pStyle w:val="ATSBullet1"/>
      <w:lvlText w:val=""/>
      <w:lvlJc w:val="left"/>
      <w:pPr>
        <w:tabs>
          <w:tab w:val="num" w:pos="360"/>
        </w:tabs>
        <w:ind w:left="360" w:hanging="360"/>
      </w:pPr>
      <w:rPr>
        <w:rFonts w:ascii="Symbol" w:hAnsi="Symbol" w:hint="default"/>
        <w:color w:val="auto"/>
      </w:rPr>
    </w:lvl>
    <w:lvl w:ilvl="1" w:tplc="52808B8A" w:tentative="1">
      <w:start w:val="1"/>
      <w:numFmt w:val="bullet"/>
      <w:lvlText w:val="o"/>
      <w:lvlJc w:val="left"/>
      <w:pPr>
        <w:tabs>
          <w:tab w:val="num" w:pos="1440"/>
        </w:tabs>
        <w:ind w:left="1440" w:hanging="360"/>
      </w:pPr>
      <w:rPr>
        <w:rFonts w:ascii="Courier New" w:hAnsi="Courier New" w:cs="Courier New" w:hint="default"/>
      </w:rPr>
    </w:lvl>
    <w:lvl w:ilvl="2" w:tplc="ADF64220" w:tentative="1">
      <w:start w:val="1"/>
      <w:numFmt w:val="bullet"/>
      <w:lvlText w:val=""/>
      <w:lvlJc w:val="left"/>
      <w:pPr>
        <w:tabs>
          <w:tab w:val="num" w:pos="2160"/>
        </w:tabs>
        <w:ind w:left="2160" w:hanging="360"/>
      </w:pPr>
      <w:rPr>
        <w:rFonts w:ascii="Wingdings" w:hAnsi="Wingdings" w:hint="default"/>
      </w:rPr>
    </w:lvl>
    <w:lvl w:ilvl="3" w:tplc="120826AC" w:tentative="1">
      <w:start w:val="1"/>
      <w:numFmt w:val="bullet"/>
      <w:lvlText w:val=""/>
      <w:lvlJc w:val="left"/>
      <w:pPr>
        <w:tabs>
          <w:tab w:val="num" w:pos="2880"/>
        </w:tabs>
        <w:ind w:left="2880" w:hanging="360"/>
      </w:pPr>
      <w:rPr>
        <w:rFonts w:ascii="Symbol" w:hAnsi="Symbol" w:hint="default"/>
      </w:rPr>
    </w:lvl>
    <w:lvl w:ilvl="4" w:tplc="DC88E950" w:tentative="1">
      <w:start w:val="1"/>
      <w:numFmt w:val="bullet"/>
      <w:lvlText w:val="o"/>
      <w:lvlJc w:val="left"/>
      <w:pPr>
        <w:tabs>
          <w:tab w:val="num" w:pos="3600"/>
        </w:tabs>
        <w:ind w:left="3600" w:hanging="360"/>
      </w:pPr>
      <w:rPr>
        <w:rFonts w:ascii="Courier New" w:hAnsi="Courier New" w:cs="Courier New" w:hint="default"/>
      </w:rPr>
    </w:lvl>
    <w:lvl w:ilvl="5" w:tplc="21ECAE44" w:tentative="1">
      <w:start w:val="1"/>
      <w:numFmt w:val="bullet"/>
      <w:lvlText w:val=""/>
      <w:lvlJc w:val="left"/>
      <w:pPr>
        <w:tabs>
          <w:tab w:val="num" w:pos="4320"/>
        </w:tabs>
        <w:ind w:left="4320" w:hanging="360"/>
      </w:pPr>
      <w:rPr>
        <w:rFonts w:ascii="Wingdings" w:hAnsi="Wingdings" w:hint="default"/>
      </w:rPr>
    </w:lvl>
    <w:lvl w:ilvl="6" w:tplc="DC6A931A" w:tentative="1">
      <w:start w:val="1"/>
      <w:numFmt w:val="bullet"/>
      <w:lvlText w:val=""/>
      <w:lvlJc w:val="left"/>
      <w:pPr>
        <w:tabs>
          <w:tab w:val="num" w:pos="5040"/>
        </w:tabs>
        <w:ind w:left="5040" w:hanging="360"/>
      </w:pPr>
      <w:rPr>
        <w:rFonts w:ascii="Symbol" w:hAnsi="Symbol" w:hint="default"/>
      </w:rPr>
    </w:lvl>
    <w:lvl w:ilvl="7" w:tplc="F3F6EAEE" w:tentative="1">
      <w:start w:val="1"/>
      <w:numFmt w:val="bullet"/>
      <w:lvlText w:val="o"/>
      <w:lvlJc w:val="left"/>
      <w:pPr>
        <w:tabs>
          <w:tab w:val="num" w:pos="5760"/>
        </w:tabs>
        <w:ind w:left="5760" w:hanging="360"/>
      </w:pPr>
      <w:rPr>
        <w:rFonts w:ascii="Courier New" w:hAnsi="Courier New" w:cs="Courier New" w:hint="default"/>
      </w:rPr>
    </w:lvl>
    <w:lvl w:ilvl="8" w:tplc="6FA48AC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A63E8B"/>
    <w:multiLevelType w:val="multilevel"/>
    <w:tmpl w:val="FB6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610769"/>
    <w:multiLevelType w:val="hybridMultilevel"/>
    <w:tmpl w:val="FB3859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6E82063"/>
    <w:multiLevelType w:val="multilevel"/>
    <w:tmpl w:val="FB6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721989"/>
    <w:multiLevelType w:val="hybridMultilevel"/>
    <w:tmpl w:val="901CE77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 w15:restartNumberingAfterBreak="0">
    <w:nsid w:val="444F5170"/>
    <w:multiLevelType w:val="multilevel"/>
    <w:tmpl w:val="FB6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536BE4"/>
    <w:multiLevelType w:val="hybridMultilevel"/>
    <w:tmpl w:val="8194934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4BA4590"/>
    <w:multiLevelType w:val="multilevel"/>
    <w:tmpl w:val="FB6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D35C15"/>
    <w:multiLevelType w:val="hybridMultilevel"/>
    <w:tmpl w:val="A8A2E45C"/>
    <w:lvl w:ilvl="0" w:tplc="1CF8A05E">
      <w:start w:val="1"/>
      <w:numFmt w:val="decimal"/>
      <w:lvlText w:val="%1)"/>
      <w:lvlJc w:val="left"/>
      <w:pPr>
        <w:tabs>
          <w:tab w:val="num" w:pos="340"/>
        </w:tabs>
        <w:ind w:left="340" w:hanging="340"/>
      </w:pPr>
      <w:rPr>
        <w:rFonts w:hint="default"/>
      </w:rPr>
    </w:lvl>
    <w:lvl w:ilvl="1" w:tplc="E84E9256" w:tentative="1">
      <w:start w:val="1"/>
      <w:numFmt w:val="lowerLetter"/>
      <w:lvlText w:val="%2."/>
      <w:lvlJc w:val="left"/>
      <w:pPr>
        <w:tabs>
          <w:tab w:val="num" w:pos="1440"/>
        </w:tabs>
        <w:ind w:left="1440" w:hanging="360"/>
      </w:pPr>
    </w:lvl>
    <w:lvl w:ilvl="2" w:tplc="693A31AE" w:tentative="1">
      <w:start w:val="1"/>
      <w:numFmt w:val="lowerRoman"/>
      <w:lvlText w:val="%3."/>
      <w:lvlJc w:val="right"/>
      <w:pPr>
        <w:tabs>
          <w:tab w:val="num" w:pos="2160"/>
        </w:tabs>
        <w:ind w:left="2160" w:hanging="180"/>
      </w:pPr>
    </w:lvl>
    <w:lvl w:ilvl="3" w:tplc="6254C85E" w:tentative="1">
      <w:start w:val="1"/>
      <w:numFmt w:val="decimal"/>
      <w:lvlText w:val="%4."/>
      <w:lvlJc w:val="left"/>
      <w:pPr>
        <w:tabs>
          <w:tab w:val="num" w:pos="2880"/>
        </w:tabs>
        <w:ind w:left="2880" w:hanging="360"/>
      </w:pPr>
    </w:lvl>
    <w:lvl w:ilvl="4" w:tplc="65BEAF3E" w:tentative="1">
      <w:start w:val="1"/>
      <w:numFmt w:val="lowerLetter"/>
      <w:lvlText w:val="%5."/>
      <w:lvlJc w:val="left"/>
      <w:pPr>
        <w:tabs>
          <w:tab w:val="num" w:pos="3600"/>
        </w:tabs>
        <w:ind w:left="3600" w:hanging="360"/>
      </w:pPr>
    </w:lvl>
    <w:lvl w:ilvl="5" w:tplc="641ABE04" w:tentative="1">
      <w:start w:val="1"/>
      <w:numFmt w:val="lowerRoman"/>
      <w:lvlText w:val="%6."/>
      <w:lvlJc w:val="right"/>
      <w:pPr>
        <w:tabs>
          <w:tab w:val="num" w:pos="4320"/>
        </w:tabs>
        <w:ind w:left="4320" w:hanging="180"/>
      </w:pPr>
    </w:lvl>
    <w:lvl w:ilvl="6" w:tplc="184A1F0A" w:tentative="1">
      <w:start w:val="1"/>
      <w:numFmt w:val="decimal"/>
      <w:lvlText w:val="%7."/>
      <w:lvlJc w:val="left"/>
      <w:pPr>
        <w:tabs>
          <w:tab w:val="num" w:pos="5040"/>
        </w:tabs>
        <w:ind w:left="5040" w:hanging="360"/>
      </w:pPr>
    </w:lvl>
    <w:lvl w:ilvl="7" w:tplc="3800D0DC" w:tentative="1">
      <w:start w:val="1"/>
      <w:numFmt w:val="lowerLetter"/>
      <w:lvlText w:val="%8."/>
      <w:lvlJc w:val="left"/>
      <w:pPr>
        <w:tabs>
          <w:tab w:val="num" w:pos="5760"/>
        </w:tabs>
        <w:ind w:left="5760" w:hanging="360"/>
      </w:pPr>
    </w:lvl>
    <w:lvl w:ilvl="8" w:tplc="0AD04734" w:tentative="1">
      <w:start w:val="1"/>
      <w:numFmt w:val="lowerRoman"/>
      <w:lvlText w:val="%9."/>
      <w:lvlJc w:val="right"/>
      <w:pPr>
        <w:tabs>
          <w:tab w:val="num" w:pos="6480"/>
        </w:tabs>
        <w:ind w:left="6480" w:hanging="180"/>
      </w:pPr>
    </w:lvl>
  </w:abstractNum>
  <w:abstractNum w:abstractNumId="22" w15:restartNumberingAfterBreak="0">
    <w:nsid w:val="4B8C6E42"/>
    <w:multiLevelType w:val="multilevel"/>
    <w:tmpl w:val="FB6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A701FB"/>
    <w:multiLevelType w:val="multilevel"/>
    <w:tmpl w:val="FB6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E70D17"/>
    <w:multiLevelType w:val="multilevel"/>
    <w:tmpl w:val="FB6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F9137C"/>
    <w:multiLevelType w:val="hybridMultilevel"/>
    <w:tmpl w:val="9628FF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9A2161"/>
    <w:multiLevelType w:val="multilevel"/>
    <w:tmpl w:val="FB6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FD1E49"/>
    <w:multiLevelType w:val="multilevel"/>
    <w:tmpl w:val="FB6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2F3AFA"/>
    <w:multiLevelType w:val="hybridMultilevel"/>
    <w:tmpl w:val="9DF09BE6"/>
    <w:lvl w:ilvl="0" w:tplc="9CF86114">
      <w:start w:val="1"/>
      <w:numFmt w:val="decimal"/>
      <w:lvlText w:val="%1."/>
      <w:lvlJc w:val="left"/>
      <w:pPr>
        <w:tabs>
          <w:tab w:val="num" w:pos="1057"/>
        </w:tabs>
        <w:ind w:left="1057" w:hanging="360"/>
      </w:pPr>
      <w:rPr>
        <w:rFonts w:hint="default"/>
      </w:rPr>
    </w:lvl>
    <w:lvl w:ilvl="1" w:tplc="BD84226E" w:tentative="1">
      <w:start w:val="1"/>
      <w:numFmt w:val="lowerLetter"/>
      <w:lvlText w:val="%2."/>
      <w:lvlJc w:val="left"/>
      <w:pPr>
        <w:tabs>
          <w:tab w:val="num" w:pos="2137"/>
        </w:tabs>
        <w:ind w:left="2137" w:hanging="360"/>
      </w:pPr>
    </w:lvl>
    <w:lvl w:ilvl="2" w:tplc="1E5C1804" w:tentative="1">
      <w:start w:val="1"/>
      <w:numFmt w:val="lowerRoman"/>
      <w:lvlText w:val="%3."/>
      <w:lvlJc w:val="right"/>
      <w:pPr>
        <w:tabs>
          <w:tab w:val="num" w:pos="2857"/>
        </w:tabs>
        <w:ind w:left="2857" w:hanging="180"/>
      </w:pPr>
    </w:lvl>
    <w:lvl w:ilvl="3" w:tplc="BCF0E6EC" w:tentative="1">
      <w:start w:val="1"/>
      <w:numFmt w:val="decimal"/>
      <w:lvlText w:val="%4."/>
      <w:lvlJc w:val="left"/>
      <w:pPr>
        <w:tabs>
          <w:tab w:val="num" w:pos="3577"/>
        </w:tabs>
        <w:ind w:left="3577" w:hanging="360"/>
      </w:pPr>
    </w:lvl>
    <w:lvl w:ilvl="4" w:tplc="A1FEFA0A" w:tentative="1">
      <w:start w:val="1"/>
      <w:numFmt w:val="lowerLetter"/>
      <w:lvlText w:val="%5."/>
      <w:lvlJc w:val="left"/>
      <w:pPr>
        <w:tabs>
          <w:tab w:val="num" w:pos="4297"/>
        </w:tabs>
        <w:ind w:left="4297" w:hanging="360"/>
      </w:pPr>
    </w:lvl>
    <w:lvl w:ilvl="5" w:tplc="E06E77F6" w:tentative="1">
      <w:start w:val="1"/>
      <w:numFmt w:val="lowerRoman"/>
      <w:lvlText w:val="%6."/>
      <w:lvlJc w:val="right"/>
      <w:pPr>
        <w:tabs>
          <w:tab w:val="num" w:pos="5017"/>
        </w:tabs>
        <w:ind w:left="5017" w:hanging="180"/>
      </w:pPr>
    </w:lvl>
    <w:lvl w:ilvl="6" w:tplc="AC281818" w:tentative="1">
      <w:start w:val="1"/>
      <w:numFmt w:val="decimal"/>
      <w:lvlText w:val="%7."/>
      <w:lvlJc w:val="left"/>
      <w:pPr>
        <w:tabs>
          <w:tab w:val="num" w:pos="5737"/>
        </w:tabs>
        <w:ind w:left="5737" w:hanging="360"/>
      </w:pPr>
    </w:lvl>
    <w:lvl w:ilvl="7" w:tplc="B8A64F22" w:tentative="1">
      <w:start w:val="1"/>
      <w:numFmt w:val="lowerLetter"/>
      <w:lvlText w:val="%8."/>
      <w:lvlJc w:val="left"/>
      <w:pPr>
        <w:tabs>
          <w:tab w:val="num" w:pos="6457"/>
        </w:tabs>
        <w:ind w:left="6457" w:hanging="360"/>
      </w:pPr>
    </w:lvl>
    <w:lvl w:ilvl="8" w:tplc="64520ACC" w:tentative="1">
      <w:start w:val="1"/>
      <w:numFmt w:val="lowerRoman"/>
      <w:lvlText w:val="%9."/>
      <w:lvlJc w:val="right"/>
      <w:pPr>
        <w:tabs>
          <w:tab w:val="num" w:pos="7177"/>
        </w:tabs>
        <w:ind w:left="7177" w:hanging="180"/>
      </w:pPr>
    </w:lvl>
  </w:abstractNum>
  <w:abstractNum w:abstractNumId="29" w15:restartNumberingAfterBreak="0">
    <w:nsid w:val="6C972E2A"/>
    <w:multiLevelType w:val="multilevel"/>
    <w:tmpl w:val="FB6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12657C"/>
    <w:multiLevelType w:val="hybridMultilevel"/>
    <w:tmpl w:val="0A8E2A84"/>
    <w:lvl w:ilvl="0" w:tplc="D9B48D1C">
      <w:start w:val="1"/>
      <w:numFmt w:val="decimal"/>
      <w:pStyle w:val="ATSNumber1"/>
      <w:lvlText w:val="%1)"/>
      <w:lvlJc w:val="left"/>
      <w:pPr>
        <w:tabs>
          <w:tab w:val="num" w:pos="720"/>
        </w:tabs>
        <w:ind w:left="720" w:hanging="360"/>
      </w:pPr>
    </w:lvl>
    <w:lvl w:ilvl="1" w:tplc="E8CC7B84" w:tentative="1">
      <w:start w:val="1"/>
      <w:numFmt w:val="lowerLetter"/>
      <w:lvlText w:val="%2."/>
      <w:lvlJc w:val="left"/>
      <w:pPr>
        <w:tabs>
          <w:tab w:val="num" w:pos="1440"/>
        </w:tabs>
        <w:ind w:left="1440" w:hanging="360"/>
      </w:pPr>
    </w:lvl>
    <w:lvl w:ilvl="2" w:tplc="E3A84A7A" w:tentative="1">
      <w:start w:val="1"/>
      <w:numFmt w:val="lowerRoman"/>
      <w:lvlText w:val="%3."/>
      <w:lvlJc w:val="right"/>
      <w:pPr>
        <w:tabs>
          <w:tab w:val="num" w:pos="2160"/>
        </w:tabs>
        <w:ind w:left="2160" w:hanging="180"/>
      </w:pPr>
    </w:lvl>
    <w:lvl w:ilvl="3" w:tplc="8EC8087C" w:tentative="1">
      <w:start w:val="1"/>
      <w:numFmt w:val="decimal"/>
      <w:lvlText w:val="%4."/>
      <w:lvlJc w:val="left"/>
      <w:pPr>
        <w:tabs>
          <w:tab w:val="num" w:pos="2880"/>
        </w:tabs>
        <w:ind w:left="2880" w:hanging="360"/>
      </w:pPr>
    </w:lvl>
    <w:lvl w:ilvl="4" w:tplc="026676A8" w:tentative="1">
      <w:start w:val="1"/>
      <w:numFmt w:val="lowerLetter"/>
      <w:lvlText w:val="%5."/>
      <w:lvlJc w:val="left"/>
      <w:pPr>
        <w:tabs>
          <w:tab w:val="num" w:pos="3600"/>
        </w:tabs>
        <w:ind w:left="3600" w:hanging="360"/>
      </w:pPr>
    </w:lvl>
    <w:lvl w:ilvl="5" w:tplc="662C31F8" w:tentative="1">
      <w:start w:val="1"/>
      <w:numFmt w:val="lowerRoman"/>
      <w:lvlText w:val="%6."/>
      <w:lvlJc w:val="right"/>
      <w:pPr>
        <w:tabs>
          <w:tab w:val="num" w:pos="4320"/>
        </w:tabs>
        <w:ind w:left="4320" w:hanging="180"/>
      </w:pPr>
    </w:lvl>
    <w:lvl w:ilvl="6" w:tplc="42D0BC52" w:tentative="1">
      <w:start w:val="1"/>
      <w:numFmt w:val="decimal"/>
      <w:lvlText w:val="%7."/>
      <w:lvlJc w:val="left"/>
      <w:pPr>
        <w:tabs>
          <w:tab w:val="num" w:pos="5040"/>
        </w:tabs>
        <w:ind w:left="5040" w:hanging="360"/>
      </w:pPr>
    </w:lvl>
    <w:lvl w:ilvl="7" w:tplc="2A985012" w:tentative="1">
      <w:start w:val="1"/>
      <w:numFmt w:val="lowerLetter"/>
      <w:lvlText w:val="%8."/>
      <w:lvlJc w:val="left"/>
      <w:pPr>
        <w:tabs>
          <w:tab w:val="num" w:pos="5760"/>
        </w:tabs>
        <w:ind w:left="5760" w:hanging="360"/>
      </w:pPr>
    </w:lvl>
    <w:lvl w:ilvl="8" w:tplc="4CB40042" w:tentative="1">
      <w:start w:val="1"/>
      <w:numFmt w:val="lowerRoman"/>
      <w:lvlText w:val="%9."/>
      <w:lvlJc w:val="right"/>
      <w:pPr>
        <w:tabs>
          <w:tab w:val="num" w:pos="6480"/>
        </w:tabs>
        <w:ind w:left="6480" w:hanging="180"/>
      </w:pPr>
    </w:lvl>
  </w:abstractNum>
  <w:abstractNum w:abstractNumId="31" w15:restartNumberingAfterBreak="0">
    <w:nsid w:val="743D2161"/>
    <w:multiLevelType w:val="hybridMultilevel"/>
    <w:tmpl w:val="B0868D9E"/>
    <w:lvl w:ilvl="0" w:tplc="90C2E85C">
      <w:start w:val="1"/>
      <w:numFmt w:val="bullet"/>
      <w:pStyle w:val="ATSBullet2"/>
      <w:lvlText w:val="-"/>
      <w:lvlJc w:val="left"/>
      <w:pPr>
        <w:tabs>
          <w:tab w:val="num" w:pos="1080"/>
        </w:tabs>
        <w:ind w:left="1080" w:hanging="360"/>
      </w:pPr>
      <w:rPr>
        <w:rFonts w:ascii="Times New Roman" w:hAnsi="Times New Roman" w:cs="Times New Roman" w:hint="default"/>
        <w:color w:val="auto"/>
      </w:rPr>
    </w:lvl>
    <w:lvl w:ilvl="1" w:tplc="B1102C00" w:tentative="1">
      <w:start w:val="1"/>
      <w:numFmt w:val="bullet"/>
      <w:lvlText w:val="o"/>
      <w:lvlJc w:val="left"/>
      <w:pPr>
        <w:tabs>
          <w:tab w:val="num" w:pos="2517"/>
        </w:tabs>
        <w:ind w:left="2517" w:hanging="360"/>
      </w:pPr>
      <w:rPr>
        <w:rFonts w:ascii="Courier New" w:hAnsi="Courier New" w:cs="Courier New" w:hint="default"/>
      </w:rPr>
    </w:lvl>
    <w:lvl w:ilvl="2" w:tplc="6C4AE3AA" w:tentative="1">
      <w:start w:val="1"/>
      <w:numFmt w:val="bullet"/>
      <w:lvlText w:val=""/>
      <w:lvlJc w:val="left"/>
      <w:pPr>
        <w:tabs>
          <w:tab w:val="num" w:pos="3237"/>
        </w:tabs>
        <w:ind w:left="3237" w:hanging="360"/>
      </w:pPr>
      <w:rPr>
        <w:rFonts w:ascii="Wingdings" w:hAnsi="Wingdings" w:hint="default"/>
      </w:rPr>
    </w:lvl>
    <w:lvl w:ilvl="3" w:tplc="72688556" w:tentative="1">
      <w:start w:val="1"/>
      <w:numFmt w:val="bullet"/>
      <w:lvlText w:val=""/>
      <w:lvlJc w:val="left"/>
      <w:pPr>
        <w:tabs>
          <w:tab w:val="num" w:pos="3957"/>
        </w:tabs>
        <w:ind w:left="3957" w:hanging="360"/>
      </w:pPr>
      <w:rPr>
        <w:rFonts w:ascii="Symbol" w:hAnsi="Symbol" w:hint="default"/>
      </w:rPr>
    </w:lvl>
    <w:lvl w:ilvl="4" w:tplc="A9B05FF4" w:tentative="1">
      <w:start w:val="1"/>
      <w:numFmt w:val="bullet"/>
      <w:lvlText w:val="o"/>
      <w:lvlJc w:val="left"/>
      <w:pPr>
        <w:tabs>
          <w:tab w:val="num" w:pos="4677"/>
        </w:tabs>
        <w:ind w:left="4677" w:hanging="360"/>
      </w:pPr>
      <w:rPr>
        <w:rFonts w:ascii="Courier New" w:hAnsi="Courier New" w:cs="Courier New" w:hint="default"/>
      </w:rPr>
    </w:lvl>
    <w:lvl w:ilvl="5" w:tplc="9DF2E5C0" w:tentative="1">
      <w:start w:val="1"/>
      <w:numFmt w:val="bullet"/>
      <w:lvlText w:val=""/>
      <w:lvlJc w:val="left"/>
      <w:pPr>
        <w:tabs>
          <w:tab w:val="num" w:pos="5397"/>
        </w:tabs>
        <w:ind w:left="5397" w:hanging="360"/>
      </w:pPr>
      <w:rPr>
        <w:rFonts w:ascii="Wingdings" w:hAnsi="Wingdings" w:hint="default"/>
      </w:rPr>
    </w:lvl>
    <w:lvl w:ilvl="6" w:tplc="9F18D7F0" w:tentative="1">
      <w:start w:val="1"/>
      <w:numFmt w:val="bullet"/>
      <w:lvlText w:val=""/>
      <w:lvlJc w:val="left"/>
      <w:pPr>
        <w:tabs>
          <w:tab w:val="num" w:pos="6117"/>
        </w:tabs>
        <w:ind w:left="6117" w:hanging="360"/>
      </w:pPr>
      <w:rPr>
        <w:rFonts w:ascii="Symbol" w:hAnsi="Symbol" w:hint="default"/>
      </w:rPr>
    </w:lvl>
    <w:lvl w:ilvl="7" w:tplc="B61CC648" w:tentative="1">
      <w:start w:val="1"/>
      <w:numFmt w:val="bullet"/>
      <w:lvlText w:val="o"/>
      <w:lvlJc w:val="left"/>
      <w:pPr>
        <w:tabs>
          <w:tab w:val="num" w:pos="6837"/>
        </w:tabs>
        <w:ind w:left="6837" w:hanging="360"/>
      </w:pPr>
      <w:rPr>
        <w:rFonts w:ascii="Courier New" w:hAnsi="Courier New" w:cs="Courier New" w:hint="default"/>
      </w:rPr>
    </w:lvl>
    <w:lvl w:ilvl="8" w:tplc="399ED8C6" w:tentative="1">
      <w:start w:val="1"/>
      <w:numFmt w:val="bullet"/>
      <w:lvlText w:val=""/>
      <w:lvlJc w:val="left"/>
      <w:pPr>
        <w:tabs>
          <w:tab w:val="num" w:pos="7557"/>
        </w:tabs>
        <w:ind w:left="7557" w:hanging="360"/>
      </w:pPr>
      <w:rPr>
        <w:rFonts w:ascii="Wingdings" w:hAnsi="Wingdings" w:hint="default"/>
      </w:rPr>
    </w:lvl>
  </w:abstractNum>
  <w:abstractNum w:abstractNumId="32" w15:restartNumberingAfterBreak="0">
    <w:nsid w:val="74F826B8"/>
    <w:multiLevelType w:val="hybridMultilevel"/>
    <w:tmpl w:val="3EB06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53A7442"/>
    <w:multiLevelType w:val="multilevel"/>
    <w:tmpl w:val="C9E256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765E577B"/>
    <w:multiLevelType w:val="multilevel"/>
    <w:tmpl w:val="FB6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210306"/>
    <w:multiLevelType w:val="multilevel"/>
    <w:tmpl w:val="FB6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866FC0"/>
    <w:multiLevelType w:val="hybridMultilevel"/>
    <w:tmpl w:val="57EA2900"/>
    <w:lvl w:ilvl="0" w:tplc="EDFC5B42">
      <w:start w:val="1"/>
      <w:numFmt w:val="decimal"/>
      <w:pStyle w:val="ATSNumber2"/>
      <w:lvlText w:val="%1."/>
      <w:lvlJc w:val="left"/>
      <w:pPr>
        <w:tabs>
          <w:tab w:val="num" w:pos="720"/>
        </w:tabs>
        <w:ind w:left="720" w:hanging="360"/>
      </w:pPr>
      <w:rPr>
        <w:rFonts w:hint="default"/>
      </w:rPr>
    </w:lvl>
    <w:lvl w:ilvl="1" w:tplc="78C0D0D8" w:tentative="1">
      <w:start w:val="1"/>
      <w:numFmt w:val="lowerLetter"/>
      <w:lvlText w:val="%2."/>
      <w:lvlJc w:val="left"/>
      <w:pPr>
        <w:tabs>
          <w:tab w:val="num" w:pos="1440"/>
        </w:tabs>
        <w:ind w:left="1440" w:hanging="360"/>
      </w:pPr>
    </w:lvl>
    <w:lvl w:ilvl="2" w:tplc="7464AA90" w:tentative="1">
      <w:start w:val="1"/>
      <w:numFmt w:val="lowerRoman"/>
      <w:lvlText w:val="%3."/>
      <w:lvlJc w:val="right"/>
      <w:pPr>
        <w:tabs>
          <w:tab w:val="num" w:pos="2160"/>
        </w:tabs>
        <w:ind w:left="2160" w:hanging="180"/>
      </w:pPr>
    </w:lvl>
    <w:lvl w:ilvl="3" w:tplc="FDA434E0" w:tentative="1">
      <w:start w:val="1"/>
      <w:numFmt w:val="decimal"/>
      <w:lvlText w:val="%4."/>
      <w:lvlJc w:val="left"/>
      <w:pPr>
        <w:tabs>
          <w:tab w:val="num" w:pos="2880"/>
        </w:tabs>
        <w:ind w:left="2880" w:hanging="360"/>
      </w:pPr>
    </w:lvl>
    <w:lvl w:ilvl="4" w:tplc="EB72FDEE" w:tentative="1">
      <w:start w:val="1"/>
      <w:numFmt w:val="lowerLetter"/>
      <w:lvlText w:val="%5."/>
      <w:lvlJc w:val="left"/>
      <w:pPr>
        <w:tabs>
          <w:tab w:val="num" w:pos="3600"/>
        </w:tabs>
        <w:ind w:left="3600" w:hanging="360"/>
      </w:pPr>
    </w:lvl>
    <w:lvl w:ilvl="5" w:tplc="52A05686" w:tentative="1">
      <w:start w:val="1"/>
      <w:numFmt w:val="lowerRoman"/>
      <w:lvlText w:val="%6."/>
      <w:lvlJc w:val="right"/>
      <w:pPr>
        <w:tabs>
          <w:tab w:val="num" w:pos="4320"/>
        </w:tabs>
        <w:ind w:left="4320" w:hanging="180"/>
      </w:pPr>
    </w:lvl>
    <w:lvl w:ilvl="6" w:tplc="BC906624" w:tentative="1">
      <w:start w:val="1"/>
      <w:numFmt w:val="decimal"/>
      <w:lvlText w:val="%7."/>
      <w:lvlJc w:val="left"/>
      <w:pPr>
        <w:tabs>
          <w:tab w:val="num" w:pos="5040"/>
        </w:tabs>
        <w:ind w:left="5040" w:hanging="360"/>
      </w:pPr>
    </w:lvl>
    <w:lvl w:ilvl="7" w:tplc="F9862176" w:tentative="1">
      <w:start w:val="1"/>
      <w:numFmt w:val="lowerLetter"/>
      <w:lvlText w:val="%8."/>
      <w:lvlJc w:val="left"/>
      <w:pPr>
        <w:tabs>
          <w:tab w:val="num" w:pos="5760"/>
        </w:tabs>
        <w:ind w:left="5760" w:hanging="360"/>
      </w:pPr>
    </w:lvl>
    <w:lvl w:ilvl="8" w:tplc="EDD4723C" w:tentative="1">
      <w:start w:val="1"/>
      <w:numFmt w:val="lowerRoman"/>
      <w:lvlText w:val="%9."/>
      <w:lvlJc w:val="right"/>
      <w:pPr>
        <w:tabs>
          <w:tab w:val="num" w:pos="6480"/>
        </w:tabs>
        <w:ind w:left="6480" w:hanging="180"/>
      </w:pPr>
    </w:lvl>
  </w:abstractNum>
  <w:abstractNum w:abstractNumId="37" w15:restartNumberingAfterBreak="0">
    <w:nsid w:val="7D8D4CC7"/>
    <w:multiLevelType w:val="multilevel"/>
    <w:tmpl w:val="FB6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31"/>
  </w:num>
  <w:num w:numId="13">
    <w:abstractNumId w:val="30"/>
  </w:num>
  <w:num w:numId="14">
    <w:abstractNumId w:val="21"/>
  </w:num>
  <w:num w:numId="15">
    <w:abstractNumId w:val="28"/>
  </w:num>
  <w:num w:numId="16">
    <w:abstractNumId w:val="10"/>
  </w:num>
  <w:num w:numId="17">
    <w:abstractNumId w:val="13"/>
  </w:num>
  <w:num w:numId="18">
    <w:abstractNumId w:val="31"/>
  </w:num>
  <w:num w:numId="19">
    <w:abstractNumId w:val="30"/>
  </w:num>
  <w:num w:numId="20">
    <w:abstractNumId w:val="36"/>
  </w:num>
  <w:num w:numId="21">
    <w:abstractNumId w:val="25"/>
  </w:num>
  <w:num w:numId="22">
    <w:abstractNumId w:val="17"/>
  </w:num>
  <w:num w:numId="23">
    <w:abstractNumId w:val="15"/>
  </w:num>
  <w:num w:numId="24">
    <w:abstractNumId w:val="11"/>
  </w:num>
  <w:num w:numId="25">
    <w:abstractNumId w:val="23"/>
  </w:num>
  <w:num w:numId="26">
    <w:abstractNumId w:val="26"/>
  </w:num>
  <w:num w:numId="27">
    <w:abstractNumId w:val="37"/>
  </w:num>
  <w:num w:numId="28">
    <w:abstractNumId w:val="27"/>
  </w:num>
  <w:num w:numId="29">
    <w:abstractNumId w:val="16"/>
  </w:num>
  <w:num w:numId="30">
    <w:abstractNumId w:val="12"/>
  </w:num>
  <w:num w:numId="31">
    <w:abstractNumId w:val="14"/>
  </w:num>
  <w:num w:numId="32">
    <w:abstractNumId w:val="22"/>
  </w:num>
  <w:num w:numId="33">
    <w:abstractNumId w:val="34"/>
  </w:num>
  <w:num w:numId="34">
    <w:abstractNumId w:val="35"/>
  </w:num>
  <w:num w:numId="35">
    <w:abstractNumId w:val="24"/>
  </w:num>
  <w:num w:numId="36">
    <w:abstractNumId w:val="19"/>
  </w:num>
  <w:num w:numId="37">
    <w:abstractNumId w:val="29"/>
  </w:num>
  <w:num w:numId="38">
    <w:abstractNumId w:val="20"/>
  </w:num>
  <w:num w:numId="39">
    <w:abstractNumId w:val="18"/>
  </w:num>
  <w:num w:numId="40">
    <w:abstractNumId w:val="32"/>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E74"/>
    <w:rsid w:val="000131D7"/>
    <w:rsid w:val="001A0FF9"/>
    <w:rsid w:val="001C34D9"/>
    <w:rsid w:val="00274CB3"/>
    <w:rsid w:val="00424E74"/>
    <w:rsid w:val="00A530A5"/>
    <w:rsid w:val="00A625C5"/>
    <w:rsid w:val="00B321DF"/>
    <w:rsid w:val="00CF4CC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D8BE47"/>
  <w15:chartTrackingRefBased/>
  <w15:docId w15:val="{F126B047-3706-4551-B68C-DD17D6B05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0" w:defSemiHidden="0" w:defUnhideWhenUsed="0" w:defQFormat="0" w:count="376">
    <w:lsdException w:name="Normal" w:qFormat="1"/>
    <w:lsdException w:name="caption" w:semiHidden="1" w:unhideWhenUsed="1" w:qFormat="1"/>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89F"/>
    <w:rPr>
      <w:sz w:val="22"/>
      <w:szCs w:val="24"/>
      <w:lang w:val="en-GB" w:eastAsia="en-US"/>
    </w:rPr>
  </w:style>
  <w:style w:type="paragraph" w:styleId="Ttulo1">
    <w:name w:val="heading 1"/>
    <w:basedOn w:val="Normal"/>
    <w:next w:val="Normal"/>
    <w:rsid w:val="001B789F"/>
    <w:pPr>
      <w:keepNext/>
      <w:spacing w:before="180" w:after="360"/>
      <w:jc w:val="center"/>
      <w:outlineLvl w:val="0"/>
    </w:pPr>
    <w:rPr>
      <w:rFonts w:ascii="Arial" w:hAnsi="Arial"/>
      <w:b/>
      <w:kern w:val="28"/>
      <w:sz w:val="32"/>
      <w:szCs w:val="20"/>
    </w:rPr>
  </w:style>
  <w:style w:type="paragraph" w:styleId="Ttulo2">
    <w:name w:val="heading 2"/>
    <w:basedOn w:val="Normal"/>
    <w:next w:val="Normal"/>
    <w:rsid w:val="001B789F"/>
    <w:pPr>
      <w:keepNext/>
      <w:spacing w:before="120" w:after="240"/>
      <w:outlineLvl w:val="1"/>
    </w:pPr>
    <w:rPr>
      <w:b/>
      <w:i/>
      <w:sz w:val="28"/>
      <w:szCs w:val="20"/>
    </w:rPr>
  </w:style>
  <w:style w:type="paragraph" w:styleId="Ttulo3">
    <w:name w:val="heading 3"/>
    <w:basedOn w:val="Normal"/>
    <w:next w:val="Normal"/>
    <w:rsid w:val="001B789F"/>
    <w:pPr>
      <w:keepNext/>
      <w:spacing w:before="120" w:after="180"/>
      <w:outlineLvl w:val="2"/>
    </w:pPr>
    <w:rPr>
      <w:rFonts w:eastAsia="SimSun"/>
      <w:b/>
      <w:sz w:val="24"/>
      <w:szCs w:val="20"/>
      <w:lang w:eastAsia="zh-CN"/>
    </w:rPr>
  </w:style>
  <w:style w:type="paragraph" w:styleId="Ttulo4">
    <w:name w:val="heading 4"/>
    <w:basedOn w:val="Normal"/>
    <w:next w:val="Normal"/>
    <w:rsid w:val="001B789F"/>
    <w:pPr>
      <w:keepNext/>
      <w:spacing w:before="60" w:after="120"/>
      <w:outlineLvl w:val="3"/>
    </w:pPr>
    <w:rPr>
      <w:b/>
      <w:bCs/>
      <w:i/>
      <w:szCs w:val="28"/>
    </w:rPr>
  </w:style>
  <w:style w:type="paragraph" w:styleId="Ttulo5">
    <w:name w:val="heading 5"/>
    <w:basedOn w:val="Normal"/>
    <w:next w:val="Normal"/>
    <w:rsid w:val="001B789F"/>
    <w:pPr>
      <w:spacing w:before="240" w:after="60"/>
      <w:outlineLvl w:val="4"/>
    </w:pPr>
    <w:rPr>
      <w:b/>
      <w:bCs/>
      <w:i/>
      <w:iCs/>
      <w:sz w:val="26"/>
      <w:szCs w:val="26"/>
    </w:rPr>
  </w:style>
  <w:style w:type="paragraph" w:styleId="Ttulo6">
    <w:name w:val="heading 6"/>
    <w:basedOn w:val="Normal"/>
    <w:next w:val="Normal"/>
    <w:rsid w:val="001B789F"/>
    <w:pPr>
      <w:spacing w:before="240" w:after="60"/>
      <w:outlineLvl w:val="5"/>
    </w:pPr>
    <w:rPr>
      <w:b/>
      <w:bCs/>
      <w:szCs w:val="22"/>
    </w:rPr>
  </w:style>
  <w:style w:type="paragraph" w:styleId="Ttulo7">
    <w:name w:val="heading 7"/>
    <w:basedOn w:val="Normal"/>
    <w:next w:val="Normal"/>
    <w:rsid w:val="001B789F"/>
    <w:pPr>
      <w:spacing w:before="240" w:after="60"/>
      <w:outlineLvl w:val="6"/>
    </w:pPr>
    <w:rPr>
      <w:sz w:val="24"/>
    </w:rPr>
  </w:style>
  <w:style w:type="paragraph" w:styleId="Ttulo8">
    <w:name w:val="heading 8"/>
    <w:basedOn w:val="Normal"/>
    <w:next w:val="Normal"/>
    <w:rsid w:val="001B789F"/>
    <w:pPr>
      <w:spacing w:before="240" w:after="60"/>
      <w:outlineLvl w:val="7"/>
    </w:pPr>
    <w:rPr>
      <w:i/>
      <w:iCs/>
      <w:sz w:val="24"/>
    </w:rPr>
  </w:style>
  <w:style w:type="paragraph" w:styleId="Ttulo9">
    <w:name w:val="heading 9"/>
    <w:basedOn w:val="Normal"/>
    <w:next w:val="Normal"/>
    <w:rsid w:val="001B789F"/>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TSNormal">
    <w:name w:val="ATS Normal"/>
    <w:basedOn w:val="Normal"/>
    <w:qFormat/>
    <w:rsid w:val="001B789F"/>
    <w:pPr>
      <w:spacing w:before="120" w:after="120"/>
    </w:pPr>
    <w:rPr>
      <w:lang w:eastAsia="en-GB"/>
    </w:rPr>
  </w:style>
  <w:style w:type="paragraph" w:customStyle="1" w:styleId="ATSBullet1">
    <w:name w:val="ATS Bullet 1"/>
    <w:basedOn w:val="ATSNormal"/>
    <w:qFormat/>
    <w:rsid w:val="001B789F"/>
    <w:pPr>
      <w:numPr>
        <w:numId w:val="17"/>
      </w:numPr>
      <w:spacing w:before="60" w:after="0"/>
    </w:pPr>
  </w:style>
  <w:style w:type="paragraph" w:customStyle="1" w:styleId="ATSBullet2">
    <w:name w:val="ATS Bullet 2"/>
    <w:basedOn w:val="ATSNormal"/>
    <w:qFormat/>
    <w:rsid w:val="001B789F"/>
    <w:pPr>
      <w:numPr>
        <w:numId w:val="18"/>
      </w:numPr>
      <w:tabs>
        <w:tab w:val="left" w:pos="720"/>
      </w:tabs>
      <w:spacing w:before="60" w:after="0"/>
    </w:pPr>
  </w:style>
  <w:style w:type="paragraph" w:customStyle="1" w:styleId="ATSCompact">
    <w:name w:val="ATS Compact"/>
    <w:basedOn w:val="ATSNormal"/>
    <w:qFormat/>
    <w:rsid w:val="001B789F"/>
    <w:pPr>
      <w:spacing w:before="0" w:after="0"/>
    </w:pPr>
  </w:style>
  <w:style w:type="paragraph" w:customStyle="1" w:styleId="ATSHeading1">
    <w:name w:val="ATS Heading 1"/>
    <w:basedOn w:val="ATSNormal"/>
    <w:next w:val="ATSNormal"/>
    <w:qFormat/>
    <w:rsid w:val="001B789F"/>
    <w:pPr>
      <w:spacing w:before="360" w:after="360"/>
      <w:jc w:val="center"/>
    </w:pPr>
    <w:rPr>
      <w:rFonts w:ascii="Arial" w:hAnsi="Arial"/>
      <w:b/>
      <w:sz w:val="32"/>
    </w:rPr>
  </w:style>
  <w:style w:type="paragraph" w:customStyle="1" w:styleId="ATSHeading2">
    <w:name w:val="ATS Heading 2"/>
    <w:basedOn w:val="ATSNormal"/>
    <w:next w:val="ATSNormal"/>
    <w:link w:val="ATSHeading2Char"/>
    <w:qFormat/>
    <w:rsid w:val="001B789F"/>
    <w:pPr>
      <w:spacing w:before="480"/>
      <w:jc w:val="both"/>
    </w:pPr>
    <w:rPr>
      <w:rFonts w:ascii="Arial" w:hAnsi="Arial"/>
      <w:b/>
      <w:i/>
      <w:sz w:val="24"/>
      <w:szCs w:val="22"/>
    </w:rPr>
  </w:style>
  <w:style w:type="paragraph" w:customStyle="1" w:styleId="ATSHeading3">
    <w:name w:val="ATS Heading 3"/>
    <w:basedOn w:val="ATSNormal"/>
    <w:next w:val="ATSNormal"/>
    <w:qFormat/>
    <w:rsid w:val="001B789F"/>
    <w:pPr>
      <w:spacing w:before="240" w:after="60"/>
    </w:pPr>
    <w:rPr>
      <w:b/>
    </w:rPr>
  </w:style>
  <w:style w:type="paragraph" w:customStyle="1" w:styleId="ATSHeading4">
    <w:name w:val="ATS Heading 4"/>
    <w:basedOn w:val="ATSNormal"/>
    <w:next w:val="ATSNormal"/>
    <w:qFormat/>
    <w:rsid w:val="001B789F"/>
    <w:pPr>
      <w:spacing w:before="240" w:after="60"/>
    </w:pPr>
    <w:rPr>
      <w:i/>
    </w:rPr>
  </w:style>
  <w:style w:type="paragraph" w:customStyle="1" w:styleId="AtsNumber">
    <w:name w:val="Ats Number"/>
    <w:basedOn w:val="ATSNormal"/>
    <w:qFormat/>
    <w:rsid w:val="001B789F"/>
    <w:pPr>
      <w:spacing w:before="60" w:after="0"/>
    </w:pPr>
  </w:style>
  <w:style w:type="paragraph" w:customStyle="1" w:styleId="ATSNumber1">
    <w:name w:val="ATS Number 1"/>
    <w:basedOn w:val="ATSNormal"/>
    <w:qFormat/>
    <w:rsid w:val="001B789F"/>
    <w:pPr>
      <w:numPr>
        <w:numId w:val="19"/>
      </w:numPr>
      <w:spacing w:before="60" w:after="0"/>
    </w:pPr>
  </w:style>
  <w:style w:type="paragraph" w:customStyle="1" w:styleId="ATSNumber2">
    <w:name w:val="ATS Number 2"/>
    <w:basedOn w:val="ATSNormal"/>
    <w:autoRedefine/>
    <w:qFormat/>
    <w:rsid w:val="001B789F"/>
    <w:pPr>
      <w:numPr>
        <w:numId w:val="20"/>
      </w:numPr>
      <w:spacing w:after="0"/>
      <w:jc w:val="both"/>
    </w:pPr>
  </w:style>
  <w:style w:type="paragraph" w:customStyle="1" w:styleId="ATSQuote">
    <w:name w:val="ATS Quote"/>
    <w:basedOn w:val="Normal"/>
    <w:qFormat/>
    <w:rsid w:val="001B789F"/>
    <w:pPr>
      <w:ind w:left="357"/>
    </w:pPr>
    <w:rPr>
      <w:i/>
      <w:szCs w:val="18"/>
    </w:rPr>
  </w:style>
  <w:style w:type="paragraph" w:customStyle="1" w:styleId="ATSTitle">
    <w:name w:val="ATS Title"/>
    <w:basedOn w:val="Normal"/>
    <w:qFormat/>
    <w:rsid w:val="001B789F"/>
    <w:pPr>
      <w:spacing w:before="360" w:after="360"/>
      <w:contextualSpacing/>
      <w:jc w:val="center"/>
    </w:pPr>
    <w:rPr>
      <w:rFonts w:ascii="Arial" w:hAnsi="Arial"/>
      <w:b/>
      <w:sz w:val="48"/>
    </w:rPr>
  </w:style>
  <w:style w:type="paragraph" w:styleId="Textodeglobo">
    <w:name w:val="Balloon Text"/>
    <w:basedOn w:val="Normal"/>
    <w:semiHidden/>
    <w:rsid w:val="001B789F"/>
    <w:rPr>
      <w:rFonts w:ascii="Tahoma" w:hAnsi="Tahoma" w:cs="Tahoma"/>
      <w:sz w:val="16"/>
      <w:szCs w:val="16"/>
    </w:rPr>
  </w:style>
  <w:style w:type="character" w:customStyle="1" w:styleId="BodyTextChar">
    <w:name w:val="Body Text Char"/>
    <w:semiHidden/>
    <w:rsid w:val="001B789F"/>
    <w:rPr>
      <w:sz w:val="24"/>
      <w:szCs w:val="22"/>
      <w:lang w:val="en-US" w:eastAsia="zh-CN" w:bidi="ar-SA"/>
    </w:rPr>
  </w:style>
  <w:style w:type="character" w:customStyle="1" w:styleId="CharacterStyle1">
    <w:name w:val="Character Style 1"/>
    <w:semiHidden/>
    <w:rsid w:val="001B789F"/>
    <w:rPr>
      <w:sz w:val="22"/>
      <w:szCs w:val="22"/>
    </w:rPr>
  </w:style>
  <w:style w:type="character" w:customStyle="1" w:styleId="descriptions1">
    <w:name w:val="descriptions1"/>
    <w:semiHidden/>
    <w:rsid w:val="001B789F"/>
    <w:rPr>
      <w:rFonts w:ascii="Verdana" w:hAnsi="Verdana" w:hint="default"/>
      <w:b/>
      <w:bCs/>
      <w:i w:val="0"/>
      <w:iCs w:val="0"/>
      <w:caps w:val="0"/>
      <w:smallCaps w:val="0"/>
      <w:color w:val="585858"/>
      <w:sz w:val="12"/>
      <w:szCs w:val="12"/>
    </w:rPr>
  </w:style>
  <w:style w:type="paragraph" w:styleId="Mapadeldocumento">
    <w:name w:val="Document Map"/>
    <w:basedOn w:val="Normal"/>
    <w:semiHidden/>
    <w:rsid w:val="001B789F"/>
    <w:pPr>
      <w:shd w:val="clear" w:color="auto" w:fill="000080"/>
    </w:pPr>
    <w:rPr>
      <w:rFonts w:ascii="Tahoma" w:hAnsi="Tahoma" w:cs="Tahoma"/>
      <w:sz w:val="20"/>
      <w:szCs w:val="20"/>
    </w:rPr>
  </w:style>
  <w:style w:type="character" w:styleId="Refdenotaalfinal">
    <w:name w:val="endnote reference"/>
    <w:semiHidden/>
    <w:rsid w:val="001B789F"/>
    <w:rPr>
      <w:vertAlign w:val="superscript"/>
    </w:rPr>
  </w:style>
  <w:style w:type="paragraph" w:styleId="Textonotaalfinal">
    <w:name w:val="endnote text"/>
    <w:basedOn w:val="Normal"/>
    <w:semiHidden/>
    <w:rsid w:val="001B789F"/>
    <w:rPr>
      <w:sz w:val="20"/>
      <w:szCs w:val="20"/>
    </w:rPr>
  </w:style>
  <w:style w:type="character" w:styleId="Hipervnculovisitado">
    <w:name w:val="FollowedHyperlink"/>
    <w:semiHidden/>
    <w:rsid w:val="001B789F"/>
    <w:rPr>
      <w:color w:val="800080"/>
      <w:u w:val="single"/>
    </w:rPr>
  </w:style>
  <w:style w:type="paragraph" w:styleId="Piedepgina">
    <w:name w:val="footer"/>
    <w:basedOn w:val="Normal"/>
    <w:semiHidden/>
    <w:rsid w:val="001B789F"/>
    <w:pPr>
      <w:tabs>
        <w:tab w:val="center" w:pos="4419"/>
        <w:tab w:val="right" w:pos="8838"/>
      </w:tabs>
    </w:pPr>
  </w:style>
  <w:style w:type="character" w:styleId="Refdenotaalpie">
    <w:name w:val="footnote reference"/>
    <w:rsid w:val="001B789F"/>
    <w:rPr>
      <w:vertAlign w:val="superscript"/>
    </w:rPr>
  </w:style>
  <w:style w:type="paragraph" w:styleId="Textonotapie">
    <w:name w:val="footnote text"/>
    <w:basedOn w:val="Normal"/>
    <w:rsid w:val="001B789F"/>
    <w:rPr>
      <w:szCs w:val="22"/>
    </w:rPr>
  </w:style>
  <w:style w:type="paragraph" w:styleId="Encabezado">
    <w:name w:val="header"/>
    <w:basedOn w:val="Normal"/>
    <w:semiHidden/>
    <w:rsid w:val="001B789F"/>
    <w:pPr>
      <w:tabs>
        <w:tab w:val="center" w:pos="4419"/>
        <w:tab w:val="right" w:pos="8838"/>
      </w:tabs>
    </w:pPr>
  </w:style>
  <w:style w:type="character" w:styleId="Hipervnculo">
    <w:name w:val="Hyperlink"/>
    <w:uiPriority w:val="99"/>
    <w:rsid w:val="001B789F"/>
    <w:rPr>
      <w:color w:val="660000"/>
      <w:u w:val="single"/>
    </w:rPr>
  </w:style>
  <w:style w:type="paragraph" w:styleId="NormalWeb">
    <w:name w:val="Normal (Web)"/>
    <w:basedOn w:val="Normal"/>
    <w:semiHidden/>
    <w:rsid w:val="001B789F"/>
    <w:pPr>
      <w:spacing w:before="100" w:beforeAutospacing="1" w:after="100" w:afterAutospacing="1"/>
      <w:jc w:val="both"/>
    </w:pPr>
    <w:rPr>
      <w:sz w:val="24"/>
      <w:lang w:val="en-AU" w:eastAsia="en-AU"/>
    </w:rPr>
  </w:style>
  <w:style w:type="character" w:styleId="Nmerodepgina">
    <w:name w:val="page number"/>
    <w:basedOn w:val="Fuentedeprrafopredeter"/>
    <w:semiHidden/>
    <w:rsid w:val="001B789F"/>
  </w:style>
  <w:style w:type="character" w:styleId="Textoennegrita">
    <w:name w:val="Strong"/>
    <w:rsid w:val="001B789F"/>
    <w:rPr>
      <w:b/>
      <w:bCs/>
    </w:rPr>
  </w:style>
  <w:style w:type="table" w:styleId="Tablaconcuadrcula">
    <w:name w:val="Table Grid"/>
    <w:basedOn w:val="Tablanormal"/>
    <w:semiHidden/>
    <w:rsid w:val="001B7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1">
    <w:name w:val="tag1"/>
    <w:semiHidden/>
    <w:rsid w:val="001B789F"/>
    <w:rPr>
      <w:rFonts w:ascii="Verdana" w:hAnsi="Verdana" w:hint="default"/>
      <w:b w:val="0"/>
      <w:bCs w:val="0"/>
      <w:i w:val="0"/>
      <w:iCs w:val="0"/>
      <w:caps w:val="0"/>
      <w:smallCaps w:val="0"/>
      <w:strike w:val="0"/>
      <w:dstrike w:val="0"/>
      <w:color w:val="585858"/>
      <w:sz w:val="12"/>
      <w:szCs w:val="12"/>
      <w:u w:val="none"/>
      <w:effect w:val="none"/>
    </w:rPr>
  </w:style>
  <w:style w:type="paragraph" w:customStyle="1" w:styleId="TexteFr">
    <w:name w:val="TexteFr"/>
    <w:basedOn w:val="Normal"/>
    <w:semiHidden/>
    <w:rsid w:val="001B789F"/>
    <w:pPr>
      <w:pBdr>
        <w:top w:val="single" w:sz="4" w:space="1" w:color="auto"/>
        <w:left w:val="single" w:sz="4" w:space="4" w:color="auto"/>
        <w:bottom w:val="single" w:sz="4" w:space="1" w:color="auto"/>
        <w:right w:val="single" w:sz="4" w:space="4" w:color="auto"/>
      </w:pBdr>
      <w:shd w:val="pct10" w:color="000000" w:fill="auto"/>
      <w:tabs>
        <w:tab w:val="left" w:pos="1711"/>
        <w:tab w:val="left" w:pos="2209"/>
        <w:tab w:val="left" w:pos="2760"/>
        <w:tab w:val="left" w:pos="5101"/>
        <w:tab w:val="left" w:pos="5886"/>
        <w:tab w:val="left" w:pos="7128"/>
      </w:tabs>
      <w:ind w:left="272" w:hanging="272"/>
      <w:jc w:val="both"/>
    </w:pPr>
    <w:rPr>
      <w:szCs w:val="22"/>
      <w:lang w:val="fr-FR" w:eastAsia="en-AU"/>
    </w:rPr>
  </w:style>
  <w:style w:type="paragraph" w:customStyle="1" w:styleId="TextEn">
    <w:name w:val="TextEn"/>
    <w:basedOn w:val="Normal"/>
    <w:semiHidden/>
    <w:rsid w:val="001B789F"/>
    <w:pPr>
      <w:spacing w:after="120"/>
    </w:pPr>
    <w:rPr>
      <w:szCs w:val="22"/>
    </w:rPr>
  </w:style>
  <w:style w:type="paragraph" w:customStyle="1" w:styleId="TextEnSingle">
    <w:name w:val="TextEnSingle"/>
    <w:basedOn w:val="TextEn"/>
    <w:semiHidden/>
    <w:rsid w:val="001B789F"/>
    <w:pPr>
      <w:spacing w:after="0"/>
    </w:pPr>
  </w:style>
  <w:style w:type="paragraph" w:customStyle="1" w:styleId="TextSp">
    <w:name w:val="TextSp"/>
    <w:basedOn w:val="Normal"/>
    <w:semiHidden/>
    <w:rsid w:val="001B789F"/>
    <w:pPr>
      <w:spacing w:after="120"/>
    </w:pPr>
    <w:rPr>
      <w:szCs w:val="22"/>
      <w:lang w:val="es-AR" w:eastAsia="es-ES"/>
    </w:rPr>
  </w:style>
  <w:style w:type="paragraph" w:styleId="TDC1">
    <w:name w:val="toc 1"/>
    <w:basedOn w:val="Normal"/>
    <w:next w:val="Normal"/>
    <w:autoRedefine/>
    <w:semiHidden/>
    <w:rsid w:val="001B789F"/>
    <w:rPr>
      <w:b/>
      <w:bCs/>
      <w:i/>
      <w:iCs/>
      <w:sz w:val="24"/>
    </w:rPr>
  </w:style>
  <w:style w:type="paragraph" w:styleId="TDC2">
    <w:name w:val="toc 2"/>
    <w:basedOn w:val="Normal"/>
    <w:next w:val="Normal"/>
    <w:autoRedefine/>
    <w:semiHidden/>
    <w:rsid w:val="001B789F"/>
    <w:pPr>
      <w:ind w:left="220"/>
    </w:pPr>
    <w:rPr>
      <w:b/>
      <w:bCs/>
      <w:szCs w:val="22"/>
    </w:rPr>
  </w:style>
  <w:style w:type="paragraph" w:styleId="TDC3">
    <w:name w:val="toc 3"/>
    <w:basedOn w:val="Normal"/>
    <w:next w:val="Normal"/>
    <w:autoRedefine/>
    <w:semiHidden/>
    <w:rsid w:val="001B789F"/>
    <w:pPr>
      <w:ind w:left="440"/>
    </w:pPr>
    <w:rPr>
      <w:sz w:val="20"/>
      <w:szCs w:val="20"/>
    </w:rPr>
  </w:style>
  <w:style w:type="paragraph" w:styleId="TDC4">
    <w:name w:val="toc 4"/>
    <w:basedOn w:val="Normal"/>
    <w:next w:val="Normal"/>
    <w:autoRedefine/>
    <w:semiHidden/>
    <w:rsid w:val="001B789F"/>
    <w:pPr>
      <w:ind w:left="660"/>
    </w:pPr>
    <w:rPr>
      <w:sz w:val="20"/>
      <w:szCs w:val="20"/>
    </w:rPr>
  </w:style>
  <w:style w:type="paragraph" w:styleId="TDC5">
    <w:name w:val="toc 5"/>
    <w:basedOn w:val="Normal"/>
    <w:next w:val="Normal"/>
    <w:autoRedefine/>
    <w:semiHidden/>
    <w:rsid w:val="001B789F"/>
    <w:pPr>
      <w:ind w:left="880"/>
    </w:pPr>
    <w:rPr>
      <w:sz w:val="20"/>
      <w:szCs w:val="20"/>
    </w:rPr>
  </w:style>
  <w:style w:type="paragraph" w:styleId="TDC6">
    <w:name w:val="toc 6"/>
    <w:basedOn w:val="Normal"/>
    <w:next w:val="Normal"/>
    <w:autoRedefine/>
    <w:semiHidden/>
    <w:rsid w:val="001B789F"/>
    <w:pPr>
      <w:ind w:left="1100"/>
    </w:pPr>
    <w:rPr>
      <w:sz w:val="20"/>
      <w:szCs w:val="20"/>
    </w:rPr>
  </w:style>
  <w:style w:type="paragraph" w:styleId="TDC7">
    <w:name w:val="toc 7"/>
    <w:basedOn w:val="Normal"/>
    <w:next w:val="Normal"/>
    <w:autoRedefine/>
    <w:semiHidden/>
    <w:rsid w:val="001B789F"/>
    <w:pPr>
      <w:ind w:left="1320"/>
    </w:pPr>
    <w:rPr>
      <w:sz w:val="20"/>
      <w:szCs w:val="20"/>
    </w:rPr>
  </w:style>
  <w:style w:type="paragraph" w:styleId="TDC8">
    <w:name w:val="toc 8"/>
    <w:basedOn w:val="Normal"/>
    <w:next w:val="Normal"/>
    <w:autoRedefine/>
    <w:semiHidden/>
    <w:rsid w:val="001B789F"/>
    <w:pPr>
      <w:ind w:left="1540"/>
    </w:pPr>
    <w:rPr>
      <w:sz w:val="20"/>
      <w:szCs w:val="20"/>
    </w:rPr>
  </w:style>
  <w:style w:type="paragraph" w:styleId="TDC9">
    <w:name w:val="toc 9"/>
    <w:basedOn w:val="Normal"/>
    <w:next w:val="Normal"/>
    <w:autoRedefine/>
    <w:semiHidden/>
    <w:rsid w:val="001B789F"/>
    <w:pPr>
      <w:ind w:left="1760"/>
    </w:pPr>
    <w:rPr>
      <w:sz w:val="20"/>
      <w:szCs w:val="20"/>
    </w:rPr>
  </w:style>
  <w:style w:type="paragraph" w:customStyle="1" w:styleId="TytApp">
    <w:name w:val="Tyt. App."/>
    <w:basedOn w:val="Normal"/>
    <w:autoRedefine/>
    <w:semiHidden/>
    <w:rsid w:val="001B789F"/>
    <w:pPr>
      <w:widowControl w:val="0"/>
      <w:numPr>
        <w:ilvl w:val="12"/>
      </w:numPr>
      <w:tabs>
        <w:tab w:val="left" w:pos="90"/>
        <w:tab w:val="left" w:pos="737"/>
        <w:tab w:val="left" w:pos="2835"/>
      </w:tabs>
      <w:spacing w:before="180" w:after="40" w:line="260" w:lineRule="exact"/>
      <w:jc w:val="center"/>
    </w:pPr>
    <w:rPr>
      <w:b/>
      <w:snapToGrid w:val="0"/>
      <w:color w:val="000000"/>
      <w:sz w:val="24"/>
      <w:szCs w:val="20"/>
      <w:lang w:eastAsia="es-ES"/>
    </w:rPr>
  </w:style>
  <w:style w:type="paragraph" w:styleId="Prrafodelista">
    <w:name w:val="List Paragraph"/>
    <w:basedOn w:val="Normal"/>
    <w:uiPriority w:val="34"/>
    <w:rsid w:val="00BF077B"/>
    <w:pPr>
      <w:ind w:left="720"/>
    </w:pPr>
  </w:style>
  <w:style w:type="character" w:styleId="Ttulodellibro">
    <w:name w:val="Book Title"/>
    <w:uiPriority w:val="33"/>
    <w:rsid w:val="00BF077B"/>
    <w:rPr>
      <w:b/>
      <w:bCs/>
      <w:smallCaps/>
      <w:spacing w:val="5"/>
    </w:rPr>
  </w:style>
  <w:style w:type="paragraph" w:customStyle="1" w:styleId="ATSMeasureEmphasis">
    <w:name w:val="ATS Measure Emphasis"/>
    <w:basedOn w:val="Normal"/>
    <w:qFormat/>
    <w:rsid w:val="009E64FE"/>
    <w:pPr>
      <w:spacing w:before="120" w:after="360"/>
    </w:pPr>
    <w:rPr>
      <w:b/>
      <w:sz w:val="24"/>
      <w:lang w:eastAsia="en-GB"/>
    </w:rPr>
  </w:style>
  <w:style w:type="character" w:customStyle="1" w:styleId="ATSHeading2Char">
    <w:name w:val="ATS Heading 2 Char"/>
    <w:link w:val="ATSHeading2"/>
    <w:locked/>
    <w:rsid w:val="00A530A5"/>
    <w:rPr>
      <w:rFonts w:ascii="Arial" w:hAnsi="Arial"/>
      <w:b/>
      <w:i/>
      <w:sz w:val="24"/>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i.org/10.17895/ices.advice.94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7895/ices.pub.2205980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ew.officeapps.live.com/op/view.aspx?src=https%3A%2F%2Fdocuments.ats.aq%2FATCM40%2Fwp%2FATCM40_wp041_e.doc&amp;wdOrigin=BROWSELIN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7895/ices.pub.3054043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7D6A62-F981-4292-A123-1E093CC7E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5071</Words>
  <Characters>27892</Characters>
  <Application>Microsoft Office Word</Application>
  <DocSecurity>0</DocSecurity>
  <Lines>232</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(Paper title:)</vt:lpstr>
      <vt:lpstr>(Paper title:)</vt:lpstr>
    </vt:vector>
  </TitlesOfParts>
  <Company>ATS</Company>
  <LinksUpToDate>false</LinksUpToDate>
  <CharactersWithSpaces>32898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dc:title>
  <dc:creator>Mauro</dc:creator>
  <cp:lastModifiedBy>Lepe Zamora Rodrigo</cp:lastModifiedBy>
  <cp:revision>2</cp:revision>
  <cp:lastPrinted>2008-01-22T18:20:00Z</cp:lastPrinted>
  <dcterms:created xsi:type="dcterms:W3CDTF">2026-04-24T12:17:00Z</dcterms:created>
  <dcterms:modified xsi:type="dcterms:W3CDTF">2026-04-24T12:17:00Z</dcterms:modified>
</cp:coreProperties>
</file>