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Estudio de Caso: Claude Reyes y otros vs. Chile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Aspecto</w:t>
            </w:r>
          </w:p>
        </w:tc>
        <w:tc>
          <w:tcPr>
            <w:tcW w:type="dxa" w:w="4320"/>
          </w:tcPr>
          <w:p>
            <w:r>
              <w:t>Detalle</w:t>
            </w:r>
          </w:p>
        </w:tc>
      </w:tr>
      <w:tr>
        <w:tc>
          <w:tcPr>
            <w:tcW w:type="dxa" w:w="4320"/>
          </w:tcPr>
          <w:p>
            <w:r>
              <w:t>1. Nombre del caso:</w:t>
            </w:r>
          </w:p>
        </w:tc>
        <w:tc>
          <w:tcPr>
            <w:tcW w:type="dxa" w:w="4320"/>
          </w:tcPr>
          <w:p>
            <w:r>
              <w:t>Claude Reyes y otros vs. Chile</w:t>
            </w:r>
          </w:p>
        </w:tc>
      </w:tr>
      <w:tr>
        <w:tc>
          <w:tcPr>
            <w:tcW w:type="dxa" w:w="4320"/>
          </w:tcPr>
          <w:p>
            <w:r>
              <w:t>2. Tipo de Caso:</w:t>
            </w:r>
          </w:p>
        </w:tc>
        <w:tc>
          <w:tcPr>
            <w:tcW w:type="dxa" w:w="4320"/>
          </w:tcPr>
          <w:p>
            <w:r>
              <w:t>Acceso a la información pública, libertad de expresión y transparencia estatal.</w:t>
            </w:r>
          </w:p>
        </w:tc>
      </w:tr>
      <w:tr>
        <w:tc>
          <w:tcPr>
            <w:tcW w:type="dxa" w:w="4320"/>
          </w:tcPr>
          <w:p>
            <w:r>
              <w:t>3. Fecha de presentación del caso:</w:t>
            </w:r>
          </w:p>
        </w:tc>
        <w:tc>
          <w:tcPr>
            <w:tcW w:type="dxa" w:w="4320"/>
          </w:tcPr>
          <w:p>
            <w:r>
              <w:t>1998 (Comisión Interamericana de Derechos Humanos).</w:t>
            </w:r>
          </w:p>
        </w:tc>
      </w:tr>
      <w:tr>
        <w:tc>
          <w:tcPr>
            <w:tcW w:type="dxa" w:w="4320"/>
          </w:tcPr>
          <w:p>
            <w:r>
              <w:t>Fecha de resolución del caso:</w:t>
            </w:r>
          </w:p>
        </w:tc>
        <w:tc>
          <w:tcPr>
            <w:tcW w:type="dxa" w:w="4320"/>
          </w:tcPr>
          <w:p>
            <w:r>
              <w:t>19 de septiembre de 2006 (sentencia de la Corte Interamericana de Derechos Humanos).</w:t>
            </w:r>
          </w:p>
        </w:tc>
      </w:tr>
      <w:tr>
        <w:tc>
          <w:tcPr>
            <w:tcW w:type="dxa" w:w="4320"/>
          </w:tcPr>
          <w:p>
            <w:r>
              <w:t>4. Identificar de qué trató el caso:</w:t>
            </w:r>
          </w:p>
        </w:tc>
        <w:tc>
          <w:tcPr>
            <w:tcW w:type="dxa" w:w="4320"/>
          </w:tcPr>
          <w:p>
            <w:r>
              <w:t>El caso se originó cuando el Estado chileno negó a ONG y ciudadanos el acceso a información pública relativa a un proyecto de inversión forestal extranjero. Se alegó que esta negativa vulneró el derecho a la libertad de expresión en su dimensión de acceso a la información.</w:t>
            </w:r>
          </w:p>
        </w:tc>
      </w:tr>
      <w:tr>
        <w:tc>
          <w:tcPr>
            <w:tcW w:type="dxa" w:w="4320"/>
          </w:tcPr>
          <w:p>
            <w:r>
              <w:t>5. Descripción de los Hechos:</w:t>
            </w:r>
          </w:p>
        </w:tc>
        <w:tc>
          <w:tcPr>
            <w:tcW w:type="dxa" w:w="4320"/>
          </w:tcPr>
          <w:p>
            <w:r>
              <w:t>- En 1998, miembros de una ONG ambientalista solicitaron información a la Corporación Nacional Forestal (CONAF) sobre el proyecto de una empresa extranjera.</w:t>
              <w:br/>
              <w:t>- El Estado se negó a entregar la información.</w:t>
              <w:br/>
              <w:t>- La negativa fue llevada por los peticionarios ante la Comisión Interamericana.</w:t>
              <w:br/>
              <w:t>- La Comisión presentó el caso ante la Corte IDH en 2005.</w:t>
            </w:r>
          </w:p>
        </w:tc>
      </w:tr>
      <w:tr>
        <w:tc>
          <w:tcPr>
            <w:tcW w:type="dxa" w:w="4320"/>
          </w:tcPr>
          <w:p>
            <w:r>
              <w:t>6. Identificación completa y descripción de los Derechos Humanos vulnerados según la Declaración Universal de los Derechos Humanos de 1948:</w:t>
            </w:r>
          </w:p>
        </w:tc>
        <w:tc>
          <w:tcPr>
            <w:tcW w:type="dxa" w:w="4320"/>
          </w:tcPr>
          <w:p>
            <w:r>
              <w:t>- Artículo 19: Libertad de opinión y de expresión (incluye el derecho a investigar, recibir y difundir informaciones).</w:t>
              <w:br/>
              <w:t>- Artículo 21: Participación en el gobierno y acceso a la función pública (relacionado con el principio de transparencia).</w:t>
              <w:br/>
              <w:t>- Artículo 27: Derecho a participar en la vida cultural y a disfrutar de los avances científicos, ya que la información ambiental es de interés colectivo.</w:t>
            </w:r>
          </w:p>
        </w:tc>
      </w:tr>
      <w:tr>
        <w:tc>
          <w:tcPr>
            <w:tcW w:type="dxa" w:w="4320"/>
          </w:tcPr>
          <w:p>
            <w:r>
              <w:t>7. ¿Qué otros derechos humanos estiman que fueron vulnerados aparte de los establecidos por la Corte?</w:t>
            </w:r>
          </w:p>
        </w:tc>
        <w:tc>
          <w:tcPr>
            <w:tcW w:type="dxa" w:w="4320"/>
          </w:tcPr>
          <w:p>
            <w:r>
              <w:t>- Artículo 8: Derecho a un recurso efectivo.</w:t>
              <w:br/>
              <w:t>- Artículo 29: Limitación de los derechos solo por ley, pues en este caso la denegación no tenía justificación legítima.</w:t>
            </w:r>
          </w:p>
        </w:tc>
      </w:tr>
      <w:tr>
        <w:tc>
          <w:tcPr>
            <w:tcW w:type="dxa" w:w="4320"/>
          </w:tcPr>
          <w:p>
            <w:r>
              <w:t>8. ¿Cuál fue la sentencia emitida por la Corte Interamericana de los DD.HH. que trató su caso analizado?</w:t>
            </w:r>
          </w:p>
        </w:tc>
        <w:tc>
          <w:tcPr>
            <w:tcW w:type="dxa" w:w="4320"/>
          </w:tcPr>
          <w:p>
            <w:r>
              <w:t>La Corte IDH concluyó que Chile violó el artículo 13 de la Convención Americana (libertad de pensamiento y expresión) en su dimensión de acceso a la información pública. Ordenó al Estado garantizar el acceso a la información y establecer mecanismos efectivos de protección judicial en esta materia.</w:t>
            </w:r>
          </w:p>
        </w:tc>
      </w:tr>
      <w:tr>
        <w:tc>
          <w:tcPr>
            <w:tcW w:type="dxa" w:w="4320"/>
          </w:tcPr>
          <w:p>
            <w:r>
              <w:t>9. ¿Cuál fue la reparación en su caso?</w:t>
            </w:r>
          </w:p>
        </w:tc>
        <w:tc>
          <w:tcPr>
            <w:tcW w:type="dxa" w:w="4320"/>
          </w:tcPr>
          <w:p>
            <w:r>
              <w:t>- El Estado chileno debió entregar la información solicitada.</w:t>
              <w:br/>
              <w:t>- Pago de indemnizaciones a los peticionarios.</w:t>
              <w:br/>
              <w:t>- Implementación de reformas legales para garantizar el acceso a la información pública.</w:t>
              <w:br/>
              <w:t>- Publicación de la sentencia.</w:t>
            </w:r>
          </w:p>
        </w:tc>
      </w:tr>
      <w:tr>
        <w:tc>
          <w:tcPr>
            <w:tcW w:type="dxa" w:w="4320"/>
          </w:tcPr>
          <w:p>
            <w:r>
              <w:t>10. ¿Qué aprendizaje les dejó su grupo o dupla el caso estudiado?</w:t>
            </w:r>
          </w:p>
        </w:tc>
        <w:tc>
          <w:tcPr>
            <w:tcW w:type="dxa" w:w="4320"/>
          </w:tcPr>
          <w:p>
            <w:r>
              <w:t>- Que el acceso a la información pública es un derecho humano fundamental.</w:t>
              <w:br/>
              <w:t>- Que la transparencia estatal es esencial en una democracia.</w:t>
              <w:br/>
              <w:t>- Que la información ambiental debe estar disponible para toda la ciudadanía.</w:t>
              <w:br/>
              <w:t>- El rol de la Corte IDH en consolidar estándares internacionales de acceso a la información y rendición de cuentas estatal.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