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80565A" w14:textId="6DB3E761" w:rsidR="00F2331F" w:rsidRPr="00F2331F" w:rsidRDefault="0023587F" w:rsidP="00F2331F">
      <w:pPr>
        <w:spacing w:line="240" w:lineRule="auto"/>
        <w:jc w:val="center"/>
        <w:rPr>
          <w:rFonts w:ascii="Arial" w:hAnsi="Arial" w:cs="Arial"/>
          <w:b/>
          <w:bCs/>
          <w:sz w:val="28"/>
          <w:szCs w:val="28"/>
        </w:rPr>
      </w:pPr>
      <w:r>
        <w:rPr>
          <w:rFonts w:ascii="Arial" w:hAnsi="Arial" w:cs="Arial"/>
          <w:b/>
          <w:bCs/>
          <w:sz w:val="28"/>
          <w:szCs w:val="28"/>
        </w:rPr>
        <w:t xml:space="preserve"> </w:t>
      </w:r>
      <w:r w:rsidR="00F2331F" w:rsidRPr="00F2331F">
        <w:rPr>
          <w:rFonts w:ascii="Arial" w:hAnsi="Arial" w:cs="Arial"/>
          <w:b/>
          <w:bCs/>
          <w:sz w:val="28"/>
          <w:szCs w:val="28"/>
        </w:rPr>
        <w:t>SÍNTESIS</w:t>
      </w:r>
    </w:p>
    <w:p w14:paraId="1D91E5A6" w14:textId="1DA93A1B" w:rsidR="00F2331F" w:rsidRPr="009F62F7" w:rsidRDefault="004F2759" w:rsidP="004F2759">
      <w:pPr>
        <w:pStyle w:val="NormalWeb"/>
        <w:shd w:val="clear" w:color="auto" w:fill="FFFFFF"/>
        <w:spacing w:before="0" w:beforeAutospacing="0" w:after="150" w:afterAutospacing="0"/>
        <w:jc w:val="center"/>
        <w:rPr>
          <w:rFonts w:ascii="Arial" w:hAnsi="Arial" w:cs="Arial"/>
          <w:b/>
          <w:bCs/>
          <w:color w:val="111111"/>
        </w:rPr>
      </w:pPr>
      <w:r w:rsidRPr="009F62F7">
        <w:rPr>
          <w:rFonts w:ascii="Arial" w:hAnsi="Arial" w:cs="Arial"/>
          <w:b/>
          <w:bCs/>
          <w:color w:val="111111"/>
        </w:rPr>
        <w:t xml:space="preserve">SÍNTESIS GOBIERNOS </w:t>
      </w:r>
      <w:r w:rsidR="000838E8" w:rsidRPr="009F62F7">
        <w:rPr>
          <w:rFonts w:ascii="Arial" w:hAnsi="Arial" w:cs="Arial"/>
          <w:b/>
          <w:bCs/>
          <w:color w:val="111111"/>
        </w:rPr>
        <w:t xml:space="preserve">DESDE </w:t>
      </w:r>
      <w:r w:rsidRPr="009F62F7">
        <w:rPr>
          <w:rFonts w:ascii="Arial" w:hAnsi="Arial" w:cs="Arial"/>
          <w:b/>
          <w:bCs/>
          <w:color w:val="111111"/>
        </w:rPr>
        <w:t xml:space="preserve">1964 </w:t>
      </w:r>
      <w:r w:rsidR="00167AE7" w:rsidRPr="009F62F7">
        <w:rPr>
          <w:rFonts w:ascii="Arial" w:hAnsi="Arial" w:cs="Arial"/>
          <w:b/>
          <w:bCs/>
          <w:color w:val="111111"/>
        </w:rPr>
        <w:t>HASTA 2006</w:t>
      </w:r>
      <w:r w:rsidR="000838E8" w:rsidRPr="009F62F7">
        <w:rPr>
          <w:rFonts w:ascii="Arial" w:hAnsi="Arial" w:cs="Arial"/>
          <w:b/>
          <w:bCs/>
          <w:color w:val="111111"/>
        </w:rPr>
        <w:t xml:space="preserve"> </w:t>
      </w:r>
    </w:p>
    <w:p w14:paraId="437CE1AE" w14:textId="44BD4311" w:rsidR="00CE239D" w:rsidRPr="00556941" w:rsidRDefault="00556941" w:rsidP="00556941">
      <w:pPr>
        <w:pStyle w:val="NormalWeb"/>
        <w:shd w:val="clear" w:color="auto" w:fill="FFFFFF"/>
        <w:spacing w:before="0" w:beforeAutospacing="0" w:after="150" w:afterAutospacing="0"/>
        <w:jc w:val="center"/>
        <w:rPr>
          <w:rFonts w:ascii="Arial" w:hAnsi="Arial" w:cs="Arial"/>
          <w:bCs/>
          <w:color w:val="111111"/>
          <w:sz w:val="20"/>
          <w:szCs w:val="20"/>
        </w:rPr>
      </w:pPr>
      <w:r w:rsidRPr="00556941">
        <w:rPr>
          <w:rFonts w:ascii="Arial" w:hAnsi="Arial" w:cs="Arial"/>
          <w:bCs/>
          <w:color w:val="111111"/>
          <w:sz w:val="20"/>
          <w:szCs w:val="20"/>
        </w:rPr>
        <w:t>FUENTE: https://www.bcn.cl/historiapolitica</w:t>
      </w:r>
    </w:p>
    <w:p w14:paraId="6E2EAD33" w14:textId="77777777" w:rsidR="00556941" w:rsidRDefault="00556941" w:rsidP="004F2759">
      <w:pPr>
        <w:pStyle w:val="NormalWeb"/>
        <w:shd w:val="clear" w:color="auto" w:fill="FFFFFF"/>
        <w:spacing w:before="0" w:beforeAutospacing="0" w:after="150" w:afterAutospacing="0"/>
        <w:rPr>
          <w:rFonts w:ascii="Arial" w:hAnsi="Arial" w:cs="Arial"/>
          <w:b/>
          <w:bCs/>
          <w:color w:val="111111"/>
        </w:rPr>
      </w:pPr>
      <w:bookmarkStart w:id="0" w:name="_GoBack"/>
      <w:bookmarkEnd w:id="0"/>
    </w:p>
    <w:p w14:paraId="1AEF30B2" w14:textId="761CA1EC" w:rsidR="004F2759" w:rsidRPr="009F62F7" w:rsidRDefault="004F2759" w:rsidP="004F2759">
      <w:pPr>
        <w:pStyle w:val="NormalWeb"/>
        <w:shd w:val="clear" w:color="auto" w:fill="FFFFFF"/>
        <w:spacing w:before="0" w:beforeAutospacing="0" w:after="150" w:afterAutospacing="0"/>
        <w:rPr>
          <w:rFonts w:ascii="Arial" w:hAnsi="Arial" w:cs="Arial"/>
          <w:b/>
          <w:bCs/>
          <w:color w:val="111111"/>
        </w:rPr>
      </w:pPr>
      <w:r w:rsidRPr="009F62F7">
        <w:rPr>
          <w:rFonts w:ascii="Arial" w:hAnsi="Arial" w:cs="Arial"/>
          <w:b/>
          <w:bCs/>
          <w:color w:val="111111"/>
        </w:rPr>
        <w:t>EDUARDO FREI MONTALVA 1964 – 1973</w:t>
      </w:r>
    </w:p>
    <w:p w14:paraId="58B7B330" w14:textId="7777777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Ejerció como primer mandatario entre el 3 de noviembre de 1964 y el 3 de noviembre de 1970.</w:t>
      </w:r>
    </w:p>
    <w:p w14:paraId="1A6213C7" w14:textId="7777777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Su administración estuvo conducida por un solo partido, el Demócrata Cristiano, hecho poco usual en la política chilena. Además, tras las elecciones parlamentarias de 1965, logró un control completo de la Cámara de Diputados (82 diputados de un total de 147) y se constituyó como primera fuerza en el Senado con 11 miembros.</w:t>
      </w:r>
    </w:p>
    <w:p w14:paraId="3F9D7CE1" w14:textId="7777777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Su período presidencial se orientó al cumplimiento del programa de gobierno que había presentado durante su candidatura. El proyecto, llamado Revolución en Libertad, planteaba el respeto la Constitución, las leyes y las libertades públicas, buscando una transformación de las estructuras sociales, culturales, políticas y económicas del país.</w:t>
      </w:r>
    </w:p>
    <w:p w14:paraId="17CC9770" w14:textId="7777777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Entre los logros de su administración, destacó la puesta en marcha de una Reforma Educacional cuyo objetivo fundamental fue abrir el acceso a la educación e impulsar su permanencia, independientemente del nivel socioeconómico. Amplió la Enseñanza Básica de seis a ocho años y disminuyó la secundaria de seis a cuatro años, duplicó la matrícula de estudiantes y creó el uniforme escolar para todos. Se construyeron tres mil nuevas escuelas a lo largo del país, se renovaron los planes y programas de estudio y se implementó la Educación Preescolar. También, se promulgó la Ley de Guarderías Infantiles, que atendería a una población de un millón y medio de niños entre uno y seis años. Todas estas medidas permitieron reducir notablemente el analfabetismo.</w:t>
      </w:r>
    </w:p>
    <w:p w14:paraId="1EDA530B" w14:textId="7777777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Creó el Ministerio de Vivienda y Urbanismo (MINVU), que se abocó a reducir el déficit habitacional del país con la construcción de cerca de 130.000 casas de bajo precio.</w:t>
      </w:r>
    </w:p>
    <w:p w14:paraId="38B09F0B" w14:textId="62ABE164"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En el ámbito de la salud, se creó un programa de atención materno-infantil que, entre otras medidas, aumentó la entrega de leche. Además, se construyeron hospitales, duplicándose el número de camas disponibles. Se promulgaron las leyes sobre Seguro de Accidentes del Trabajo y Enfermedades Profesionales (Ley N° 16.744), la Ley de Medicina Curativa y el Fondo de Revalorización de Pensiones. Asimismo, se inició un programa de planificación familiar.</w:t>
      </w:r>
    </w:p>
    <w:p w14:paraId="6AD23EDD" w14:textId="7777777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Hubo un importante incremento en la sindicalización de los trabajadores y se promovió la redistribución del ingreso, bajo la inspiración de un objetivo de justicia social.</w:t>
      </w:r>
    </w:p>
    <w:p w14:paraId="1EC28445" w14:textId="7777777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lastRenderedPageBreak/>
        <w:t>La implementación del programa de Promoción Popular (Ley N°16.880), modificó las formas de organización colectiva de la sociedad chilena. Se crearon cooperativas y nuevas organizaciones sociales como juntas de vecinos, centros juveniles y centros de madres para mejorar la vida de los sectores marginales.</w:t>
      </w:r>
    </w:p>
    <w:p w14:paraId="275918C5" w14:textId="7777777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Su gobierno propuso reformar las bases del orden político y social, lo que se concretó en la Reforma Agraria y la </w:t>
      </w:r>
      <w:proofErr w:type="spellStart"/>
      <w:r w:rsidRPr="009F62F7">
        <w:rPr>
          <w:rFonts w:ascii="Arial" w:hAnsi="Arial" w:cs="Arial"/>
          <w:color w:val="111111"/>
        </w:rPr>
        <w:t>chilenización</w:t>
      </w:r>
      <w:proofErr w:type="spellEnd"/>
      <w:r w:rsidRPr="009F62F7">
        <w:rPr>
          <w:rFonts w:ascii="Arial" w:hAnsi="Arial" w:cs="Arial"/>
          <w:color w:val="111111"/>
        </w:rPr>
        <w:t xml:space="preserve"> del cobre. En enero de 1966, el Congreso aprobó la </w:t>
      </w:r>
      <w:proofErr w:type="spellStart"/>
      <w:r w:rsidRPr="009F62F7">
        <w:rPr>
          <w:rFonts w:ascii="Arial" w:hAnsi="Arial" w:cs="Arial"/>
          <w:color w:val="111111"/>
        </w:rPr>
        <w:t>chilenización</w:t>
      </w:r>
      <w:proofErr w:type="spellEnd"/>
      <w:r w:rsidRPr="009F62F7">
        <w:rPr>
          <w:rFonts w:ascii="Arial" w:hAnsi="Arial" w:cs="Arial"/>
          <w:color w:val="111111"/>
        </w:rPr>
        <w:t xml:space="preserve"> del cobre que permitió una mayor participación del Estado en la propiedad de las minas, mediante la compra gradual del 51% de El Teniente, Andina y Exótica, hasta entonces en manos de compañías estadounidenses. También, se impulsó el aumento de la producción y la cantidad de refinado hecho en Chile, y la incorporación a la comercialización internacional. En este contexto, se produjo la inauguración de la refinería de cobre electrolítico de Ventanas.</w:t>
      </w:r>
    </w:p>
    <w:p w14:paraId="2017FEE8" w14:textId="7777777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La Reforma Agraria, por su parte, tuvo como etapa inicial el establecimiento de asentamientos encargados de la explotación de la tierra hasta la asignación definitiva de la propiedad. La implementación de esta Reforma siguió pasos sucesivos: el 26 de abril de 1966 fueron promulgadas dos leyes sobre la materia, cuyos objetivos básicos fueron, entre otros, la incorporación de los campesinos a la propiedad de la tierra, la promoción de los campesinos y sus familias a la vida social, cultural y política del país, el mejoramiento de la productividad agrícola en todos sus niveles, la reforma del sistema de manejo y aprovechamiento de las aguas, y la reestructuración de los organismos públicos que cumplían funciones relativas a la agricultura.</w:t>
      </w:r>
    </w:p>
    <w:p w14:paraId="539ACCBE" w14:textId="58B379F0"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En 1967 fueron aprobadas tres leyes fundamentales que consolidaron el proceso: una Reforma Constitucional que modificaba el derecho de propiedad, la Ley de Sindicalización Campesina (N°16.625), que, por primera vez en Chile no ponían ningún obstáculo a la constitución de sindicatos agrícolas y que permitió el fortalecimiento de la sindicalización campesina. Finalmente, el 16 de julio de 1967 se promulgó la Ley N°16.640, lo que significó una importante reorientación de lo que hasta entonces había sido la Reforma Agraria. Con ésta se buscó promover, simultáneamente, el aumento de la producción y productividad agrícola, a través de una distribución justa de la propiedad de la tierra y de los derechos de aguas y que el campesinado se convirtiese en una fuerza social activa en las transformaciones económicas y políticas del país. Se impulsó entonces una reforma más amplia y operativa, capaz de hacer más expedito el proceso de expropiaciones. Los asentamientos encargados de la explotación de la tierra quedaron bajo la supervisión de la Corporación de la Reforma Agraria (CORA).</w:t>
      </w:r>
    </w:p>
    <w:p w14:paraId="74AD7348" w14:textId="14A45D4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El proceso culmina con la dictación de la ley N°17.280, también llamada Ley Aylwin, en honor a su promotor, el senador Patricio Aylwin </w:t>
      </w:r>
      <w:proofErr w:type="spellStart"/>
      <w:r w:rsidRPr="009F62F7">
        <w:rPr>
          <w:rFonts w:ascii="Arial" w:hAnsi="Arial" w:cs="Arial"/>
          <w:color w:val="111111"/>
        </w:rPr>
        <w:t>Azócar</w:t>
      </w:r>
      <w:proofErr w:type="spellEnd"/>
      <w:r w:rsidRPr="009F62F7">
        <w:rPr>
          <w:rFonts w:ascii="Arial" w:hAnsi="Arial" w:cs="Arial"/>
          <w:color w:val="111111"/>
        </w:rPr>
        <w:t>. Publicada en enero de 1970, tuvo entre sus objetivos inmediatos modificar aspectos relacionados con la posesión y uso de los predios expropiados, buscando terminar con cualquier obstáculo que dificultase el proceso de toma de posesión.</w:t>
      </w:r>
    </w:p>
    <w:p w14:paraId="3D2C7E54" w14:textId="7777777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lastRenderedPageBreak/>
        <w:t>El gobierno se empeñó también en un programa de nacionalizaciones, entre las que se destacó la compra total de la Compañía de Electricidad y la adquisición del 51 por ciento de la propiedad de la Compañía de Teléfonos (CTC), por medio de la Corporación de Fomento de la Producción (CORFO). Además, creó la Oficina de Planificación Nacional (ODEPLAN), destinada a diseñar los planes de desarrollo que se requerían para orientar las políticas gubernamentales.</w:t>
      </w:r>
    </w:p>
    <w:p w14:paraId="6EF72904" w14:textId="5141B05F"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El 3 de noviembre de 1970 concluyó su mandato y le entregó la presidencia a Salvador Allende </w:t>
      </w:r>
      <w:proofErr w:type="spellStart"/>
      <w:r w:rsidRPr="009F62F7">
        <w:rPr>
          <w:rFonts w:ascii="Arial" w:hAnsi="Arial" w:cs="Arial"/>
          <w:color w:val="111111"/>
        </w:rPr>
        <w:t>Gossens</w:t>
      </w:r>
      <w:proofErr w:type="spellEnd"/>
      <w:r w:rsidRPr="009F62F7">
        <w:rPr>
          <w:rFonts w:ascii="Arial" w:hAnsi="Arial" w:cs="Arial"/>
          <w:color w:val="111111"/>
        </w:rPr>
        <w:t>. Tras dejar su cargo, asumió una férrea oposición al gobierno de la Unidad Popular. Más tarde, en las elecciones parlamentarias de marzo de 1973, fue electo senador por Santiago, logrando la primera mayoría nacional.</w:t>
      </w:r>
    </w:p>
    <w:p w14:paraId="441287E9" w14:textId="7777777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p>
    <w:p w14:paraId="770EFEA7" w14:textId="4533CF01" w:rsidR="004F2759" w:rsidRPr="009F62F7" w:rsidRDefault="004F2759" w:rsidP="004F2759">
      <w:pPr>
        <w:pStyle w:val="NormalWeb"/>
        <w:shd w:val="clear" w:color="auto" w:fill="FFFFFF"/>
        <w:spacing w:before="0" w:beforeAutospacing="0" w:after="150" w:afterAutospacing="0"/>
        <w:jc w:val="both"/>
        <w:rPr>
          <w:rFonts w:ascii="Arial" w:hAnsi="Arial" w:cs="Arial"/>
          <w:b/>
          <w:bCs/>
          <w:color w:val="111111"/>
        </w:rPr>
      </w:pPr>
      <w:r w:rsidRPr="009F62F7">
        <w:rPr>
          <w:rFonts w:ascii="Arial" w:hAnsi="Arial" w:cs="Arial"/>
          <w:b/>
          <w:bCs/>
          <w:color w:val="111111"/>
        </w:rPr>
        <w:t xml:space="preserve">SALVADOR ALLENDE GOSSEN 1970 - 1973 </w:t>
      </w:r>
    </w:p>
    <w:p w14:paraId="4FACEB9A" w14:textId="36792489"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Fue electo presidente de la República el 4 de septiembre de 1970. En las elecciones presidenciales de 1970 obtuvo un 36% de los votos, por lo que tuvo que ser ratificado por el Congreso Pleno, que debió elegir entre las dos más altas mayorías: Salvador Allende </w:t>
      </w:r>
      <w:proofErr w:type="spellStart"/>
      <w:r w:rsidRPr="009F62F7">
        <w:rPr>
          <w:rFonts w:ascii="Arial" w:hAnsi="Arial" w:cs="Arial"/>
          <w:color w:val="111111"/>
        </w:rPr>
        <w:t>Gossens</w:t>
      </w:r>
      <w:proofErr w:type="spellEnd"/>
      <w:r w:rsidRPr="009F62F7">
        <w:rPr>
          <w:rFonts w:ascii="Arial" w:hAnsi="Arial" w:cs="Arial"/>
          <w:color w:val="111111"/>
        </w:rPr>
        <w:t xml:space="preserve"> y Jorge Alessandri.</w:t>
      </w:r>
    </w:p>
    <w:p w14:paraId="37D749F0" w14:textId="17578D0D"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Logró el triunfo definitivo gracias a la intervención de la Democracia Cristiana, que tenía la mayoría en el Parlamento. Este partido acordó apoyarlo siempre y cuando el electo presidente y los partidos representantes de su candidatura aceptaran la firma de un Estatuto de Garantías Democráticas, incorporado a la Constitución Política mediante una reforma. Una vez aceptada esta condición, el 24 de octubre de 1970, el Congreso Pleno lo proclamó presidente de Chile, con 153 sufragios, contra 35 de Alessandri y 7 en blanco.</w:t>
      </w:r>
    </w:p>
    <w:p w14:paraId="593C519B"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Por primera vez en la historia del mundo occidental, un candidato marxista llegaba a la presidencia de la República a través de las urnas. Ejerció el cargo entre el 3 de noviembre de 1970 y el 11 de septiembre de 1973.</w:t>
      </w:r>
    </w:p>
    <w:p w14:paraId="7A1383D8"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Durante su gobierno intentó instaurar el socialismo por la vía democrática o Vía </w:t>
      </w:r>
      <w:proofErr w:type="gramStart"/>
      <w:r w:rsidRPr="009F62F7">
        <w:rPr>
          <w:rFonts w:ascii="Arial" w:hAnsi="Arial" w:cs="Arial"/>
          <w:color w:val="111111"/>
        </w:rPr>
        <w:t>Chilena</w:t>
      </w:r>
      <w:proofErr w:type="gramEnd"/>
      <w:r w:rsidRPr="009F62F7">
        <w:rPr>
          <w:rFonts w:ascii="Arial" w:hAnsi="Arial" w:cs="Arial"/>
          <w:color w:val="111111"/>
        </w:rPr>
        <w:t xml:space="preserve"> al Socialismo. En julio de 1971, el Congreso aprobó la Ley para la Nacionalización de la Gran Minería del cobre. En el aspecto económico, se instauró una política de acentuada redistribución del ingreso y de reactivación de la economía. La Ley de Reforma Agraria, aprobada durante la presidencia de Eduardo Frei Montalva, le permitió avanzar rápido en la expropiación de grandes latifundios. Dio los primeros pasos para construir el área de propiedad social de la economía, usando procedimientos legales que no cuestionaban la juridicidad del sistema vigente, aunque algunos los denominaron como "resquicios legales".</w:t>
      </w:r>
    </w:p>
    <w:p w14:paraId="59B5DBD2"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En el ámbito de las relaciones internacionales, el gobierno de la UP restableció las relaciones bilaterales con Cuba y se iniciaron, por primera vez, relaciones con China, Corea del Norte, Vietnam del Norte y Alemania Oriental.</w:t>
      </w:r>
    </w:p>
    <w:p w14:paraId="30BEE5ED" w14:textId="798BE698"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lastRenderedPageBreak/>
        <w:t xml:space="preserve">En julio de 1971 visitó Salta en la República Argentina, y entre agosto y septiembre estuvo en Colombia, Ecuador y Perú. Entre noviembre y diciembre de 1972 realizó una gira a México, a Estados Unidos, la Unión de Repúblicas Socialistas Soviéticas (URSS) y Cuba. En mayo de 1973 asistió a la asunción del mando del presidente Héctor José </w:t>
      </w:r>
      <w:proofErr w:type="spellStart"/>
      <w:r w:rsidRPr="009F62F7">
        <w:rPr>
          <w:rFonts w:ascii="Arial" w:hAnsi="Arial" w:cs="Arial"/>
          <w:color w:val="111111"/>
        </w:rPr>
        <w:t>Cámpora</w:t>
      </w:r>
      <w:proofErr w:type="spellEnd"/>
      <w:r w:rsidRPr="009F62F7">
        <w:rPr>
          <w:rFonts w:ascii="Arial" w:hAnsi="Arial" w:cs="Arial"/>
          <w:color w:val="111111"/>
        </w:rPr>
        <w:t xml:space="preserve"> en Argentina.</w:t>
      </w:r>
    </w:p>
    <w:p w14:paraId="26877863"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Hacia mediados de 1972 se aceleró una profunda crisis económica, que se expresó en el aumento de la inflación y en el estancamiento productivo, con consecuencias de desabastecimiento de bienes básicos en importantes sectores de la población. Los niveles de inflación experimentaron una brusca escalada, pasando desde un 22,1% en 1971, a un 260,5% en 1972, hasta llegar a un 605,1% en 1973.</w:t>
      </w:r>
    </w:p>
    <w:p w14:paraId="362225CA"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En octubre de ese año, se produjo una gran huelga protagonizada por grandes y medianos empresarios y por grupos de clases medias.</w:t>
      </w:r>
    </w:p>
    <w:p w14:paraId="57107638"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A nivel internacional, el gobierno de Allende se enmarcó en la Guerra Fría y en el enfrentamiento entre el capitalismo y el socialismo a todo nivel, lo que se expresó en la alta influencia de los países extranjeros en el proceso chileno. Si Estados Unidos respaldó activamente la oposición política y social al gobierno, países como Cuba apoyaron a la Unidad Popular.</w:t>
      </w:r>
    </w:p>
    <w:p w14:paraId="2D943942" w14:textId="7F62A2C4"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En las elecciones parlamentarias de 1973, la oposición agrupada en la Confederación por la Democracia, alianza conformada por el Partido Demócrata Cristiano y el Partido Nacional, no alcanzó los dos tercios de los votos que se requerían para destituir al presidente. La alianza de gobierno obtuvo un 43% de los votos.</w:t>
      </w:r>
    </w:p>
    <w:p w14:paraId="2A655692"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En los meses siguientes se agravó la crisis política, lo que se expresó en la sublevación militar llamada "</w:t>
      </w:r>
      <w:proofErr w:type="spellStart"/>
      <w:r w:rsidRPr="009F62F7">
        <w:rPr>
          <w:rFonts w:ascii="Arial" w:hAnsi="Arial" w:cs="Arial"/>
          <w:color w:val="111111"/>
        </w:rPr>
        <w:t>tanquetazo</w:t>
      </w:r>
      <w:proofErr w:type="spellEnd"/>
      <w:r w:rsidRPr="009F62F7">
        <w:rPr>
          <w:rFonts w:ascii="Arial" w:hAnsi="Arial" w:cs="Arial"/>
          <w:color w:val="111111"/>
        </w:rPr>
        <w:t>", del 29 de junio de 1973, y en el fracaso de las conversaciones gobierno-oposición, en agosto.</w:t>
      </w:r>
    </w:p>
    <w:p w14:paraId="0CB6DE5B" w14:textId="25BF6528"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El 11 de septiembre de 1973 fue derrocado su gobierno mediante un Pronunciamiento Militar liderado por las Fuerzas Armadas y de Carabineros. Se suicidó ese mismo día durante el ataque al Palacio de La Moneda.</w:t>
      </w:r>
    </w:p>
    <w:p w14:paraId="61DE341D" w14:textId="77777777" w:rsidR="004F2759" w:rsidRPr="009F62F7" w:rsidRDefault="004F2759" w:rsidP="004F2759">
      <w:pPr>
        <w:pStyle w:val="NormalWeb"/>
        <w:shd w:val="clear" w:color="auto" w:fill="FFFFFF"/>
        <w:spacing w:before="0" w:beforeAutospacing="0" w:after="150" w:afterAutospacing="0"/>
        <w:jc w:val="both"/>
        <w:rPr>
          <w:rFonts w:ascii="Arial" w:hAnsi="Arial" w:cs="Arial"/>
          <w:color w:val="111111"/>
        </w:rPr>
      </w:pPr>
    </w:p>
    <w:p w14:paraId="27B56DDB" w14:textId="3DC5E020" w:rsidR="00D61C21" w:rsidRPr="009F62F7" w:rsidRDefault="00D61C21" w:rsidP="00D61C21">
      <w:pPr>
        <w:shd w:val="clear" w:color="auto" w:fill="FFFFFF"/>
        <w:spacing w:after="150" w:line="240" w:lineRule="auto"/>
        <w:rPr>
          <w:rFonts w:ascii="Arial" w:eastAsia="Times New Roman" w:hAnsi="Arial" w:cs="Arial"/>
          <w:b/>
          <w:bCs/>
          <w:caps/>
          <w:color w:val="111111"/>
          <w:kern w:val="0"/>
          <w:lang w:eastAsia="es-CL"/>
          <w14:ligatures w14:val="none"/>
        </w:rPr>
      </w:pPr>
      <w:r w:rsidRPr="009F62F7">
        <w:rPr>
          <w:rFonts w:ascii="Arial" w:eastAsia="Times New Roman" w:hAnsi="Arial" w:cs="Arial"/>
          <w:b/>
          <w:bCs/>
          <w:caps/>
          <w:color w:val="111111"/>
          <w:kern w:val="0"/>
          <w:lang w:eastAsia="es-CL"/>
          <w14:ligatures w14:val="none"/>
        </w:rPr>
        <w:t>Junta de Gobierno 1973 - 1990</w:t>
      </w:r>
    </w:p>
    <w:p w14:paraId="7644357C" w14:textId="42869D26"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Encabezó la Junta de Gobierno que asumió el mando del país, junto con el general Gustavo </w:t>
      </w:r>
      <w:proofErr w:type="spellStart"/>
      <w:r w:rsidRPr="009F62F7">
        <w:rPr>
          <w:rFonts w:ascii="Arial" w:hAnsi="Arial" w:cs="Arial"/>
          <w:color w:val="111111"/>
        </w:rPr>
        <w:t>Leigh</w:t>
      </w:r>
      <w:proofErr w:type="spellEnd"/>
      <w:r w:rsidRPr="009F62F7">
        <w:rPr>
          <w:rFonts w:ascii="Arial" w:hAnsi="Arial" w:cs="Arial"/>
          <w:color w:val="111111"/>
        </w:rPr>
        <w:t xml:space="preserve"> Guzmán como comandante de la Fuerza Aérea, el almirante José Toribio Merino Castro como comandante de la Marina y el general César Mendoza Durán como director general de Carabineros. En virtud del Decreto Ley N.º 1 del 11 de septiembre de 1973, se convirtió en el presidente de la Junta de Gobierno. La Junta, en tanto, asumió el rol legislativo, en reemplazo del Congreso Nacional, que fue disuelto por Decreto Ley N° 27, promulgado el 21 de septiembre de 1973.</w:t>
      </w:r>
    </w:p>
    <w:p w14:paraId="31C4C877"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Bajo su mando, se estableció una dictadura militar que se extendió hasta 1990. Restringió los derechos civiles y políticos, instauró el estado de sitio y el toque de queda, la ilegalidad de algunos partidos políticos y el receso de otros, la censura a </w:t>
      </w:r>
      <w:r w:rsidRPr="009F62F7">
        <w:rPr>
          <w:rFonts w:ascii="Arial" w:hAnsi="Arial" w:cs="Arial"/>
          <w:color w:val="111111"/>
        </w:rPr>
        <w:lastRenderedPageBreak/>
        <w:t>los medios de comunicación y ordenó la detención de dirigentes políticos opositores. Se estableció una policía secreta controlada por su régimen, denominada Dirección de Inteligencia Nacional (DINA), entre 1974 y 1977, y la Central Nacional de Informaciones (CNI), entre 1977 y 1990, organismos encargados de labores de represión política, incluyendo prácticas de detención, tortura y desapariciones.</w:t>
      </w:r>
    </w:p>
    <w:p w14:paraId="654B3ECA"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Durante gran parte de su régimen, se practicaron detenciones y ejecuciones arbitrarias, desapariciones, torturas y exilio, situaciones que se han reconocido como violaciones sistemáticas a los Derechos Humanos. Entre los casos de abusos, se encuentran Caravana de la Muerte (1973), Operación Colombo (1975), Calle Conferencia (1976), Hornos de </w:t>
      </w:r>
      <w:proofErr w:type="spellStart"/>
      <w:r w:rsidRPr="009F62F7">
        <w:rPr>
          <w:rFonts w:ascii="Arial" w:hAnsi="Arial" w:cs="Arial"/>
          <w:color w:val="111111"/>
        </w:rPr>
        <w:t>Lonquén</w:t>
      </w:r>
      <w:proofErr w:type="spellEnd"/>
      <w:r w:rsidRPr="009F62F7">
        <w:rPr>
          <w:rFonts w:ascii="Arial" w:hAnsi="Arial" w:cs="Arial"/>
          <w:color w:val="111111"/>
        </w:rPr>
        <w:t xml:space="preserve"> (1978), caso Degollados (1985), caso Quemados (1986) y Operación Albania (1987), además de los asesinatos del Ex comandante en Jefe del Ejército Carlos Prats (1974), del ex ministro Orlando Letelier (1976) y del dirigente sindical </w:t>
      </w:r>
      <w:proofErr w:type="spellStart"/>
      <w:r w:rsidRPr="009F62F7">
        <w:rPr>
          <w:rFonts w:ascii="Arial" w:hAnsi="Arial" w:cs="Arial"/>
          <w:color w:val="111111"/>
        </w:rPr>
        <w:t>Tucapel</w:t>
      </w:r>
      <w:proofErr w:type="spellEnd"/>
      <w:r w:rsidRPr="009F62F7">
        <w:rPr>
          <w:rFonts w:ascii="Arial" w:hAnsi="Arial" w:cs="Arial"/>
          <w:color w:val="111111"/>
        </w:rPr>
        <w:t xml:space="preserve"> Jiménez (1982). También se habilitaron recintos de detención como el Estadio Nacional de Santiago, el Estadio Chile, Villa Grimaldi y Venda Sexy, entre muchos otros a lo largo de todo el país.</w:t>
      </w:r>
    </w:p>
    <w:p w14:paraId="12B4C91E" w14:textId="677FB493"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De acuerdo con las Comisiones </w:t>
      </w:r>
      <w:proofErr w:type="spellStart"/>
      <w:r w:rsidRPr="009F62F7">
        <w:rPr>
          <w:rFonts w:ascii="Arial" w:hAnsi="Arial" w:cs="Arial"/>
          <w:color w:val="111111"/>
        </w:rPr>
        <w:t>Rettig</w:t>
      </w:r>
      <w:proofErr w:type="spellEnd"/>
      <w:r w:rsidRPr="009F62F7">
        <w:rPr>
          <w:rFonts w:ascii="Arial" w:hAnsi="Arial" w:cs="Arial"/>
          <w:color w:val="111111"/>
        </w:rPr>
        <w:t xml:space="preserve"> (1991) y </w:t>
      </w:r>
      <w:proofErr w:type="spellStart"/>
      <w:r w:rsidRPr="009F62F7">
        <w:rPr>
          <w:rFonts w:ascii="Arial" w:hAnsi="Arial" w:cs="Arial"/>
          <w:color w:val="111111"/>
        </w:rPr>
        <w:t>Valech</w:t>
      </w:r>
      <w:proofErr w:type="spellEnd"/>
      <w:r w:rsidRPr="009F62F7">
        <w:rPr>
          <w:rFonts w:ascii="Arial" w:hAnsi="Arial" w:cs="Arial"/>
          <w:color w:val="111111"/>
        </w:rPr>
        <w:t xml:space="preserve"> (2004), la cifra total de víctimas de violaciones a los Derechos Humanos, calificadas oficialmente, alcanza a 40.175 personas, incluyendo ejecutados políticos, detenidos desaparecidos y víctimas de prisión política y tortura. Dentro de este universo, se estima que las víctimas de desaparición forzada podrían ser unas 1.469 personas.</w:t>
      </w:r>
    </w:p>
    <w:p w14:paraId="3C942F6F"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b/>
          <w:bCs/>
          <w:color w:val="111111"/>
        </w:rPr>
      </w:pPr>
      <w:r w:rsidRPr="009F62F7">
        <w:rPr>
          <w:rFonts w:ascii="Arial" w:hAnsi="Arial" w:cs="Arial"/>
          <w:b/>
          <w:bCs/>
          <w:color w:val="111111"/>
        </w:rPr>
        <w:t>Jefatura de Estado</w:t>
      </w:r>
    </w:p>
    <w:p w14:paraId="1BEC7D42" w14:textId="4D285D5E"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El 26 de junio de 1974, según disposiciones del artículo 7 del Decreto Ley N° 527, asumió el Poder Ejecutivo, como jefe supremo de la Nación, en su calidad de presidente de la Junta de Gobierno. Posteriormente, en virtud del Decreto Ley N° 806 de 17 de diciembre de 1974, asumió el título de presidente de la República, concentrando el poder político y militar, en su calidad de </w:t>
      </w:r>
      <w:r w:rsidR="000517BB" w:rsidRPr="009F62F7">
        <w:rPr>
          <w:rFonts w:ascii="Arial" w:hAnsi="Arial" w:cs="Arial"/>
          <w:color w:val="111111"/>
        </w:rPr>
        <w:t>comandante</w:t>
      </w:r>
      <w:r w:rsidRPr="009F62F7">
        <w:rPr>
          <w:rFonts w:ascii="Arial" w:hAnsi="Arial" w:cs="Arial"/>
          <w:color w:val="111111"/>
        </w:rPr>
        <w:t xml:space="preserve"> en jefe del Ejército.</w:t>
      </w:r>
    </w:p>
    <w:p w14:paraId="5A8E0ED6" w14:textId="7FFD0DC3"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A contar del 11 de marzo de 1981, con la entrada en vigencia de las disposiciones transitorias 14° y 29° de la nueva Constitución Política, mantuvo el ejercicio del cargo de </w:t>
      </w:r>
      <w:r w:rsidR="000517BB" w:rsidRPr="009F62F7">
        <w:rPr>
          <w:rFonts w:ascii="Arial" w:hAnsi="Arial" w:cs="Arial"/>
          <w:color w:val="111111"/>
        </w:rPr>
        <w:t>presidente</w:t>
      </w:r>
      <w:r w:rsidRPr="009F62F7">
        <w:rPr>
          <w:rFonts w:ascii="Arial" w:hAnsi="Arial" w:cs="Arial"/>
          <w:color w:val="111111"/>
        </w:rPr>
        <w:t xml:space="preserve"> de la República.</w:t>
      </w:r>
    </w:p>
    <w:p w14:paraId="16DC1AFC"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En el ámbito económico, a partir de 1975, impulsó un plan basado en las políticas surgidas de la Universidad de Chicago, en Estados Unidos. Se aumentó el predominio del sector privado en la economía, para lo cual se ajustó el gasto público y se despidieron empleados del Estado, además de privatizarse empresas públicas. También se inició una reforma administrativa que estructuró la división político-administrativa de Chile en 13 regiones. En materia social, implementó una reforma laboral, un nuevo código del trabajo y una reforma previsional que creó las Administradoras de Fondos de Pensiones (AFP). En educación, abrió el mercado de las universidades privadas, institutos profesionales y centros de formación técnica.</w:t>
      </w:r>
    </w:p>
    <w:p w14:paraId="1503F6F6"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lastRenderedPageBreak/>
        <w:t>A partir del 24 de septiembre de 1973, se organizó la Comisión de Estudios de la Nueva Constitución Política, que comenzó a analizar la elaboración de una Nueva Carta Fundamental, en la que intervinieron el Consejo de Estado y la propia Junta Militar. El texto fue plebiscitado y aprobado el 11 de septiembre de 1980, en elecciones que no contaron con garantías democráticas para su realización. En 1978, enfrentó una crisis fronteriza con Argentina por ciertas islas ubicadas en el canal de Beagle, conflicto concluyó con la intervención del Papa Juan Pablo II y la firma del Tratado de Paz y Amistad con Argentina, en 1984.</w:t>
      </w:r>
    </w:p>
    <w:p w14:paraId="542604CC"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Desde 1982, el país se vio fuertemente afectado por la recesión económica, como consecuencia de la crisis mundial. Se produjeron quiebras en el sistema bancario y financiero y aumentó el desempleo. Las protestas de la ciudadanía no se hicieron esperar, sobre todo entre la población de clase media y baja, la más afectada por la crisis económica. De esta forma, desde mayo de 1983 se desarrollaron las jornadas de protesta nacional. En 1985, asumió la cartera de Hacienda Hernán </w:t>
      </w:r>
      <w:proofErr w:type="spellStart"/>
      <w:r w:rsidRPr="009F62F7">
        <w:rPr>
          <w:rFonts w:ascii="Arial" w:hAnsi="Arial" w:cs="Arial"/>
          <w:color w:val="111111"/>
        </w:rPr>
        <w:t>Büchi</w:t>
      </w:r>
      <w:proofErr w:type="spellEnd"/>
      <w:r w:rsidRPr="009F62F7">
        <w:rPr>
          <w:rFonts w:ascii="Arial" w:hAnsi="Arial" w:cs="Arial"/>
          <w:color w:val="111111"/>
        </w:rPr>
        <w:t>, quien logró reactivar la economía e iniciar un fuerte crecimiento.</w:t>
      </w:r>
    </w:p>
    <w:p w14:paraId="5192E03F"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El 7 de septiembre de 1986 sufrió un atentado en Santiago, en el sector del Cajón del Maipo. Resultó ileso, al igual que su nieto Rodrigo García Pinochet. Sin embargo, fallecieron cinco de sus escoltas de seguridad. La represión tras el incidente afectó principalmente a miembros del Frente Patriótico Manuel Rodríguez (FPMR), sector desde donde provenían los autores del atentado.</w:t>
      </w:r>
    </w:p>
    <w:p w14:paraId="0AB1BE6F" w14:textId="6DB631FB"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El 30 de agosto de 1988, siguiendo el itinerario constitucional, y </w:t>
      </w:r>
      <w:r w:rsidR="00167AE7" w:rsidRPr="009F62F7">
        <w:rPr>
          <w:rFonts w:ascii="Arial" w:hAnsi="Arial" w:cs="Arial"/>
          <w:color w:val="111111"/>
        </w:rPr>
        <w:t>de acuerdo con</w:t>
      </w:r>
      <w:r w:rsidRPr="009F62F7">
        <w:rPr>
          <w:rFonts w:ascii="Arial" w:hAnsi="Arial" w:cs="Arial"/>
          <w:color w:val="111111"/>
        </w:rPr>
        <w:t xml:space="preserve"> la 27a disposición transitoria de la Carta Fundamental, fue propuesto por los comandantes en jefe de las Fuerzas Armadas y el director general de Carabineros, sujeto a ratificación de la ciudadanía, para ocupar el cargo de </w:t>
      </w:r>
      <w:r w:rsidR="000517BB" w:rsidRPr="009F62F7">
        <w:rPr>
          <w:rFonts w:ascii="Arial" w:hAnsi="Arial" w:cs="Arial"/>
          <w:color w:val="111111"/>
        </w:rPr>
        <w:t>presidente</w:t>
      </w:r>
      <w:r w:rsidRPr="009F62F7">
        <w:rPr>
          <w:rFonts w:ascii="Arial" w:hAnsi="Arial" w:cs="Arial"/>
          <w:color w:val="111111"/>
        </w:rPr>
        <w:t xml:space="preserve"> de la República en el periodo a iniciarse el 11 de marzo de 1989</w:t>
      </w:r>
      <w:hyperlink r:id="rId6" w:anchor="cite_note-5" w:history="1">
        <w:r w:rsidRPr="009F62F7">
          <w:rPr>
            <w:rFonts w:ascii="Arial" w:hAnsi="Arial" w:cs="Arial"/>
            <w:color w:val="111111"/>
          </w:rPr>
          <w:t>[6]</w:t>
        </w:r>
      </w:hyperlink>
      <w:r w:rsidRPr="009F62F7">
        <w:rPr>
          <w:rFonts w:ascii="Arial" w:hAnsi="Arial" w:cs="Arial"/>
          <w:color w:val="111111"/>
        </w:rPr>
        <w:t>. Con este propósito el mismo 30 de agosto, se convocó a un Plebiscito para el 5 de octubre de 1988</w:t>
      </w:r>
      <w:hyperlink r:id="rId7" w:anchor="cite_note-6" w:history="1">
        <w:r w:rsidRPr="009F62F7">
          <w:rPr>
            <w:rFonts w:ascii="Arial" w:hAnsi="Arial" w:cs="Arial"/>
            <w:color w:val="111111"/>
          </w:rPr>
          <w:t>[7]</w:t>
        </w:r>
      </w:hyperlink>
      <w:r w:rsidRPr="009F62F7">
        <w:rPr>
          <w:rFonts w:ascii="Arial" w:hAnsi="Arial" w:cs="Arial"/>
          <w:color w:val="111111"/>
        </w:rPr>
        <w:t>, en el que se definiría su continuidad en el poder por ocho años más. En las urnas obtuvo 3.119.110 de votos (43,01% de los votos escrutados), por lo que fue derrotado, iniciándose el proceso de transición a la democracia.</w:t>
      </w:r>
    </w:p>
    <w:p w14:paraId="5FE3713A" w14:textId="5948B1FD"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Tras la derrota en el Plebiscito, en conformidad con la 29a disposición transitoria de la Constitución Política, permaneció como </w:t>
      </w:r>
      <w:r w:rsidR="000517BB" w:rsidRPr="009F62F7">
        <w:rPr>
          <w:rFonts w:ascii="Arial" w:hAnsi="Arial" w:cs="Arial"/>
          <w:color w:val="111111"/>
        </w:rPr>
        <w:t>presidente</w:t>
      </w:r>
      <w:r w:rsidRPr="009F62F7">
        <w:rPr>
          <w:rFonts w:ascii="Arial" w:hAnsi="Arial" w:cs="Arial"/>
          <w:color w:val="111111"/>
        </w:rPr>
        <w:t xml:space="preserve"> de la República hasta el 11 de marzo de 1990.</w:t>
      </w:r>
    </w:p>
    <w:p w14:paraId="337BB429" w14:textId="48C0BBC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El 14 de diciembre de 1989, se realizaron las primeras elecciones presidenciales tras dieciséis años de régimen militar. Los candidatos presidenciales fueron Patricio Aylwin, en representación de la Concertación de Partidos por la Democracia; Hernán </w:t>
      </w:r>
      <w:proofErr w:type="spellStart"/>
      <w:r w:rsidRPr="009F62F7">
        <w:rPr>
          <w:rFonts w:ascii="Arial" w:hAnsi="Arial" w:cs="Arial"/>
          <w:color w:val="111111"/>
        </w:rPr>
        <w:t>Büchi</w:t>
      </w:r>
      <w:proofErr w:type="spellEnd"/>
      <w:r w:rsidRPr="009F62F7">
        <w:rPr>
          <w:rFonts w:ascii="Arial" w:hAnsi="Arial" w:cs="Arial"/>
          <w:color w:val="111111"/>
        </w:rPr>
        <w:t>, economista y ex ministro de gobierno representante de la derecha, y el empresario Francisco Javier Errázuriz Talavera, del centro. Ganó en las urnas Aylwin. Al mismo tiempo, se llevaron a cabo elecciones parlamentarias donde se eligieron 120 diputados y 38 senadores, a los que se sumaron 9 senadores designados.</w:t>
      </w:r>
    </w:p>
    <w:p w14:paraId="2BBB4690" w14:textId="7A1A417E"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El 11 de marzo de 1990, entregó el mando del país a Patricio Aylwin, y permaneció como comandante en jefe del Ejército durante la nueva democracia. En marzo de </w:t>
      </w:r>
      <w:r w:rsidRPr="009F62F7">
        <w:rPr>
          <w:rFonts w:ascii="Arial" w:hAnsi="Arial" w:cs="Arial"/>
          <w:color w:val="111111"/>
        </w:rPr>
        <w:lastRenderedPageBreak/>
        <w:t xml:space="preserve">1998, le entregó el mando del Ejército al teniente general Ricardo Izurieta </w:t>
      </w:r>
      <w:proofErr w:type="spellStart"/>
      <w:r w:rsidRPr="009F62F7">
        <w:rPr>
          <w:rFonts w:ascii="Arial" w:hAnsi="Arial" w:cs="Arial"/>
          <w:color w:val="111111"/>
        </w:rPr>
        <w:t>Caffarena</w:t>
      </w:r>
      <w:proofErr w:type="spellEnd"/>
      <w:r w:rsidRPr="009F62F7">
        <w:rPr>
          <w:rFonts w:ascii="Arial" w:hAnsi="Arial" w:cs="Arial"/>
          <w:color w:val="111111"/>
        </w:rPr>
        <w:t>, pasando a retiro. Acto seguido, se integró al Congreso Nacional tras jurar como senador vitalicio, según lo establecido por la Carta Fundamental de 1980 y en su condición de ex</w:t>
      </w:r>
      <w:r w:rsidR="000517BB" w:rsidRPr="009F62F7">
        <w:rPr>
          <w:rFonts w:ascii="Arial" w:hAnsi="Arial" w:cs="Arial"/>
          <w:color w:val="111111"/>
        </w:rPr>
        <w:t>presidente</w:t>
      </w:r>
      <w:r w:rsidRPr="009F62F7">
        <w:rPr>
          <w:rFonts w:ascii="Arial" w:hAnsi="Arial" w:cs="Arial"/>
          <w:color w:val="111111"/>
        </w:rPr>
        <w:t xml:space="preserve"> de la República.</w:t>
      </w:r>
    </w:p>
    <w:p w14:paraId="4A8EC898" w14:textId="7264FBF1"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Permaneció pocos meses en el Congreso ya que en septiembre del mismo año decidió viajar a Londres, Inglaterra, por motivos médicos. El 16 de octubre de 1998, fue arrestado en Londres por orden de la Justicia Inglesa, tras la solicitud de captura internacional emanada del Juez de la Audiencia Nacional de España Baltazar Garzón, quien perseguía su presunta responsabilidad por el homicidio de varios ciudadanos españoles acaecidos durante su gobierno. Permaneció en la citada ciudad hasta el 2 de marzo de 2000. Ese día, el </w:t>
      </w:r>
      <w:r w:rsidR="000517BB" w:rsidRPr="009F62F7">
        <w:rPr>
          <w:rFonts w:ascii="Arial" w:hAnsi="Arial" w:cs="Arial"/>
          <w:color w:val="111111"/>
        </w:rPr>
        <w:t>ministro</w:t>
      </w:r>
      <w:r w:rsidRPr="009F62F7">
        <w:rPr>
          <w:rFonts w:ascii="Arial" w:hAnsi="Arial" w:cs="Arial"/>
          <w:color w:val="111111"/>
        </w:rPr>
        <w:t xml:space="preserve"> del Interior Británico, Jack Straw, dispuso su liberación por razones de salud.</w:t>
      </w:r>
    </w:p>
    <w:p w14:paraId="62B25798" w14:textId="2722414A"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De regreso a Chile enfrentó diversas querellas presentadas ante los Tribunales de Justicia por graves violaciones a los Derechos Humanos. Lo anterior concluyó con una sentencia de desafuero parlamentario por parte de la Corte Suprema de Justicia, dictado el 8 de agosto de 2000. El 9 de julio de 2001, en el proceso seguido en su contra por el Juez Juan Guzmán, ministro de la Corte Apelaciones de Justicia, la 6ª Sala de la Corte de Apelaciones de Santiago decidió por dos votos contra uno el sobreseimiento temporal de la causa por motivos de salud.</w:t>
      </w:r>
    </w:p>
    <w:p w14:paraId="6ED73D08" w14:textId="01A85110"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El 30 de septiembre de 2004, el Servicio de Impuestos Internos de Chile presentó una querella por delitos tributarios por las cuentas en dólares que mantenía en el Banco Riggs, en Washington. Por este caso también se sumó otra demanda judicial por los delitos de fraude al Fisco, malversación de caudales públicos y cohecho.</w:t>
      </w:r>
    </w:p>
    <w:p w14:paraId="524D3B70" w14:textId="77777777" w:rsidR="00D61C21" w:rsidRPr="009F62F7" w:rsidRDefault="00D61C21" w:rsidP="00D61C21">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Murió el 10 de diciembre de 2006, en el Hospital Militar de Santiago</w:t>
      </w:r>
    </w:p>
    <w:p w14:paraId="5B44658B" w14:textId="77777777" w:rsidR="00D61C21" w:rsidRPr="009F62F7" w:rsidRDefault="00D61C21" w:rsidP="004F2759">
      <w:pPr>
        <w:pStyle w:val="NormalWeb"/>
        <w:shd w:val="clear" w:color="auto" w:fill="FFFFFF"/>
        <w:spacing w:before="0" w:beforeAutospacing="0" w:after="150" w:afterAutospacing="0"/>
        <w:jc w:val="both"/>
        <w:rPr>
          <w:rFonts w:ascii="Arial" w:hAnsi="Arial" w:cs="Arial"/>
          <w:color w:val="111111"/>
        </w:rPr>
      </w:pPr>
    </w:p>
    <w:p w14:paraId="6A42A18E" w14:textId="5FE661BE" w:rsidR="004F2759" w:rsidRPr="009F62F7" w:rsidRDefault="000517BB" w:rsidP="00D61C21">
      <w:pPr>
        <w:pStyle w:val="NormalWeb"/>
        <w:shd w:val="clear" w:color="auto" w:fill="FFFFFF"/>
        <w:spacing w:before="0" w:beforeAutospacing="0" w:after="150" w:afterAutospacing="0"/>
        <w:jc w:val="both"/>
        <w:rPr>
          <w:rFonts w:ascii="Arial" w:hAnsi="Arial" w:cs="Arial"/>
          <w:b/>
          <w:bCs/>
          <w:color w:val="111111"/>
        </w:rPr>
      </w:pPr>
      <w:r w:rsidRPr="009F62F7">
        <w:rPr>
          <w:rFonts w:ascii="Arial" w:hAnsi="Arial" w:cs="Arial"/>
          <w:b/>
          <w:bCs/>
          <w:color w:val="111111"/>
        </w:rPr>
        <w:t>PATRICIO AYLWIN ÁZOCAR 1990 – 1994</w:t>
      </w:r>
    </w:p>
    <w:p w14:paraId="05358A1F" w14:textId="208D6736"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El 11 de marzo de 1990, ante el Congreso Nacional reunido en pleno, Augusto Pinochet le traspasó el mando de la Nación convirtiéndolo en el primer presidente democrático después de diecisiete años de régimen militar. La ceremonia fue dirigida por el presidente del Senado Gabriel Valdés </w:t>
      </w:r>
      <w:proofErr w:type="spellStart"/>
      <w:r w:rsidRPr="009F62F7">
        <w:rPr>
          <w:rFonts w:ascii="Arial" w:hAnsi="Arial" w:cs="Arial"/>
          <w:color w:val="111111"/>
        </w:rPr>
        <w:t>Subercaseaux</w:t>
      </w:r>
      <w:proofErr w:type="spellEnd"/>
      <w:r w:rsidRPr="009F62F7">
        <w:rPr>
          <w:rFonts w:ascii="Arial" w:hAnsi="Arial" w:cs="Arial"/>
          <w:color w:val="111111"/>
        </w:rPr>
        <w:t>, en un ambiente de gran expectación nacional y mundial por marcar el inicio de un nuevo camino hacia la democracia.</w:t>
      </w:r>
    </w:p>
    <w:p w14:paraId="72008992" w14:textId="6448E3B8"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El presidente Aylwin gobernó con el apoyo de la Concertación de Partidos por la Democracia iniciando la denominada "Transición a la Democracia". Durante su gobierno, el 25 de abril de 1990, se creó la Comisión Nacional de Verdad y Reconciliación, encabezada por el jurista y exparlamentario Raúl </w:t>
      </w:r>
      <w:proofErr w:type="spellStart"/>
      <w:r w:rsidRPr="009F62F7">
        <w:rPr>
          <w:rFonts w:ascii="Arial" w:hAnsi="Arial" w:cs="Arial"/>
          <w:color w:val="111111"/>
        </w:rPr>
        <w:t>Rettig</w:t>
      </w:r>
      <w:proofErr w:type="spellEnd"/>
      <w:r w:rsidRPr="009F62F7">
        <w:rPr>
          <w:rFonts w:ascii="Arial" w:hAnsi="Arial" w:cs="Arial"/>
          <w:color w:val="111111"/>
        </w:rPr>
        <w:t xml:space="preserve">, quien tuvo como misión investigar y elaborar un informe que diera cuenta de las violaciones a los derechos humanos durante el régimen militar. Este documento, conocido como "Informe </w:t>
      </w:r>
      <w:proofErr w:type="spellStart"/>
      <w:r w:rsidRPr="009F62F7">
        <w:rPr>
          <w:rFonts w:ascii="Arial" w:hAnsi="Arial" w:cs="Arial"/>
          <w:color w:val="111111"/>
        </w:rPr>
        <w:t>Rettig</w:t>
      </w:r>
      <w:proofErr w:type="spellEnd"/>
      <w:r w:rsidRPr="009F62F7">
        <w:rPr>
          <w:rFonts w:ascii="Arial" w:hAnsi="Arial" w:cs="Arial"/>
          <w:color w:val="111111"/>
        </w:rPr>
        <w:t xml:space="preserve">", fue entregado el 8 de febrero de 1991, durante una ceremonia solemne. Como resultado, se creó la Corporación de Reparación y Reconciliación, encargada de calificar la posible condición de víctimas de aquellas personas </w:t>
      </w:r>
      <w:r w:rsidRPr="009F62F7">
        <w:rPr>
          <w:rFonts w:ascii="Arial" w:hAnsi="Arial" w:cs="Arial"/>
          <w:color w:val="111111"/>
        </w:rPr>
        <w:lastRenderedPageBreak/>
        <w:t>respecto de las cuales a la Comisión Nacional de Verdad y Reconciliación no le fue posible formarse convicción, o cuyos casos no alcanzó a examinar por falta de antecedentes suficientes. Además, se creó la Oficina Nacional de Retorno, cuya labor consistió en ayudar y compensar a los retornados de la Dictadura.</w:t>
      </w:r>
    </w:p>
    <w:p w14:paraId="19AA9CBA"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En el ámbito económico, su gobierno siguió una estrategia denominada "crecimiento con equidad", reconociendo la deuda pendiente del país con los más pobres. Chile vivió años de crecimiento económico (6% promedio entre 1990 y 1993), fundamentado en el incremento de las exportaciones, la consolidación del libre mercado y la prudencia fiscal. Estas medidas permitieron la reducción de la inflación (de 27,3% en 1989 a 11,2% en 1993) y del desempleo (de 6,3% en 1989 a 4% en 1993). También, impulsó la apertura internacional en temas comerciales mediante acuerdos bilaterales con países como México, Argentina, Venezuela, Bolivia y Colombia. Además, promovió las giras internacionales oficiales para reinsertar a Chile en la comunidad internacional.</w:t>
      </w:r>
    </w:p>
    <w:p w14:paraId="414B5A9F"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Durante su mandato, según lo estipulado por la Constitución de 1980, Augusto Pinochet se mantuvo como comandante en jefe del Ejército, lo que se extendió hasta 1998. Las relaciones cívico-militares estuvieron marcadas por tensiones importantes, entre ellas por el "Ejercicio de Enlaces" del 19 de diciembre de 1990, y por el "Boinazo", del 28 de mayo de 1993.</w:t>
      </w:r>
    </w:p>
    <w:p w14:paraId="02E05171" w14:textId="204BA361"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El 11 de marzo de 1994, le entregó el mando al también miembro del Partido Demócrata Cristiano, Eduardo Frei Ruiz-Tagle, quien se impuso en las urnas en las elecciones presidenciales de 1993.</w:t>
      </w:r>
    </w:p>
    <w:p w14:paraId="72A1210F" w14:textId="033FAC98"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Finalizado su ejercicio presidencial, no asumió como senador vitalicio porque la Constitución de 1980 reservó esa prerrogativa a los mandatarios que hubieran ejercido la jefatura de Estado por un periodo mínimo de seis años. No obstante, el 25 de marzo del 2000, el Congreso aprobó una enmienda constitucional que creó el estatuto de los expresidentes y otorgó inmunidad jurídica y dieta a los senadores vitalicios que renunciaran al cargo, extendiendo el beneficio al expresidente Aylwin.</w:t>
      </w:r>
    </w:p>
    <w:p w14:paraId="43D64A5D"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Murió el 19 de abril de 2016, en Santiago.</w:t>
      </w:r>
    </w:p>
    <w:p w14:paraId="7960BC18" w14:textId="77777777" w:rsidR="000517BB" w:rsidRPr="009F62F7" w:rsidRDefault="000517BB" w:rsidP="00D61C21">
      <w:pPr>
        <w:pStyle w:val="NormalWeb"/>
        <w:shd w:val="clear" w:color="auto" w:fill="FFFFFF"/>
        <w:spacing w:before="0" w:beforeAutospacing="0" w:after="150" w:afterAutospacing="0"/>
        <w:jc w:val="both"/>
        <w:rPr>
          <w:rFonts w:ascii="Arial" w:hAnsi="Arial" w:cs="Arial"/>
          <w:b/>
          <w:bCs/>
          <w:color w:val="111111"/>
        </w:rPr>
      </w:pPr>
    </w:p>
    <w:p w14:paraId="597432FA" w14:textId="667A2C19" w:rsidR="000517BB" w:rsidRPr="009F62F7" w:rsidRDefault="000517BB" w:rsidP="00D61C21">
      <w:pPr>
        <w:pStyle w:val="NormalWeb"/>
        <w:shd w:val="clear" w:color="auto" w:fill="FFFFFF"/>
        <w:spacing w:before="0" w:beforeAutospacing="0" w:after="150" w:afterAutospacing="0"/>
        <w:jc w:val="both"/>
        <w:rPr>
          <w:rFonts w:ascii="Arial" w:hAnsi="Arial" w:cs="Arial"/>
          <w:b/>
          <w:bCs/>
          <w:color w:val="111111"/>
        </w:rPr>
      </w:pPr>
      <w:r w:rsidRPr="009F62F7">
        <w:rPr>
          <w:rFonts w:ascii="Arial" w:hAnsi="Arial" w:cs="Arial"/>
          <w:b/>
          <w:bCs/>
          <w:color w:val="111111"/>
        </w:rPr>
        <w:t>EDUARDO FREI RUIZ TAGLE</w:t>
      </w:r>
      <w:r w:rsidR="00167AE7" w:rsidRPr="009F62F7">
        <w:rPr>
          <w:rFonts w:ascii="Arial" w:hAnsi="Arial" w:cs="Arial"/>
          <w:b/>
          <w:bCs/>
          <w:color w:val="111111"/>
        </w:rPr>
        <w:t xml:space="preserve"> 1994 - 2000</w:t>
      </w:r>
    </w:p>
    <w:p w14:paraId="0F9166D0" w14:textId="77B9B48E"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Asumió el 11 de marzo de 1994, recibiendo la banda presidencial de manos del presidente del Senado, Gabriel Valdés </w:t>
      </w:r>
      <w:proofErr w:type="spellStart"/>
      <w:r w:rsidRPr="009F62F7">
        <w:rPr>
          <w:rFonts w:ascii="Arial" w:hAnsi="Arial" w:cs="Arial"/>
          <w:color w:val="111111"/>
        </w:rPr>
        <w:t>Subercaseaux</w:t>
      </w:r>
      <w:proofErr w:type="spellEnd"/>
      <w:r w:rsidRPr="009F62F7">
        <w:rPr>
          <w:rFonts w:ascii="Arial" w:hAnsi="Arial" w:cs="Arial"/>
          <w:color w:val="111111"/>
        </w:rPr>
        <w:t>. De este modo, reemplazó en el cargo al también democratacristiano Patricio Aylwin.</w:t>
      </w:r>
    </w:p>
    <w:p w14:paraId="5821E339"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Impulsó una reforma al sistema educacional, que aumentó la jornada escolar, elevó las remuneraciones de los profesores y los capacitó. Introdujo mejoras en la infraestructura, modificó los programas educativos y permitió el acceso a los estudiantes a las tecnologías de la información. Con ello se pretendió asegurar una educación que garantizara la igualdad de oportunidades a los niños de Chile. En obras públicas, introdujo la participación del sector privado por medio del sistema </w:t>
      </w:r>
      <w:r w:rsidRPr="009F62F7">
        <w:rPr>
          <w:rFonts w:ascii="Arial" w:hAnsi="Arial" w:cs="Arial"/>
          <w:color w:val="111111"/>
        </w:rPr>
        <w:lastRenderedPageBreak/>
        <w:t>de concesiones. Es así como se modernizaron los puertos, se mejoraron y construyeron nuevas carreteras, se ampliaron la mayoría de las terminales aéreas y se ejecutaron numerosas obras de regadío. En materia de justicia, se inició la reforma procesal penal, catalogada como la “más importante de los últimos cien años”. Esta iniciativa contemplaba la introducción del juicio oral, el establecimiento de nuevos tribunales y la creación de la figura del Fiscal Público Nacional, entre otros aspectos.</w:t>
      </w:r>
    </w:p>
    <w:p w14:paraId="2716DB40"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Promulgó una serie de leyes que buscaron potenciar la familia como núcleo fundamental de la sociedad. Entre éstas destacaban las leyes de violencia intrafamiliar, filiación, protección a la familia y la de adopciones, y dejó en marcha la tramitación del proyecto de ley que crea los Tribunales de la Familia.</w:t>
      </w:r>
    </w:p>
    <w:p w14:paraId="32E5DC0D"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Económicamente, Chile consolidó una política que compatibilizó el crecimiento con la equidad logrando un crecimiento promedio superior al 5 por ciento, inflación de un 6 por ciento y una significativa reducción en los niveles de pobreza, llegando a alcanzar a un 20 por ciento de la población.</w:t>
      </w:r>
    </w:p>
    <w:p w14:paraId="3737A23C"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En el último período de su administración el país atravesó una grave crisis financiera, producto de la denominada “Crisis Asiática”, que se explica por las dificultades financieras de países asiáticos, luego de la devaluación de la moneda tailandesa. Se sumaron a esto los problemas energéticos, producto de la sequía que afectó a nuestro país.</w:t>
      </w:r>
    </w:p>
    <w:p w14:paraId="6C57A485"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Se firmó un protocolo gasífero entre Chile y Argentina, en 1995, que abastecería al país de gas natural, como medida para evitar la dependencia de las lluvias en el suministro. Además, en 1996 se inauguró la central hidroeléctrica Pangue, en la Región del Biobío y se aprobó el estudio de impacto ambiental de la central </w:t>
      </w:r>
      <w:proofErr w:type="spellStart"/>
      <w:r w:rsidRPr="009F62F7">
        <w:rPr>
          <w:rFonts w:ascii="Arial" w:hAnsi="Arial" w:cs="Arial"/>
          <w:color w:val="111111"/>
        </w:rPr>
        <w:t>Ralco</w:t>
      </w:r>
      <w:proofErr w:type="spellEnd"/>
      <w:r w:rsidRPr="009F62F7">
        <w:rPr>
          <w:rFonts w:ascii="Arial" w:hAnsi="Arial" w:cs="Arial"/>
          <w:color w:val="111111"/>
        </w:rPr>
        <w:t>, en el Alto Biobío.</w:t>
      </w:r>
    </w:p>
    <w:p w14:paraId="794F8284"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En materia minera, se firmó el Tratado sobre integración y complementación entre Chile y Argentina, que permitió la instalación de Pascua Lama, y el estudio de proyectos mineros como Vicuña, Amos-Andrés, Las Flechas y El Pachón.</w:t>
      </w:r>
    </w:p>
    <w:p w14:paraId="7A4EFA0F" w14:textId="7714ECD6"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En el plano de las relaciones internacionales, fortaleció la apertura comercial del país, reinsertándolo en la comunidad internacional, y así Chile pasó a ser miembro activo del Foro de Cooperación Económica del Asia-Pacífico (APEC); suscribió un Acuerdo de Libre Comercio con Canadá; firmó un Acuerdo de Cooperación Económica y Política con la Comunidad Europea; e incorporó al país como miembro asociado del Mercosur. Respecto a las relaciones con China, el 23 de marzo de 1994 firmó el Convenio sobre estímulo y Protección Mutua de Inversión. En el marco de una reunión informal de la APEC, en Indonesia, se entrevistó con el presidente de Estado chino, </w:t>
      </w:r>
      <w:proofErr w:type="spellStart"/>
      <w:r w:rsidRPr="009F62F7">
        <w:rPr>
          <w:rFonts w:ascii="Arial" w:hAnsi="Arial" w:cs="Arial"/>
          <w:color w:val="111111"/>
        </w:rPr>
        <w:t>Jiang</w:t>
      </w:r>
      <w:proofErr w:type="spellEnd"/>
      <w:r w:rsidRPr="009F62F7">
        <w:rPr>
          <w:rFonts w:ascii="Arial" w:hAnsi="Arial" w:cs="Arial"/>
          <w:color w:val="111111"/>
        </w:rPr>
        <w:t xml:space="preserve"> Zemin, el 14 de noviembre de 1994.</w:t>
      </w:r>
    </w:p>
    <w:p w14:paraId="42DC183F" w14:textId="68676214"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En tanto, el 24 de noviembre de 1995, el presidente chino recibió al presidente Frei en el Gran Palacio del Pueblo, en Beijing, quien -además- se reunió con el primer ministro Li </w:t>
      </w:r>
      <w:proofErr w:type="spellStart"/>
      <w:r w:rsidRPr="009F62F7">
        <w:rPr>
          <w:rFonts w:ascii="Arial" w:hAnsi="Arial" w:cs="Arial"/>
          <w:color w:val="111111"/>
        </w:rPr>
        <w:t>Peng</w:t>
      </w:r>
      <w:proofErr w:type="spellEnd"/>
      <w:r w:rsidRPr="009F62F7">
        <w:rPr>
          <w:rFonts w:ascii="Arial" w:hAnsi="Arial" w:cs="Arial"/>
          <w:color w:val="111111"/>
        </w:rPr>
        <w:t xml:space="preserve">; en este marco, se firmó el Convenio de Transporte Marítimo y el memorando de Entendimiento sobre la Cooperación en Pesquería. En esta misma </w:t>
      </w:r>
      <w:r w:rsidRPr="009F62F7">
        <w:rPr>
          <w:rFonts w:ascii="Arial" w:hAnsi="Arial" w:cs="Arial"/>
          <w:color w:val="111111"/>
        </w:rPr>
        <w:lastRenderedPageBreak/>
        <w:t xml:space="preserve">gira, el mandatario se entrevistó con el secretario del Comité Municipal de </w:t>
      </w:r>
      <w:proofErr w:type="spellStart"/>
      <w:r w:rsidRPr="009F62F7">
        <w:rPr>
          <w:rFonts w:ascii="Arial" w:hAnsi="Arial" w:cs="Arial"/>
          <w:color w:val="111111"/>
        </w:rPr>
        <w:t>Shangai</w:t>
      </w:r>
      <w:proofErr w:type="spellEnd"/>
      <w:r w:rsidRPr="009F62F7">
        <w:rPr>
          <w:rFonts w:ascii="Arial" w:hAnsi="Arial" w:cs="Arial"/>
          <w:color w:val="111111"/>
        </w:rPr>
        <w:t xml:space="preserve">, </w:t>
      </w:r>
      <w:proofErr w:type="spellStart"/>
      <w:r w:rsidRPr="009F62F7">
        <w:rPr>
          <w:rFonts w:ascii="Arial" w:hAnsi="Arial" w:cs="Arial"/>
          <w:color w:val="111111"/>
        </w:rPr>
        <w:t>Huang</w:t>
      </w:r>
      <w:proofErr w:type="spellEnd"/>
      <w:r w:rsidRPr="009F62F7">
        <w:rPr>
          <w:rFonts w:ascii="Arial" w:hAnsi="Arial" w:cs="Arial"/>
          <w:color w:val="111111"/>
        </w:rPr>
        <w:t xml:space="preserve"> Ju, el 26 de noviembre de 1995; y ese mismo mes, 50 compañías chinas participaron en la Feria Internacional de Santiago (FISA S.A.).</w:t>
      </w:r>
    </w:p>
    <w:p w14:paraId="109AFA0A"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 xml:space="preserve">El 30 de enero de 1996, el presidente recibió en La Moneda al viceprimer ministro, </w:t>
      </w:r>
      <w:proofErr w:type="spellStart"/>
      <w:r w:rsidRPr="009F62F7">
        <w:rPr>
          <w:rFonts w:ascii="Arial" w:hAnsi="Arial" w:cs="Arial"/>
          <w:color w:val="111111"/>
        </w:rPr>
        <w:t>Shu</w:t>
      </w:r>
      <w:proofErr w:type="spellEnd"/>
      <w:r w:rsidRPr="009F62F7">
        <w:rPr>
          <w:rFonts w:ascii="Arial" w:hAnsi="Arial" w:cs="Arial"/>
          <w:color w:val="111111"/>
        </w:rPr>
        <w:t xml:space="preserve"> </w:t>
      </w:r>
      <w:proofErr w:type="spellStart"/>
      <w:r w:rsidRPr="009F62F7">
        <w:rPr>
          <w:rFonts w:ascii="Arial" w:hAnsi="Arial" w:cs="Arial"/>
          <w:color w:val="111111"/>
        </w:rPr>
        <w:t>Rongji</w:t>
      </w:r>
      <w:proofErr w:type="spellEnd"/>
      <w:r w:rsidRPr="009F62F7">
        <w:rPr>
          <w:rFonts w:ascii="Arial" w:hAnsi="Arial" w:cs="Arial"/>
          <w:color w:val="111111"/>
        </w:rPr>
        <w:t xml:space="preserve">. Asimismo, el 5 de noviembre de 1996 fue visitado por el primer ministro chino Li </w:t>
      </w:r>
      <w:proofErr w:type="spellStart"/>
      <w:r w:rsidRPr="009F62F7">
        <w:rPr>
          <w:rFonts w:ascii="Arial" w:hAnsi="Arial" w:cs="Arial"/>
          <w:color w:val="111111"/>
        </w:rPr>
        <w:t>Peng</w:t>
      </w:r>
      <w:proofErr w:type="spellEnd"/>
      <w:r w:rsidRPr="009F62F7">
        <w:rPr>
          <w:rFonts w:ascii="Arial" w:hAnsi="Arial" w:cs="Arial"/>
          <w:color w:val="111111"/>
        </w:rPr>
        <w:t>, y firmaron el Convenio de Cooperación Espacial y el Acuerdo de Cooperación en Agricultura, Ganadería, y Ciencia y Tecnología.</w:t>
      </w:r>
    </w:p>
    <w:p w14:paraId="2476FA3F" w14:textId="23D88D6F"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En 1996, se desarrolló en Santiago y Viña del Mar la VI Cumbre Iberoamericana de jefes de Estado y de Gobierno, ocasión en la que el país acogió a numerosos mandatarios, además del rey Juan Carlos I de España.</w:t>
      </w:r>
    </w:p>
    <w:p w14:paraId="036B079A"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El mismo año, su gobierno consiguió la aprobación del Tratado de Campos de Hielo Sur, con el que puso fin al último litigio fronterizo pendiente con Argentina; y firmó del Acta de Ejecución del Tratado de Lima de 1929, con Perú, el 13 de noviembre de 1999, con lo que se finiquitaron los aspectos pendientes del Artículo 5 de dicho tratado y del segundo de su Protocolo Complementario.</w:t>
      </w:r>
    </w:p>
    <w:p w14:paraId="3C0F41B6"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Asimismo, en abril de 1998 recibió la visita del presidente de Estados Unidos, Bill Clinton, quien viajó en el marco de la II Cumbre de las Américas, realizada en Santiago.</w:t>
      </w:r>
    </w:p>
    <w:p w14:paraId="3058C7BF" w14:textId="2752725A"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Hacia el final de su periodo (16 de octubre de 1998) se produjo la detención del entonces senador vitalicio Augusto Pinochet, en Londres. En esa oportunidad se solicitó la liberación del senador, bajo el argumento de la vulneración de la soberanía. El general permaneció detenido 17 meses, retornando sólo días antes (2 de marzo de 2000) que finalizara su Gobierno.</w:t>
      </w:r>
    </w:p>
    <w:p w14:paraId="58F3C20D" w14:textId="77777777" w:rsidR="000517BB" w:rsidRPr="009F62F7" w:rsidRDefault="000517BB" w:rsidP="000517BB">
      <w:pPr>
        <w:pStyle w:val="NormalWeb"/>
        <w:shd w:val="clear" w:color="auto" w:fill="FFFFFF"/>
        <w:spacing w:before="0" w:beforeAutospacing="0" w:after="150" w:afterAutospacing="0"/>
        <w:jc w:val="both"/>
        <w:rPr>
          <w:rFonts w:ascii="Arial" w:hAnsi="Arial" w:cs="Arial"/>
          <w:color w:val="111111"/>
        </w:rPr>
      </w:pPr>
      <w:r w:rsidRPr="009F62F7">
        <w:rPr>
          <w:rFonts w:ascii="Arial" w:hAnsi="Arial" w:cs="Arial"/>
          <w:color w:val="111111"/>
        </w:rPr>
        <w:t>El 11 de marzo de 2000, terminó su período presidencial y fue sucedido por el socialista Ricardo Lagos Escobar, iniciándose el tercer gobierno de la Concertación de Partidos por la Democracia. Tras concluir su mandato, asumió como senador vitalicio, cargo que mantuvo hasta 2006.</w:t>
      </w:r>
    </w:p>
    <w:p w14:paraId="2C0FE971" w14:textId="77777777" w:rsidR="000517BB" w:rsidRPr="009F62F7" w:rsidRDefault="000517BB" w:rsidP="00D61C21">
      <w:pPr>
        <w:pStyle w:val="NormalWeb"/>
        <w:shd w:val="clear" w:color="auto" w:fill="FFFFFF"/>
        <w:spacing w:before="0" w:beforeAutospacing="0" w:after="150" w:afterAutospacing="0"/>
        <w:jc w:val="both"/>
        <w:rPr>
          <w:rFonts w:ascii="Arial" w:hAnsi="Arial" w:cs="Arial"/>
          <w:color w:val="111111"/>
        </w:rPr>
      </w:pPr>
    </w:p>
    <w:sectPr w:rsidR="000517BB" w:rsidRPr="009F62F7">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EAD0D4" w14:textId="77777777" w:rsidR="0010354B" w:rsidRDefault="0010354B" w:rsidP="00F2331F">
      <w:pPr>
        <w:spacing w:after="0" w:line="240" w:lineRule="auto"/>
      </w:pPr>
      <w:r>
        <w:separator/>
      </w:r>
    </w:p>
  </w:endnote>
  <w:endnote w:type="continuationSeparator" w:id="0">
    <w:p w14:paraId="651A3E54" w14:textId="77777777" w:rsidR="0010354B" w:rsidRDefault="0010354B" w:rsidP="00F23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960152"/>
      <w:docPartObj>
        <w:docPartGallery w:val="Page Numbers (Bottom of Page)"/>
        <w:docPartUnique/>
      </w:docPartObj>
    </w:sdtPr>
    <w:sdtEndPr/>
    <w:sdtContent>
      <w:p w14:paraId="57E85085" w14:textId="3F93963F" w:rsidR="00F2331F" w:rsidRDefault="00F2331F">
        <w:pPr>
          <w:pStyle w:val="Piedepgina"/>
          <w:jc w:val="right"/>
        </w:pPr>
        <w:r>
          <w:fldChar w:fldCharType="begin"/>
        </w:r>
        <w:r>
          <w:instrText>PAGE   \* MERGEFORMAT</w:instrText>
        </w:r>
        <w:r>
          <w:fldChar w:fldCharType="separate"/>
        </w:r>
        <w:r w:rsidR="00556941" w:rsidRPr="00556941">
          <w:rPr>
            <w:noProof/>
            <w:lang w:val="es-ES"/>
          </w:rPr>
          <w:t>10</w:t>
        </w:r>
        <w:r>
          <w:fldChar w:fldCharType="end"/>
        </w:r>
      </w:p>
    </w:sdtContent>
  </w:sdt>
  <w:p w14:paraId="28BC6D5C" w14:textId="77777777" w:rsidR="00F2331F" w:rsidRDefault="00F233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461D2" w14:textId="77777777" w:rsidR="0010354B" w:rsidRDefault="0010354B" w:rsidP="00F2331F">
      <w:pPr>
        <w:spacing w:after="0" w:line="240" w:lineRule="auto"/>
      </w:pPr>
      <w:r>
        <w:separator/>
      </w:r>
    </w:p>
  </w:footnote>
  <w:footnote w:type="continuationSeparator" w:id="0">
    <w:p w14:paraId="50558A0F" w14:textId="77777777" w:rsidR="0010354B" w:rsidRDefault="0010354B" w:rsidP="00F23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CA261" w14:textId="77777777" w:rsidR="00F2331F" w:rsidRDefault="00F2331F" w:rsidP="00F2331F">
    <w:pPr>
      <w:pStyle w:val="Encabezado"/>
    </w:pPr>
    <w:r>
      <w:t>ESCUELA NAVAL “A. PRAT”</w:t>
    </w:r>
  </w:p>
  <w:p w14:paraId="10BAEBAA" w14:textId="7E19B6EA" w:rsidR="00F2331F" w:rsidRDefault="0010354B" w:rsidP="00F2331F">
    <w:pPr>
      <w:pStyle w:val="Encabezado"/>
    </w:pPr>
    <w:r>
      <w:rPr>
        <w:noProof/>
      </w:rPr>
      <w:object w:dxaOrig="1440" w:dyaOrig="1440" w14:anchorId="53BA9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82.95pt;margin-top:-29.55pt;width:67.65pt;height:62.3pt;z-index:251659264;visibility:visible;mso-wrap-edited:f;mso-position-horizontal-relative:margin" fillcolor="#0c9">
          <v:fill opacity=".5"/>
          <v:imagedata r:id="rId1" o:title="" chromakey="white"/>
          <w10:wrap anchorx="margin"/>
        </v:shape>
        <o:OLEObject Type="Embed" ProgID="Word.Picture.8" ShapeID="_x0000_s2049" DrawAspect="Content" ObjectID="_1787549358" r:id="rId2"/>
      </w:object>
    </w:r>
    <w:r w:rsidR="00F2331F">
      <w:t>CÁTEDRA DE CS. SOCIALES</w:t>
    </w:r>
  </w:p>
  <w:p w14:paraId="628E3FBE" w14:textId="72D02D25" w:rsidR="00B32A4F" w:rsidRDefault="00B32A4F" w:rsidP="00F2331F">
    <w:pPr>
      <w:pStyle w:val="Encabezado"/>
    </w:pPr>
    <w:r>
      <w:t>ANÁLISIS DE LA REALIDAD NAC E INT</w:t>
    </w:r>
  </w:p>
  <w:p w14:paraId="6FCB1701" w14:textId="77777777" w:rsidR="00F2331F" w:rsidRDefault="00F2331F" w:rsidP="00F2331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31F"/>
    <w:rsid w:val="00006A6B"/>
    <w:rsid w:val="000517BB"/>
    <w:rsid w:val="000838E8"/>
    <w:rsid w:val="000F5CD2"/>
    <w:rsid w:val="0010354B"/>
    <w:rsid w:val="00161A9B"/>
    <w:rsid w:val="00167AE7"/>
    <w:rsid w:val="0017643A"/>
    <w:rsid w:val="00205BA2"/>
    <w:rsid w:val="002060A3"/>
    <w:rsid w:val="0023587F"/>
    <w:rsid w:val="002A5702"/>
    <w:rsid w:val="00317BA4"/>
    <w:rsid w:val="003865AE"/>
    <w:rsid w:val="00471E67"/>
    <w:rsid w:val="004E5363"/>
    <w:rsid w:val="004F2759"/>
    <w:rsid w:val="00517F57"/>
    <w:rsid w:val="00556941"/>
    <w:rsid w:val="00583F50"/>
    <w:rsid w:val="005D0ACB"/>
    <w:rsid w:val="005F08FB"/>
    <w:rsid w:val="00804865"/>
    <w:rsid w:val="009E30F4"/>
    <w:rsid w:val="009F62F7"/>
    <w:rsid w:val="00A13A0F"/>
    <w:rsid w:val="00A512BB"/>
    <w:rsid w:val="00B32A4F"/>
    <w:rsid w:val="00BF7DC3"/>
    <w:rsid w:val="00CA556C"/>
    <w:rsid w:val="00CE239D"/>
    <w:rsid w:val="00D61C21"/>
    <w:rsid w:val="00E109A5"/>
    <w:rsid w:val="00F2331F"/>
    <w:rsid w:val="00F5303C"/>
    <w:rsid w:val="00F97DF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FA07B4"/>
  <w15:chartTrackingRefBased/>
  <w15:docId w15:val="{C27FD27A-5F78-44CC-AB9B-2D0CA92F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23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23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2331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2331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2331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2331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2331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2331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2331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331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2331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2331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2331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2331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2331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2331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2331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2331F"/>
    <w:rPr>
      <w:rFonts w:eastAsiaTheme="majorEastAsia" w:cstheme="majorBidi"/>
      <w:color w:val="272727" w:themeColor="text1" w:themeTint="D8"/>
    </w:rPr>
  </w:style>
  <w:style w:type="paragraph" w:styleId="Ttulo">
    <w:name w:val="Title"/>
    <w:basedOn w:val="Normal"/>
    <w:next w:val="Normal"/>
    <w:link w:val="TtuloCar"/>
    <w:uiPriority w:val="10"/>
    <w:qFormat/>
    <w:rsid w:val="00F233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233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2331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2331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2331F"/>
    <w:pPr>
      <w:spacing w:before="160"/>
      <w:jc w:val="center"/>
    </w:pPr>
    <w:rPr>
      <w:i/>
      <w:iCs/>
      <w:color w:val="404040" w:themeColor="text1" w:themeTint="BF"/>
    </w:rPr>
  </w:style>
  <w:style w:type="character" w:customStyle="1" w:styleId="CitaCar">
    <w:name w:val="Cita Car"/>
    <w:basedOn w:val="Fuentedeprrafopredeter"/>
    <w:link w:val="Cita"/>
    <w:uiPriority w:val="29"/>
    <w:rsid w:val="00F2331F"/>
    <w:rPr>
      <w:i/>
      <w:iCs/>
      <w:color w:val="404040" w:themeColor="text1" w:themeTint="BF"/>
    </w:rPr>
  </w:style>
  <w:style w:type="paragraph" w:styleId="Prrafodelista">
    <w:name w:val="List Paragraph"/>
    <w:basedOn w:val="Normal"/>
    <w:uiPriority w:val="34"/>
    <w:qFormat/>
    <w:rsid w:val="00F2331F"/>
    <w:pPr>
      <w:ind w:left="720"/>
      <w:contextualSpacing/>
    </w:pPr>
  </w:style>
  <w:style w:type="character" w:styleId="nfasisintenso">
    <w:name w:val="Intense Emphasis"/>
    <w:basedOn w:val="Fuentedeprrafopredeter"/>
    <w:uiPriority w:val="21"/>
    <w:qFormat/>
    <w:rsid w:val="00F2331F"/>
    <w:rPr>
      <w:i/>
      <w:iCs/>
      <w:color w:val="0F4761" w:themeColor="accent1" w:themeShade="BF"/>
    </w:rPr>
  </w:style>
  <w:style w:type="paragraph" w:styleId="Citadestacada">
    <w:name w:val="Intense Quote"/>
    <w:basedOn w:val="Normal"/>
    <w:next w:val="Normal"/>
    <w:link w:val="CitadestacadaCar"/>
    <w:uiPriority w:val="30"/>
    <w:qFormat/>
    <w:rsid w:val="00F23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2331F"/>
    <w:rPr>
      <w:i/>
      <w:iCs/>
      <w:color w:val="0F4761" w:themeColor="accent1" w:themeShade="BF"/>
    </w:rPr>
  </w:style>
  <w:style w:type="character" w:styleId="Referenciaintensa">
    <w:name w:val="Intense Reference"/>
    <w:basedOn w:val="Fuentedeprrafopredeter"/>
    <w:uiPriority w:val="32"/>
    <w:qFormat/>
    <w:rsid w:val="00F2331F"/>
    <w:rPr>
      <w:b/>
      <w:bCs/>
      <w:smallCaps/>
      <w:color w:val="0F4761" w:themeColor="accent1" w:themeShade="BF"/>
      <w:spacing w:val="5"/>
    </w:rPr>
  </w:style>
  <w:style w:type="paragraph" w:styleId="NormalWeb">
    <w:name w:val="Normal (Web)"/>
    <w:basedOn w:val="Normal"/>
    <w:uiPriority w:val="99"/>
    <w:semiHidden/>
    <w:unhideWhenUsed/>
    <w:rsid w:val="00F2331F"/>
    <w:pPr>
      <w:spacing w:before="100" w:beforeAutospacing="1" w:after="100" w:afterAutospacing="1" w:line="240" w:lineRule="auto"/>
    </w:pPr>
    <w:rPr>
      <w:rFonts w:ascii="Times New Roman" w:eastAsia="Times New Roman" w:hAnsi="Times New Roman" w:cs="Times New Roman"/>
      <w:kern w:val="0"/>
      <w:lang w:eastAsia="es-CL"/>
      <w14:ligatures w14:val="none"/>
    </w:rPr>
  </w:style>
  <w:style w:type="character" w:styleId="Hipervnculo">
    <w:name w:val="Hyperlink"/>
    <w:basedOn w:val="Fuentedeprrafopredeter"/>
    <w:uiPriority w:val="99"/>
    <w:unhideWhenUsed/>
    <w:rsid w:val="00F2331F"/>
    <w:rPr>
      <w:color w:val="0000FF"/>
      <w:u w:val="single"/>
    </w:rPr>
  </w:style>
  <w:style w:type="paragraph" w:styleId="Encabezado">
    <w:name w:val="header"/>
    <w:basedOn w:val="Normal"/>
    <w:link w:val="EncabezadoCar"/>
    <w:uiPriority w:val="99"/>
    <w:unhideWhenUsed/>
    <w:rsid w:val="00F233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331F"/>
  </w:style>
  <w:style w:type="paragraph" w:styleId="Piedepgina">
    <w:name w:val="footer"/>
    <w:basedOn w:val="Normal"/>
    <w:link w:val="PiedepginaCar"/>
    <w:uiPriority w:val="99"/>
    <w:unhideWhenUsed/>
    <w:rsid w:val="00F233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3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539">
      <w:bodyDiv w:val="1"/>
      <w:marLeft w:val="0"/>
      <w:marRight w:val="0"/>
      <w:marTop w:val="0"/>
      <w:marBottom w:val="0"/>
      <w:divBdr>
        <w:top w:val="none" w:sz="0" w:space="0" w:color="auto"/>
        <w:left w:val="none" w:sz="0" w:space="0" w:color="auto"/>
        <w:bottom w:val="none" w:sz="0" w:space="0" w:color="auto"/>
        <w:right w:val="none" w:sz="0" w:space="0" w:color="auto"/>
      </w:divBdr>
    </w:div>
    <w:div w:id="531186443">
      <w:bodyDiv w:val="1"/>
      <w:marLeft w:val="0"/>
      <w:marRight w:val="0"/>
      <w:marTop w:val="0"/>
      <w:marBottom w:val="0"/>
      <w:divBdr>
        <w:top w:val="none" w:sz="0" w:space="0" w:color="auto"/>
        <w:left w:val="none" w:sz="0" w:space="0" w:color="auto"/>
        <w:bottom w:val="none" w:sz="0" w:space="0" w:color="auto"/>
        <w:right w:val="none" w:sz="0" w:space="0" w:color="auto"/>
      </w:divBdr>
    </w:div>
    <w:div w:id="605039041">
      <w:bodyDiv w:val="1"/>
      <w:marLeft w:val="0"/>
      <w:marRight w:val="0"/>
      <w:marTop w:val="0"/>
      <w:marBottom w:val="0"/>
      <w:divBdr>
        <w:top w:val="none" w:sz="0" w:space="0" w:color="auto"/>
        <w:left w:val="none" w:sz="0" w:space="0" w:color="auto"/>
        <w:bottom w:val="none" w:sz="0" w:space="0" w:color="auto"/>
        <w:right w:val="none" w:sz="0" w:space="0" w:color="auto"/>
      </w:divBdr>
      <w:divsChild>
        <w:div w:id="1646809522">
          <w:marLeft w:val="0"/>
          <w:marRight w:val="0"/>
          <w:marTop w:val="300"/>
          <w:marBottom w:val="150"/>
          <w:divBdr>
            <w:top w:val="none" w:sz="0" w:space="0" w:color="auto"/>
            <w:left w:val="none" w:sz="0" w:space="0" w:color="auto"/>
            <w:bottom w:val="none" w:sz="0" w:space="0" w:color="auto"/>
            <w:right w:val="none" w:sz="0" w:space="0" w:color="auto"/>
          </w:divBdr>
        </w:div>
        <w:div w:id="822506215">
          <w:marLeft w:val="0"/>
          <w:marRight w:val="0"/>
          <w:marTop w:val="300"/>
          <w:marBottom w:val="150"/>
          <w:divBdr>
            <w:top w:val="none" w:sz="0" w:space="0" w:color="auto"/>
            <w:left w:val="none" w:sz="0" w:space="0" w:color="auto"/>
            <w:bottom w:val="none" w:sz="0" w:space="0" w:color="auto"/>
            <w:right w:val="none" w:sz="0" w:space="0" w:color="auto"/>
          </w:divBdr>
        </w:div>
      </w:divsChild>
    </w:div>
    <w:div w:id="823089215">
      <w:bodyDiv w:val="1"/>
      <w:marLeft w:val="0"/>
      <w:marRight w:val="0"/>
      <w:marTop w:val="0"/>
      <w:marBottom w:val="0"/>
      <w:divBdr>
        <w:top w:val="none" w:sz="0" w:space="0" w:color="auto"/>
        <w:left w:val="none" w:sz="0" w:space="0" w:color="auto"/>
        <w:bottom w:val="none" w:sz="0" w:space="0" w:color="auto"/>
        <w:right w:val="none" w:sz="0" w:space="0" w:color="auto"/>
      </w:divBdr>
      <w:divsChild>
        <w:div w:id="141191471">
          <w:marLeft w:val="0"/>
          <w:marRight w:val="0"/>
          <w:marTop w:val="0"/>
          <w:marBottom w:val="300"/>
          <w:divBdr>
            <w:top w:val="none" w:sz="0" w:space="0" w:color="auto"/>
            <w:left w:val="none" w:sz="0" w:space="0" w:color="auto"/>
            <w:bottom w:val="none" w:sz="0" w:space="0" w:color="auto"/>
            <w:right w:val="none" w:sz="0" w:space="0" w:color="auto"/>
          </w:divBdr>
          <w:divsChild>
            <w:div w:id="167403006">
              <w:marLeft w:val="0"/>
              <w:marRight w:val="0"/>
              <w:marTop w:val="0"/>
              <w:marBottom w:val="0"/>
              <w:divBdr>
                <w:top w:val="none" w:sz="0" w:space="0" w:color="auto"/>
                <w:left w:val="none" w:sz="0" w:space="0" w:color="auto"/>
                <w:bottom w:val="none" w:sz="0" w:space="0" w:color="auto"/>
                <w:right w:val="none" w:sz="0" w:space="0" w:color="auto"/>
              </w:divBdr>
            </w:div>
          </w:divsChild>
        </w:div>
        <w:div w:id="44761947">
          <w:marLeft w:val="0"/>
          <w:marRight w:val="0"/>
          <w:marTop w:val="0"/>
          <w:marBottom w:val="300"/>
          <w:divBdr>
            <w:top w:val="none" w:sz="0" w:space="0" w:color="auto"/>
            <w:left w:val="none" w:sz="0" w:space="0" w:color="auto"/>
            <w:bottom w:val="none" w:sz="0" w:space="0" w:color="auto"/>
            <w:right w:val="none" w:sz="0" w:space="0" w:color="auto"/>
          </w:divBdr>
          <w:divsChild>
            <w:div w:id="16823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431563">
      <w:bodyDiv w:val="1"/>
      <w:marLeft w:val="0"/>
      <w:marRight w:val="0"/>
      <w:marTop w:val="0"/>
      <w:marBottom w:val="0"/>
      <w:divBdr>
        <w:top w:val="none" w:sz="0" w:space="0" w:color="auto"/>
        <w:left w:val="none" w:sz="0" w:space="0" w:color="auto"/>
        <w:bottom w:val="none" w:sz="0" w:space="0" w:color="auto"/>
        <w:right w:val="none" w:sz="0" w:space="0" w:color="auto"/>
      </w:divBdr>
    </w:div>
    <w:div w:id="1160078099">
      <w:bodyDiv w:val="1"/>
      <w:marLeft w:val="0"/>
      <w:marRight w:val="0"/>
      <w:marTop w:val="0"/>
      <w:marBottom w:val="0"/>
      <w:divBdr>
        <w:top w:val="none" w:sz="0" w:space="0" w:color="auto"/>
        <w:left w:val="none" w:sz="0" w:space="0" w:color="auto"/>
        <w:bottom w:val="none" w:sz="0" w:space="0" w:color="auto"/>
        <w:right w:val="none" w:sz="0" w:space="0" w:color="auto"/>
      </w:divBdr>
    </w:div>
    <w:div w:id="1403219222">
      <w:bodyDiv w:val="1"/>
      <w:marLeft w:val="0"/>
      <w:marRight w:val="0"/>
      <w:marTop w:val="0"/>
      <w:marBottom w:val="0"/>
      <w:divBdr>
        <w:top w:val="none" w:sz="0" w:space="0" w:color="auto"/>
        <w:left w:val="none" w:sz="0" w:space="0" w:color="auto"/>
        <w:bottom w:val="none" w:sz="0" w:space="0" w:color="auto"/>
        <w:right w:val="none" w:sz="0" w:space="0" w:color="auto"/>
      </w:divBdr>
    </w:div>
    <w:div w:id="1656839199">
      <w:bodyDiv w:val="1"/>
      <w:marLeft w:val="0"/>
      <w:marRight w:val="0"/>
      <w:marTop w:val="0"/>
      <w:marBottom w:val="0"/>
      <w:divBdr>
        <w:top w:val="none" w:sz="0" w:space="0" w:color="auto"/>
        <w:left w:val="none" w:sz="0" w:space="0" w:color="auto"/>
        <w:bottom w:val="none" w:sz="0" w:space="0" w:color="auto"/>
        <w:right w:val="none" w:sz="0" w:space="0" w:color="auto"/>
      </w:divBdr>
    </w:div>
    <w:div w:id="1719206254">
      <w:bodyDiv w:val="1"/>
      <w:marLeft w:val="0"/>
      <w:marRight w:val="0"/>
      <w:marTop w:val="0"/>
      <w:marBottom w:val="0"/>
      <w:divBdr>
        <w:top w:val="none" w:sz="0" w:space="0" w:color="auto"/>
        <w:left w:val="none" w:sz="0" w:space="0" w:color="auto"/>
        <w:bottom w:val="none" w:sz="0" w:space="0" w:color="auto"/>
        <w:right w:val="none" w:sz="0" w:space="0" w:color="auto"/>
      </w:divBdr>
    </w:div>
    <w:div w:id="207562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bcn.cl/historiapolitic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cn.cl/historiapolitica/"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4363</Words>
  <Characters>24002</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9416032-4</cp:lastModifiedBy>
  <cp:revision>4</cp:revision>
  <dcterms:created xsi:type="dcterms:W3CDTF">2024-09-10T11:15:00Z</dcterms:created>
  <dcterms:modified xsi:type="dcterms:W3CDTF">2024-09-11T11:43:00Z</dcterms:modified>
</cp:coreProperties>
</file>