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FE4" w:rsidRDefault="0086394C">
      <w:pPr>
        <w:rPr>
          <w:lang w:val="es-MX"/>
        </w:rPr>
      </w:pPr>
      <w:r>
        <w:rPr>
          <w:lang w:val="es-MX"/>
        </w:rPr>
        <w:t xml:space="preserve"> </w:t>
      </w:r>
    </w:p>
    <w:p w:rsidR="0086394C" w:rsidRPr="0086394C" w:rsidRDefault="0086394C" w:rsidP="0086394C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Cs/>
          <w:sz w:val="27"/>
          <w:szCs w:val="27"/>
          <w:lang w:eastAsia="es-CL"/>
        </w:rPr>
      </w:pPr>
      <w:r w:rsidRPr="0086394C">
        <w:rPr>
          <w:rFonts w:eastAsia="Times New Roman" w:cstheme="minorHAnsi"/>
          <w:bCs/>
          <w:sz w:val="27"/>
          <w:szCs w:val="27"/>
          <w:lang w:eastAsia="es-CL"/>
        </w:rPr>
        <w:t>Origen y evolución de los contenedores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cstheme="minorHAnsi"/>
        </w:rPr>
        <w:t xml:space="preserve">El transporte en contenedores surge para </w:t>
      </w:r>
      <w:r w:rsidRPr="00F442A9">
        <w:rPr>
          <w:rStyle w:val="Textoennegrita"/>
          <w:rFonts w:cstheme="minorHAnsi"/>
          <w:b w:val="0"/>
        </w:rPr>
        <w:t>agilizar la carga y descarga</w:t>
      </w:r>
      <w:r w:rsidRPr="00F442A9">
        <w:rPr>
          <w:rFonts w:cstheme="minorHAnsi"/>
        </w:rPr>
        <w:t>, reducir pérdidas y aprovechar mejor el espacio.</w:t>
      </w:r>
      <w:r w:rsidRPr="00F442A9">
        <w:rPr>
          <w:rFonts w:cstheme="minorHAnsi"/>
        </w:rPr>
        <w:br/>
        <w:t xml:space="preserve">Con el tiempo, los buques pasaron de cargueros convencionales a </w:t>
      </w:r>
      <w:r w:rsidRPr="00F442A9">
        <w:rPr>
          <w:rStyle w:val="Textoennegrita"/>
          <w:rFonts w:cstheme="minorHAnsi"/>
          <w:b w:val="0"/>
        </w:rPr>
        <w:t>portacontenedores celulares</w:t>
      </w:r>
      <w:r w:rsidRPr="00F442A9">
        <w:rPr>
          <w:rFonts w:cstheme="minorHAnsi"/>
        </w:rPr>
        <w:t>, con guías interiores y cubierta reforzada.</w:t>
      </w:r>
      <w:r w:rsidRPr="00F442A9">
        <w:rPr>
          <w:rFonts w:cstheme="minorHAnsi"/>
        </w:rPr>
        <w:br/>
        <w:t xml:space="preserve">Hoy existen buques como el </w:t>
      </w:r>
      <w:r w:rsidRPr="00F442A9">
        <w:rPr>
          <w:rStyle w:val="nfasis"/>
          <w:rFonts w:cstheme="minorHAnsi"/>
        </w:rPr>
        <w:t>Verónica B</w:t>
      </w:r>
      <w:r w:rsidRPr="00F442A9">
        <w:rPr>
          <w:rFonts w:cstheme="minorHAnsi"/>
        </w:rPr>
        <w:t xml:space="preserve"> (1.256 TEU) hasta gigantes ULCV de más de 20 000 TEU, con tecnología avanzada y espacios para </w:t>
      </w:r>
      <w:proofErr w:type="spellStart"/>
      <w:r w:rsidRPr="00F442A9">
        <w:rPr>
          <w:rFonts w:cstheme="minorHAnsi"/>
        </w:rPr>
        <w:t>reefers</w:t>
      </w:r>
      <w:proofErr w:type="spellEnd"/>
      <w:r w:rsidRPr="00F442A9">
        <w:rPr>
          <w:rFonts w:cstheme="minorHAnsi"/>
        </w:rPr>
        <w:t>.</w:t>
      </w:r>
    </w:p>
    <w:p w:rsidR="00A4402D" w:rsidRDefault="00A4402D" w:rsidP="00F442A9">
      <w:pPr>
        <w:pStyle w:val="Ttulo3"/>
        <w:rPr>
          <w:rStyle w:val="Textoennegrita"/>
          <w:rFonts w:asciiTheme="minorHAnsi" w:hAnsiTheme="minorHAnsi" w:cstheme="minorHAnsi"/>
          <w:bCs/>
        </w:rPr>
      </w:pPr>
    </w:p>
    <w:p w:rsidR="00F442A9" w:rsidRPr="00F442A9" w:rsidRDefault="00F442A9" w:rsidP="00F442A9">
      <w:pPr>
        <w:pStyle w:val="Ttulo3"/>
        <w:rPr>
          <w:rFonts w:asciiTheme="minorHAnsi" w:hAnsiTheme="minorHAnsi" w:cstheme="minorHAnsi"/>
          <w:b w:val="0"/>
        </w:rPr>
      </w:pPr>
      <w:bookmarkStart w:id="0" w:name="_GoBack"/>
      <w:bookmarkEnd w:id="0"/>
      <w:r w:rsidRPr="00F442A9">
        <w:rPr>
          <w:rStyle w:val="Textoennegrita"/>
          <w:rFonts w:asciiTheme="minorHAnsi" w:hAnsiTheme="minorHAnsi" w:cstheme="minorHAnsi"/>
          <w:bCs/>
        </w:rPr>
        <w:t>Tipos de contenedores y sus usos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Dry Van / High Cube: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carga seca general.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Open Top: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para carga sobredimensionada.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Flat Rack: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maquinaria o vehículos pesados.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Reefer: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productos refrigerados.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Tank: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líquidos y químicos.</w:t>
      </w:r>
    </w:p>
    <w:p w:rsidR="00F442A9" w:rsidRPr="00F442A9" w:rsidRDefault="00F442A9" w:rsidP="00F442A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s-CL"/>
        </w:rPr>
      </w:pPr>
      <w:r w:rsidRPr="00F442A9">
        <w:rPr>
          <w:rFonts w:eastAsia="Times New Roman" w:cstheme="minorHAnsi"/>
          <w:sz w:val="24"/>
          <w:szCs w:val="24"/>
          <w:lang w:eastAsia="es-CL"/>
        </w:rPr>
        <w:t xml:space="preserve">  </w:t>
      </w:r>
      <w:r w:rsidRPr="00F442A9">
        <w:rPr>
          <w:rFonts w:eastAsia="Times New Roman" w:cstheme="minorHAnsi"/>
          <w:bCs/>
          <w:sz w:val="24"/>
          <w:szCs w:val="24"/>
          <w:lang w:eastAsia="es-CL"/>
        </w:rPr>
        <w:t>Pallet Wide y Jaulas:</w:t>
      </w:r>
      <w:r w:rsidRPr="00F442A9">
        <w:rPr>
          <w:rFonts w:eastAsia="Times New Roman" w:cstheme="minorHAnsi"/>
          <w:sz w:val="24"/>
          <w:szCs w:val="24"/>
          <w:lang w:eastAsia="es-CL"/>
        </w:rPr>
        <w:t xml:space="preserve"> carga especial o animales.</w:t>
      </w:r>
    </w:p>
    <w:p w:rsidR="00F442A9" w:rsidRDefault="00F442A9" w:rsidP="00F442A9">
      <w:pPr>
        <w:pStyle w:val="NormalWeb"/>
        <w:ind w:left="360"/>
      </w:pPr>
      <w:r>
        <w:t>.</w:t>
      </w:r>
    </w:p>
    <w:p w:rsidR="00A4402D" w:rsidRDefault="00A4402D" w:rsidP="00F442A9">
      <w:pPr>
        <w:pStyle w:val="Ttulo3"/>
        <w:rPr>
          <w:rStyle w:val="Textoennegrita"/>
          <w:rFonts w:asciiTheme="minorHAnsi" w:hAnsiTheme="minorHAnsi" w:cstheme="minorHAnsi"/>
          <w:bCs/>
        </w:rPr>
      </w:pPr>
    </w:p>
    <w:p w:rsidR="00A4402D" w:rsidRDefault="00A4402D" w:rsidP="00F442A9">
      <w:pPr>
        <w:pStyle w:val="Ttulo3"/>
        <w:rPr>
          <w:rStyle w:val="Textoennegrita"/>
          <w:rFonts w:asciiTheme="minorHAnsi" w:hAnsiTheme="minorHAnsi" w:cstheme="minorHAnsi"/>
          <w:bCs/>
        </w:rPr>
      </w:pPr>
    </w:p>
    <w:p w:rsidR="00A4402D" w:rsidRDefault="00A4402D" w:rsidP="00F442A9">
      <w:pPr>
        <w:pStyle w:val="Ttulo3"/>
        <w:rPr>
          <w:rStyle w:val="Textoennegrita"/>
          <w:rFonts w:asciiTheme="minorHAnsi" w:hAnsiTheme="minorHAnsi" w:cstheme="minorHAnsi"/>
          <w:bCs/>
        </w:rPr>
      </w:pPr>
    </w:p>
    <w:p w:rsidR="00F442A9" w:rsidRPr="00F442A9" w:rsidRDefault="00F442A9" w:rsidP="00F442A9">
      <w:pPr>
        <w:pStyle w:val="Ttulo3"/>
        <w:rPr>
          <w:rFonts w:asciiTheme="minorHAnsi" w:hAnsiTheme="minorHAnsi" w:cstheme="minorHAnsi"/>
          <w:b w:val="0"/>
        </w:rPr>
      </w:pPr>
      <w:r w:rsidRPr="00F442A9">
        <w:rPr>
          <w:rStyle w:val="Textoennegrita"/>
          <w:rFonts w:asciiTheme="minorHAnsi" w:hAnsiTheme="minorHAnsi" w:cstheme="minorHAnsi"/>
          <w:bCs/>
        </w:rPr>
        <w:t>Identificación de un contenedor</w:t>
      </w:r>
    </w:p>
    <w:p w:rsidR="00A4402D" w:rsidRPr="00A4402D" w:rsidRDefault="00A4402D" w:rsidP="00A4402D">
      <w:pPr>
        <w:pStyle w:val="NormalWeb"/>
        <w:rPr>
          <w:rFonts w:asciiTheme="minorHAnsi" w:hAnsiTheme="minorHAnsi" w:cstheme="minorHAnsi"/>
        </w:rPr>
      </w:pPr>
      <w:r w:rsidRPr="00A4402D">
        <w:rPr>
          <w:rFonts w:asciiTheme="minorHAnsi" w:hAnsiTheme="minorHAnsi" w:cstheme="minorHAnsi"/>
        </w:rPr>
        <w:t xml:space="preserve">Cada contenedor se identifica por el </w:t>
      </w:r>
      <w:r w:rsidRPr="00A4402D">
        <w:rPr>
          <w:rStyle w:val="Textoennegrita"/>
          <w:rFonts w:asciiTheme="minorHAnsi" w:hAnsiTheme="minorHAnsi" w:cstheme="minorHAnsi"/>
          <w:b w:val="0"/>
        </w:rPr>
        <w:t>código ISO 6346</w:t>
      </w:r>
      <w:r w:rsidRPr="00A4402D">
        <w:rPr>
          <w:rFonts w:asciiTheme="minorHAnsi" w:hAnsiTheme="minorHAnsi" w:cstheme="minorHAnsi"/>
        </w:rPr>
        <w:t>, que incluye:</w:t>
      </w:r>
    </w:p>
    <w:p w:rsidR="00A4402D" w:rsidRPr="00A4402D" w:rsidRDefault="00A4402D" w:rsidP="00A4402D">
      <w:pPr>
        <w:pStyle w:val="NormalWeb"/>
        <w:ind w:left="720"/>
        <w:rPr>
          <w:rFonts w:asciiTheme="minorHAnsi" w:hAnsiTheme="minorHAnsi" w:cstheme="minorHAnsi"/>
        </w:rPr>
      </w:pPr>
      <w:r w:rsidRPr="00A4402D">
        <w:rPr>
          <w:rStyle w:val="Textoennegrita"/>
          <w:rFonts w:asciiTheme="minorHAnsi" w:hAnsiTheme="minorHAnsi" w:cstheme="minorHAnsi"/>
          <w:b w:val="0"/>
        </w:rPr>
        <w:t>4 letras:</w:t>
      </w:r>
      <w:r w:rsidRPr="00A4402D">
        <w:rPr>
          <w:rFonts w:asciiTheme="minorHAnsi" w:hAnsiTheme="minorHAnsi" w:cstheme="minorHAnsi"/>
        </w:rPr>
        <w:t xml:space="preserve"> propietario (ej. MAEU),</w:t>
      </w:r>
      <w:r>
        <w:rPr>
          <w:rFonts w:asciiTheme="minorHAnsi" w:hAnsiTheme="minorHAnsi" w:cstheme="minorHAnsi"/>
        </w:rPr>
        <w:t xml:space="preserve"> </w:t>
      </w:r>
      <w:r w:rsidRPr="00A4402D">
        <w:rPr>
          <w:rStyle w:val="Textoennegrita"/>
          <w:rFonts w:asciiTheme="minorHAnsi" w:hAnsiTheme="minorHAnsi" w:cstheme="minorHAnsi"/>
          <w:b w:val="0"/>
        </w:rPr>
        <w:t>6 números:</w:t>
      </w:r>
      <w:r w:rsidRPr="00A4402D">
        <w:rPr>
          <w:rFonts w:asciiTheme="minorHAnsi" w:hAnsiTheme="minorHAnsi" w:cstheme="minorHAnsi"/>
        </w:rPr>
        <w:t xml:space="preserve"> número de serie,</w:t>
      </w:r>
      <w:r>
        <w:rPr>
          <w:rFonts w:asciiTheme="minorHAnsi" w:hAnsiTheme="minorHAnsi" w:cstheme="minorHAnsi"/>
        </w:rPr>
        <w:t xml:space="preserve"> </w:t>
      </w:r>
      <w:r w:rsidRPr="00A4402D">
        <w:rPr>
          <w:rStyle w:val="Textoennegrita"/>
          <w:rFonts w:asciiTheme="minorHAnsi" w:hAnsiTheme="minorHAnsi" w:cstheme="minorHAnsi"/>
          <w:b w:val="0"/>
        </w:rPr>
        <w:t>1 dígito de control.</w:t>
      </w:r>
      <w:r>
        <w:rPr>
          <w:rStyle w:val="Textoennegrita"/>
          <w:rFonts w:asciiTheme="minorHAnsi" w:hAnsiTheme="minorHAnsi" w:cstheme="minorHAnsi"/>
          <w:b w:val="0"/>
        </w:rPr>
        <w:t xml:space="preserve"> </w:t>
      </w:r>
      <w:r w:rsidRPr="00A4402D">
        <w:rPr>
          <w:rFonts w:asciiTheme="minorHAnsi" w:hAnsiTheme="minorHAnsi" w:cstheme="minorHAnsi"/>
        </w:rPr>
        <w:t>Además, lleva el código de tipo, peso bruto, tara y advertencias (ej. mercancías peligrosas).</w:t>
      </w:r>
    </w:p>
    <w:p w:rsidR="00A4402D" w:rsidRDefault="00A4402D" w:rsidP="00A4402D">
      <w:pPr>
        <w:pStyle w:val="Ttulo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A4402D" w:rsidRDefault="00A4402D" w:rsidP="00A4402D">
      <w:pPr>
        <w:pStyle w:val="Ttulo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A4402D" w:rsidRDefault="00A4402D" w:rsidP="00A4402D">
      <w:pPr>
        <w:pStyle w:val="Ttulo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A4402D" w:rsidRDefault="00A4402D" w:rsidP="00A4402D">
      <w:pPr>
        <w:pStyle w:val="Ttulo3"/>
        <w:rPr>
          <w:rFonts w:asciiTheme="minorHAnsi" w:hAnsiTheme="minorHAnsi" w:cstheme="minorHAnsi"/>
          <w:b w:val="0"/>
          <w:bCs w:val="0"/>
          <w:sz w:val="24"/>
          <w:szCs w:val="24"/>
        </w:rPr>
      </w:pPr>
    </w:p>
    <w:p w:rsidR="00A4402D" w:rsidRPr="00A4402D" w:rsidRDefault="00A4402D" w:rsidP="00A4402D">
      <w:pPr>
        <w:pStyle w:val="Ttulo3"/>
        <w:rPr>
          <w:rFonts w:asciiTheme="minorHAnsi" w:hAnsiTheme="minorHAnsi" w:cstheme="minorHAnsi"/>
          <w:b w:val="0"/>
        </w:rPr>
      </w:pPr>
      <w:r w:rsidRPr="00A4402D">
        <w:rPr>
          <w:rStyle w:val="Textoennegrita"/>
          <w:rFonts w:asciiTheme="minorHAnsi" w:hAnsiTheme="minorHAnsi" w:cstheme="minorHAnsi"/>
          <w:bCs/>
        </w:rPr>
        <w:t>Accidentes por mala estiba o trinca</w:t>
      </w:r>
    </w:p>
    <w:p w:rsidR="00A4402D" w:rsidRPr="00A4402D" w:rsidRDefault="00A4402D" w:rsidP="00A4402D">
      <w:pPr>
        <w:pStyle w:val="NormalWeb"/>
        <w:rPr>
          <w:rFonts w:asciiTheme="minorHAnsi" w:hAnsiTheme="minorHAnsi" w:cstheme="minorHAnsi"/>
        </w:rPr>
      </w:pPr>
      <w:r w:rsidRPr="00A4402D">
        <w:rPr>
          <w:rFonts w:asciiTheme="minorHAnsi" w:hAnsiTheme="minorHAnsi" w:cstheme="minorHAnsi"/>
        </w:rPr>
        <w:t xml:space="preserve">El PPT menciona que una </w:t>
      </w:r>
      <w:r w:rsidRPr="00A4402D">
        <w:rPr>
          <w:rStyle w:val="Textoennegrita"/>
          <w:rFonts w:asciiTheme="minorHAnsi" w:hAnsiTheme="minorHAnsi" w:cstheme="minorHAnsi"/>
          <w:b w:val="0"/>
        </w:rPr>
        <w:t>mala estiba, trinca defectuosa o exceso de peso</w:t>
      </w:r>
      <w:r w:rsidRPr="00A4402D">
        <w:rPr>
          <w:rFonts w:asciiTheme="minorHAnsi" w:hAnsiTheme="minorHAnsi" w:cstheme="minorHAnsi"/>
        </w:rPr>
        <w:t xml:space="preserve"> puede provocar:</w:t>
      </w:r>
    </w:p>
    <w:p w:rsidR="00A4402D" w:rsidRPr="00A4402D" w:rsidRDefault="00A4402D" w:rsidP="00A4402D">
      <w:pPr>
        <w:pStyle w:val="NormalWeb"/>
        <w:ind w:left="720"/>
        <w:rPr>
          <w:rStyle w:val="nfasis"/>
          <w:rFonts w:asciiTheme="minorHAnsi" w:hAnsiTheme="minorHAnsi" w:cstheme="minorHAnsi"/>
          <w:i w:val="0"/>
          <w:iCs w:val="0"/>
        </w:rPr>
      </w:pPr>
      <w:r w:rsidRPr="00A4402D">
        <w:rPr>
          <w:rFonts w:asciiTheme="minorHAnsi" w:hAnsiTheme="minorHAnsi" w:cstheme="minorHAnsi"/>
        </w:rPr>
        <w:t>Caídas de contenedores al mar,</w:t>
      </w:r>
      <w:r>
        <w:rPr>
          <w:rFonts w:asciiTheme="minorHAnsi" w:hAnsiTheme="minorHAnsi" w:cstheme="minorHAnsi"/>
        </w:rPr>
        <w:t xml:space="preserve"> </w:t>
      </w:r>
      <w:r w:rsidRPr="00A4402D">
        <w:rPr>
          <w:rFonts w:asciiTheme="minorHAnsi" w:hAnsiTheme="minorHAnsi" w:cstheme="minorHAnsi"/>
        </w:rPr>
        <w:t>Daños estructurales al buque,</w:t>
      </w:r>
      <w:r>
        <w:rPr>
          <w:rFonts w:asciiTheme="minorHAnsi" w:hAnsiTheme="minorHAnsi" w:cstheme="minorHAnsi"/>
        </w:rPr>
        <w:t xml:space="preserve"> </w:t>
      </w:r>
      <w:r w:rsidRPr="00A4402D">
        <w:rPr>
          <w:rStyle w:val="Textoennegrita"/>
          <w:rFonts w:asciiTheme="minorHAnsi" w:hAnsiTheme="minorHAnsi" w:cstheme="minorHAnsi"/>
          <w:b w:val="0"/>
        </w:rPr>
        <w:t>Incendios o explosiones</w:t>
      </w:r>
      <w:r w:rsidRPr="00A4402D">
        <w:rPr>
          <w:rFonts w:asciiTheme="minorHAnsi" w:hAnsiTheme="minorHAnsi" w:cstheme="minorHAnsi"/>
        </w:rPr>
        <w:t xml:space="preserve"> por carga mal declarada,</w:t>
      </w:r>
      <w:r w:rsidRPr="00A4402D">
        <w:rPr>
          <w:rFonts w:asciiTheme="minorHAnsi" w:hAnsiTheme="minorHAnsi" w:cstheme="minorHAnsi"/>
        </w:rPr>
        <w:t xml:space="preserve"> </w:t>
      </w:r>
      <w:r w:rsidRPr="00A4402D">
        <w:rPr>
          <w:rFonts w:asciiTheme="minorHAnsi" w:hAnsiTheme="minorHAnsi" w:cstheme="minorHAnsi"/>
        </w:rPr>
        <w:t>Pérdida de estabilidad.</w:t>
      </w:r>
      <w:r w:rsidRPr="00A4402D">
        <w:rPr>
          <w:rFonts w:asciiTheme="minorHAnsi" w:hAnsiTheme="minorHAnsi" w:cstheme="minorHAnsi"/>
        </w:rPr>
        <w:br/>
        <w:t xml:space="preserve">Ejemplos conocidos (fuera del buque) incluyen el </w:t>
      </w:r>
      <w:r w:rsidRPr="00A4402D">
        <w:rPr>
          <w:rStyle w:val="nfasis"/>
          <w:rFonts w:asciiTheme="minorHAnsi" w:hAnsiTheme="minorHAnsi" w:cstheme="minorHAnsi"/>
        </w:rPr>
        <w:t>MOL Comfort</w:t>
      </w:r>
      <w:r w:rsidRPr="00A4402D">
        <w:rPr>
          <w:rFonts w:asciiTheme="minorHAnsi" w:hAnsiTheme="minorHAnsi" w:cstheme="minorHAnsi"/>
        </w:rPr>
        <w:t xml:space="preserve"> y el </w:t>
      </w:r>
      <w:r w:rsidRPr="00A4402D">
        <w:rPr>
          <w:rStyle w:val="nfasis"/>
          <w:rFonts w:asciiTheme="minorHAnsi" w:hAnsiTheme="minorHAnsi" w:cstheme="minorHAnsi"/>
        </w:rPr>
        <w:t>Maersk Honam</w:t>
      </w:r>
    </w:p>
    <w:p w:rsidR="00A4402D" w:rsidRPr="00A4402D" w:rsidRDefault="00A4402D" w:rsidP="00A4402D">
      <w:pPr>
        <w:pStyle w:val="NormalWeb"/>
        <w:ind w:left="720"/>
        <w:rPr>
          <w:rFonts w:asciiTheme="minorHAnsi" w:hAnsiTheme="minorHAnsi" w:cstheme="minorHAnsi"/>
        </w:rPr>
      </w:pPr>
    </w:p>
    <w:p w:rsidR="00A4402D" w:rsidRPr="00A4402D" w:rsidRDefault="00A4402D" w:rsidP="00A4402D">
      <w:pPr>
        <w:pStyle w:val="Ttulo3"/>
        <w:rPr>
          <w:rFonts w:asciiTheme="majorHAnsi" w:hAnsiTheme="majorHAnsi" w:cstheme="majorHAnsi"/>
          <w:b w:val="0"/>
        </w:rPr>
      </w:pPr>
      <w:r w:rsidRPr="00A4402D">
        <w:rPr>
          <w:rStyle w:val="Textoennegrita"/>
          <w:rFonts w:asciiTheme="majorHAnsi" w:hAnsiTheme="majorHAnsi" w:cstheme="majorHAnsi"/>
          <w:bCs/>
        </w:rPr>
        <w:t xml:space="preserve"> Apreciación personal sobre el futuro</w:t>
      </w:r>
    </w:p>
    <w:p w:rsidR="00A4402D" w:rsidRPr="00A4402D" w:rsidRDefault="00A4402D" w:rsidP="00A4402D">
      <w:pPr>
        <w:pStyle w:val="NormalWeb"/>
        <w:rPr>
          <w:rFonts w:asciiTheme="majorHAnsi" w:hAnsiTheme="majorHAnsi" w:cstheme="majorHAnsi"/>
        </w:rPr>
      </w:pPr>
      <w:r w:rsidRPr="00A4402D">
        <w:rPr>
          <w:rFonts w:asciiTheme="majorHAnsi" w:hAnsiTheme="majorHAnsi" w:cstheme="majorHAnsi"/>
        </w:rPr>
        <w:t>El uso del contenedor seguirá creciendo con:</w:t>
      </w:r>
    </w:p>
    <w:p w:rsidR="00A4402D" w:rsidRDefault="00A4402D" w:rsidP="00A4402D">
      <w:pPr>
        <w:pStyle w:val="NormalWeb"/>
        <w:ind w:left="720"/>
      </w:pPr>
      <w:r w:rsidRPr="00A4402D">
        <w:rPr>
          <w:rStyle w:val="Textoennegrita"/>
          <w:rFonts w:asciiTheme="majorHAnsi" w:hAnsiTheme="majorHAnsi" w:cstheme="majorHAnsi"/>
          <w:b w:val="0"/>
        </w:rPr>
        <w:t>Automatización de estiba y trinca</w:t>
      </w:r>
      <w:r w:rsidRPr="00A4402D">
        <w:rPr>
          <w:rFonts w:asciiTheme="majorHAnsi" w:hAnsiTheme="majorHAnsi" w:cstheme="majorHAnsi"/>
        </w:rPr>
        <w:t>,</w:t>
      </w:r>
      <w:r w:rsidRPr="00A4402D">
        <w:rPr>
          <w:rStyle w:val="Textoennegrita"/>
          <w:rFonts w:asciiTheme="majorHAnsi" w:hAnsiTheme="majorHAnsi" w:cstheme="majorHAnsi"/>
          <w:b w:val="0"/>
        </w:rPr>
        <w:t xml:space="preserve"> </w:t>
      </w:r>
      <w:r w:rsidRPr="00A4402D">
        <w:rPr>
          <w:rStyle w:val="Textoennegrita"/>
          <w:rFonts w:asciiTheme="majorHAnsi" w:hAnsiTheme="majorHAnsi" w:cstheme="majorHAnsi"/>
          <w:b w:val="0"/>
        </w:rPr>
        <w:t>Contenedores inteligentes</w:t>
      </w:r>
      <w:r w:rsidRPr="00A4402D">
        <w:rPr>
          <w:rFonts w:asciiTheme="majorHAnsi" w:hAnsiTheme="majorHAnsi" w:cstheme="majorHAnsi"/>
        </w:rPr>
        <w:t xml:space="preserve"> con sensores,</w:t>
      </w:r>
      <w:r w:rsidRPr="00A4402D">
        <w:rPr>
          <w:rStyle w:val="Textoennegrita"/>
          <w:rFonts w:asciiTheme="majorHAnsi" w:hAnsiTheme="majorHAnsi" w:cstheme="majorHAnsi"/>
          <w:b w:val="0"/>
        </w:rPr>
        <w:t xml:space="preserve"> </w:t>
      </w:r>
      <w:r w:rsidRPr="00A4402D">
        <w:rPr>
          <w:rStyle w:val="Textoennegrita"/>
          <w:rFonts w:asciiTheme="majorHAnsi" w:hAnsiTheme="majorHAnsi" w:cstheme="majorHAnsi"/>
          <w:b w:val="0"/>
        </w:rPr>
        <w:t xml:space="preserve">Buques más grandes y </w:t>
      </w:r>
      <w:r w:rsidRPr="00A4402D">
        <w:rPr>
          <w:rStyle w:val="Textoennegrita"/>
          <w:rFonts w:asciiTheme="majorHAnsi" w:hAnsiTheme="majorHAnsi" w:cstheme="majorHAnsi"/>
          <w:b w:val="0"/>
        </w:rPr>
        <w:t>eficientes</w:t>
      </w:r>
      <w:r>
        <w:rPr>
          <w:rFonts w:asciiTheme="majorHAnsi" w:hAnsiTheme="majorHAnsi" w:cstheme="majorHAnsi"/>
        </w:rPr>
        <w:t xml:space="preserve">, </w:t>
      </w:r>
      <w:r w:rsidRPr="00A4402D">
        <w:rPr>
          <w:rFonts w:asciiTheme="majorHAnsi" w:hAnsiTheme="majorHAnsi" w:cstheme="majorHAnsi"/>
        </w:rPr>
        <w:t>Mayor control y regulación en seguridad y mercancías peligrosas</w:t>
      </w:r>
      <w:r>
        <w:t>.</w:t>
      </w:r>
    </w:p>
    <w:p w:rsidR="00A4402D" w:rsidRPr="00A4402D" w:rsidRDefault="00A4402D" w:rsidP="00A4402D">
      <w:pPr>
        <w:pStyle w:val="NormalWeb"/>
        <w:ind w:left="720"/>
        <w:rPr>
          <w:rFonts w:asciiTheme="majorHAnsi" w:hAnsiTheme="majorHAnsi" w:cstheme="majorHAnsi"/>
        </w:rPr>
      </w:pPr>
    </w:p>
    <w:p w:rsidR="00A4402D" w:rsidRPr="00A4402D" w:rsidRDefault="00A4402D" w:rsidP="00A4402D">
      <w:pPr>
        <w:pStyle w:val="NormalWeb"/>
        <w:ind w:left="720"/>
        <w:rPr>
          <w:rFonts w:asciiTheme="majorHAnsi" w:hAnsiTheme="majorHAnsi" w:cstheme="majorHAnsi"/>
        </w:rPr>
      </w:pPr>
    </w:p>
    <w:p w:rsidR="00A4402D" w:rsidRPr="00A4402D" w:rsidRDefault="00A4402D" w:rsidP="00A4402D">
      <w:pPr>
        <w:pStyle w:val="NormalWeb"/>
        <w:ind w:left="720"/>
        <w:rPr>
          <w:rFonts w:asciiTheme="minorHAnsi" w:hAnsiTheme="minorHAnsi" w:cstheme="minorHAnsi"/>
        </w:rPr>
      </w:pPr>
    </w:p>
    <w:p w:rsidR="00F442A9" w:rsidRPr="00A4402D" w:rsidRDefault="00F442A9" w:rsidP="00F442A9">
      <w:pPr>
        <w:pStyle w:val="Ttulo3"/>
        <w:rPr>
          <w:rFonts w:asciiTheme="minorHAnsi" w:hAnsiTheme="minorHAnsi" w:cstheme="minorHAnsi"/>
          <w:b w:val="0"/>
        </w:rPr>
      </w:pPr>
    </w:p>
    <w:p w:rsidR="0086394C" w:rsidRPr="0086394C" w:rsidRDefault="0086394C">
      <w:pPr>
        <w:rPr>
          <w:lang w:val="es-MX"/>
        </w:rPr>
      </w:pPr>
    </w:p>
    <w:sectPr w:rsidR="0086394C" w:rsidRPr="0086394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A72" w:rsidRDefault="00956A72" w:rsidP="0086394C">
      <w:pPr>
        <w:spacing w:after="0" w:line="240" w:lineRule="auto"/>
      </w:pPr>
      <w:r>
        <w:separator/>
      </w:r>
    </w:p>
  </w:endnote>
  <w:endnote w:type="continuationSeparator" w:id="0">
    <w:p w:rsidR="00956A72" w:rsidRDefault="00956A72" w:rsidP="00863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A72" w:rsidRDefault="00956A72" w:rsidP="0086394C">
      <w:pPr>
        <w:spacing w:after="0" w:line="240" w:lineRule="auto"/>
      </w:pPr>
      <w:r>
        <w:separator/>
      </w:r>
    </w:p>
  </w:footnote>
  <w:footnote w:type="continuationSeparator" w:id="0">
    <w:p w:rsidR="00956A72" w:rsidRDefault="00956A72" w:rsidP="00863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394C" w:rsidRDefault="0086394C" w:rsidP="0086394C">
    <w:pPr>
      <w:pStyle w:val="Encabezado"/>
      <w:jc w:val="right"/>
      <w:rPr>
        <w:lang w:val="es-MX"/>
      </w:rPr>
    </w:pPr>
    <w:r>
      <w:rPr>
        <w:lang w:val="es-MX"/>
      </w:rPr>
      <w:t>Nombre: Juan Pablo Ruiz Fuentes</w:t>
    </w:r>
  </w:p>
  <w:p w:rsidR="0086394C" w:rsidRDefault="0086394C" w:rsidP="0086394C">
    <w:pPr>
      <w:pStyle w:val="Encabezado"/>
      <w:jc w:val="center"/>
      <w:rPr>
        <w:lang w:val="es-MX"/>
      </w:rPr>
    </w:pPr>
    <w:r>
      <w:rPr>
        <w:lang w:val="es-MX"/>
      </w:rPr>
      <w:t xml:space="preserve">                                                                                                                     Curso: 3L</w:t>
    </w:r>
    <w:r>
      <w:rPr>
        <w:lang w:val="es-MX"/>
      </w:rPr>
      <w:tab/>
    </w:r>
  </w:p>
  <w:p w:rsidR="0086394C" w:rsidRPr="0086394C" w:rsidRDefault="0086394C" w:rsidP="0086394C">
    <w:pPr>
      <w:pStyle w:val="Encabezado"/>
      <w:jc w:val="right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D3B51"/>
    <w:multiLevelType w:val="multilevel"/>
    <w:tmpl w:val="AFF87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3F0469"/>
    <w:multiLevelType w:val="multilevel"/>
    <w:tmpl w:val="B84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F028CF"/>
    <w:multiLevelType w:val="multilevel"/>
    <w:tmpl w:val="796C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41417"/>
    <w:multiLevelType w:val="multilevel"/>
    <w:tmpl w:val="F0686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5613E9"/>
    <w:multiLevelType w:val="multilevel"/>
    <w:tmpl w:val="FE64F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76655D"/>
    <w:multiLevelType w:val="multilevel"/>
    <w:tmpl w:val="BB02C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C90E2E"/>
    <w:multiLevelType w:val="multilevel"/>
    <w:tmpl w:val="49E66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301BE0"/>
    <w:multiLevelType w:val="multilevel"/>
    <w:tmpl w:val="165C1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94C"/>
    <w:rsid w:val="0086394C"/>
    <w:rsid w:val="00956A72"/>
    <w:rsid w:val="00A4402D"/>
    <w:rsid w:val="00C04FE4"/>
    <w:rsid w:val="00F4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3475A"/>
  <w15:chartTrackingRefBased/>
  <w15:docId w15:val="{9D8AA40A-A0BE-47EF-989B-B703358B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8639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63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394C"/>
  </w:style>
  <w:style w:type="paragraph" w:styleId="Piedepgina">
    <w:name w:val="footer"/>
    <w:basedOn w:val="Normal"/>
    <w:link w:val="PiedepginaCar"/>
    <w:uiPriority w:val="99"/>
    <w:unhideWhenUsed/>
    <w:rsid w:val="00863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394C"/>
  </w:style>
  <w:style w:type="character" w:customStyle="1" w:styleId="Ttulo3Car">
    <w:name w:val="Título 3 Car"/>
    <w:basedOn w:val="Fuentedeprrafopredeter"/>
    <w:link w:val="Ttulo3"/>
    <w:uiPriority w:val="9"/>
    <w:rsid w:val="0086394C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styleId="Textoennegrita">
    <w:name w:val="Strong"/>
    <w:basedOn w:val="Fuentedeprrafopredeter"/>
    <w:uiPriority w:val="22"/>
    <w:qFormat/>
    <w:rsid w:val="0086394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6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nfasis">
    <w:name w:val="Emphasis"/>
    <w:basedOn w:val="Fuentedeprrafopredeter"/>
    <w:uiPriority w:val="20"/>
    <w:qFormat/>
    <w:rsid w:val="008639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9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2025-10-10T09:59:00Z</dcterms:created>
  <dcterms:modified xsi:type="dcterms:W3CDTF">2025-10-10T10:30:00Z</dcterms:modified>
</cp:coreProperties>
</file>