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1A1B" w:rsidRPr="00BF030D" w:rsidRDefault="00D81A1B" w:rsidP="00D81A1B">
      <w:pPr>
        <w:shd w:val="clear" w:color="auto" w:fill="FFFFFF"/>
        <w:rPr>
          <w:rFonts w:ascii="Arial" w:eastAsia="Times New Roman" w:hAnsi="Arial" w:cs="Arial"/>
          <w:b/>
          <w:bCs/>
          <w:color w:val="111111"/>
          <w:sz w:val="30"/>
          <w:szCs w:val="30"/>
          <w:lang w:val="es-CL" w:eastAsia="es-ES_tradnl"/>
        </w:rPr>
      </w:pPr>
      <w:r w:rsidRPr="00062E90">
        <w:rPr>
          <w:rFonts w:ascii="Arial" w:eastAsia="Times New Roman" w:hAnsi="Arial" w:cs="Arial"/>
          <w:b/>
          <w:bCs/>
          <w:color w:val="111111"/>
          <w:sz w:val="30"/>
          <w:szCs w:val="30"/>
          <w:lang w:val="es-CL" w:eastAsia="es-ES_tradnl"/>
        </w:rPr>
        <w:t>Tasa de Política Monetaria (TPM)</w:t>
      </w:r>
    </w:p>
    <w:p w:rsidR="00D81A1B" w:rsidRPr="00062E90" w:rsidRDefault="00D81A1B" w:rsidP="00D81A1B">
      <w:pPr>
        <w:shd w:val="clear" w:color="auto" w:fill="FFFFFF"/>
        <w:spacing w:after="150"/>
        <w:jc w:val="both"/>
        <w:rPr>
          <w:rFonts w:ascii="Arial" w:eastAsia="Times New Roman" w:hAnsi="Arial" w:cs="Arial"/>
          <w:color w:val="666666"/>
          <w:sz w:val="20"/>
          <w:szCs w:val="20"/>
          <w:lang w:val="es-CL" w:eastAsia="es-ES_tradnl"/>
        </w:rPr>
      </w:pPr>
      <w:r>
        <w:rPr>
          <w:rFonts w:ascii="Arial" w:eastAsia="Times New Roman" w:hAnsi="Arial" w:cs="Arial"/>
          <w:color w:val="666666"/>
          <w:sz w:val="20"/>
          <w:szCs w:val="20"/>
          <w:lang w:val="es-CL" w:eastAsia="es-ES_tradnl"/>
        </w:rPr>
        <w:t>La Tasa de Política Monetaria (</w:t>
      </w:r>
      <w:r w:rsidRPr="00062E90">
        <w:rPr>
          <w:rFonts w:ascii="Arial" w:eastAsia="Times New Roman" w:hAnsi="Arial" w:cs="Arial"/>
          <w:color w:val="666666"/>
          <w:sz w:val="20"/>
          <w:szCs w:val="20"/>
          <w:lang w:val="es-CL" w:eastAsia="es-ES_tradnl"/>
        </w:rPr>
        <w:t>TPM</w:t>
      </w:r>
      <w:r>
        <w:rPr>
          <w:rFonts w:ascii="Arial" w:eastAsia="Times New Roman" w:hAnsi="Arial" w:cs="Arial"/>
          <w:color w:val="666666"/>
          <w:sz w:val="20"/>
          <w:szCs w:val="20"/>
          <w:lang w:val="es-CL" w:eastAsia="es-ES_tradnl"/>
        </w:rPr>
        <w:t>),</w:t>
      </w:r>
      <w:r w:rsidRPr="00062E90">
        <w:rPr>
          <w:rFonts w:ascii="Arial" w:eastAsia="Times New Roman" w:hAnsi="Arial" w:cs="Arial"/>
          <w:color w:val="666666"/>
          <w:sz w:val="20"/>
          <w:szCs w:val="20"/>
          <w:lang w:val="es-CL" w:eastAsia="es-ES_tradnl"/>
        </w:rPr>
        <w:t xml:space="preserve"> es la tasa que ocupa el Banco Central de Chile como instrumento para llevar a cabo la Política Monetaria. En la actualidad, el objetivo de la Política Monetaria es mantener la inflación estable con un valor meta de 3% y rango de variación entre 1% y 4%, en un horizonte de 24 meses. Es por eso por qué el B</w:t>
      </w:r>
      <w:r>
        <w:rPr>
          <w:rFonts w:ascii="Arial" w:eastAsia="Times New Roman" w:hAnsi="Arial" w:cs="Arial"/>
          <w:color w:val="666666"/>
          <w:sz w:val="20"/>
          <w:szCs w:val="20"/>
          <w:lang w:val="es-CL" w:eastAsia="es-ES_tradnl"/>
        </w:rPr>
        <w:t xml:space="preserve">C </w:t>
      </w:r>
      <w:r w:rsidRPr="00062E90">
        <w:rPr>
          <w:rFonts w:ascii="Arial" w:eastAsia="Times New Roman" w:hAnsi="Arial" w:cs="Arial"/>
          <w:color w:val="666666"/>
          <w:sz w:val="20"/>
          <w:szCs w:val="20"/>
          <w:lang w:val="es-CL" w:eastAsia="es-ES_tradnl"/>
        </w:rPr>
        <w:t>en sus informes y comunicados muchas veces hace hincapié en cuál es el valor de la inflación esperada por el mercado en ese horizonte, para evaluar que tan “ancladas” están las expectativas.</w:t>
      </w:r>
    </w:p>
    <w:p w:rsidR="00D81A1B" w:rsidRPr="00062E90" w:rsidRDefault="00D81A1B" w:rsidP="00D81A1B">
      <w:pPr>
        <w:shd w:val="clear" w:color="auto" w:fill="FFFFFF"/>
        <w:spacing w:after="150"/>
        <w:jc w:val="both"/>
        <w:rPr>
          <w:rFonts w:ascii="Arial" w:eastAsia="Times New Roman" w:hAnsi="Arial" w:cs="Arial"/>
          <w:color w:val="666666"/>
          <w:sz w:val="20"/>
          <w:szCs w:val="20"/>
          <w:lang w:val="es-CL" w:eastAsia="es-ES_tradnl"/>
        </w:rPr>
      </w:pPr>
      <w:r w:rsidRPr="00062E90">
        <w:rPr>
          <w:rFonts w:ascii="Arial" w:eastAsia="Times New Roman" w:hAnsi="Arial" w:cs="Arial"/>
          <w:color w:val="666666"/>
          <w:sz w:val="20"/>
          <w:szCs w:val="20"/>
          <w:lang w:val="es-CL" w:eastAsia="es-ES_tradnl"/>
        </w:rPr>
        <w:t>Como todo instrumento, éste es usado por el BC para frenar o reactividad la actividad económica con el fin de cumplir que la inflación se ubique en el rango mencionado. El mecanismo es complejo, pero en términos generales funciona de la siguiente manera: asumamos que el BC observa que las expectativas de inflación del mercado se han “desanclado” y que esto puede comprometer la inflación proyectada (al Banco Central le asusta que la inflación “se escape”). El Consejo en la reunión de Política Monetaria determinará que esto es peligroso para la economía y aumentará la tasa de interés (TPM).</w:t>
      </w:r>
    </w:p>
    <w:p w:rsidR="00D81A1B" w:rsidRPr="00062E90" w:rsidRDefault="00D81A1B" w:rsidP="00D81A1B">
      <w:pPr>
        <w:shd w:val="clear" w:color="auto" w:fill="FFFFFF"/>
        <w:spacing w:after="150"/>
        <w:jc w:val="both"/>
        <w:rPr>
          <w:rFonts w:ascii="Arial" w:eastAsia="Times New Roman" w:hAnsi="Arial" w:cs="Arial"/>
          <w:color w:val="666666"/>
          <w:sz w:val="20"/>
          <w:szCs w:val="20"/>
          <w:lang w:val="es-CL" w:eastAsia="es-ES_tradnl"/>
        </w:rPr>
      </w:pPr>
      <w:r w:rsidRPr="00062E90">
        <w:rPr>
          <w:rFonts w:ascii="Arial" w:eastAsia="Times New Roman" w:hAnsi="Arial" w:cs="Arial"/>
          <w:color w:val="666666"/>
          <w:sz w:val="20"/>
          <w:szCs w:val="20"/>
          <w:lang w:val="es-CL" w:eastAsia="es-ES_tradnl"/>
        </w:rPr>
        <w:t>El ejemplo anterior tendrá varios impactos en la economía, pero nos centraremos en tres de manera muy simple:</w:t>
      </w:r>
    </w:p>
    <w:p w:rsidR="00D81A1B" w:rsidRPr="00062E90" w:rsidRDefault="00D81A1B" w:rsidP="00D81A1B">
      <w:pPr>
        <w:shd w:val="clear" w:color="auto" w:fill="FFFFFF"/>
        <w:spacing w:after="150"/>
        <w:jc w:val="both"/>
        <w:rPr>
          <w:rFonts w:ascii="Arial" w:eastAsia="Times New Roman" w:hAnsi="Arial" w:cs="Arial"/>
          <w:color w:val="666666"/>
          <w:sz w:val="20"/>
          <w:szCs w:val="20"/>
          <w:lang w:val="es-CL" w:eastAsia="es-ES_tradnl"/>
        </w:rPr>
      </w:pPr>
      <w:r w:rsidRPr="00062E90">
        <w:rPr>
          <w:rFonts w:ascii="Arial" w:eastAsia="Times New Roman" w:hAnsi="Arial" w:cs="Arial"/>
          <w:color w:val="666666"/>
          <w:sz w:val="20"/>
          <w:szCs w:val="20"/>
          <w:lang w:val="es-CL" w:eastAsia="es-ES_tradnl"/>
        </w:rPr>
        <w:t>1) Imaginemos que los bancos operan en unas “ventanillas” que hay en el Banco Central donde van a dejar depósitos del dinero que les quedó en el día –“es mucho mejor tener la plata en el banco pagando algo de interés”– o a pedir prestado (en términos técnicos esta es la operación de compra/venta de bonos que hace el Banco Central). Pues bien, esa tasa a la cual el Banco Central les recibe o les presta el dinero a los bancos es la TPM. Así los bancos recibirán o pagarán una tasa más alta o más baja.</w:t>
      </w:r>
    </w:p>
    <w:p w:rsidR="00D81A1B" w:rsidRPr="00062E90" w:rsidRDefault="00D81A1B" w:rsidP="00D81A1B">
      <w:pPr>
        <w:shd w:val="clear" w:color="auto" w:fill="FFFFFF"/>
        <w:spacing w:after="150"/>
        <w:jc w:val="both"/>
        <w:rPr>
          <w:rFonts w:ascii="Arial" w:eastAsia="Times New Roman" w:hAnsi="Arial" w:cs="Arial"/>
          <w:color w:val="666666"/>
          <w:sz w:val="20"/>
          <w:szCs w:val="20"/>
          <w:lang w:val="es-CL" w:eastAsia="es-ES_tradnl"/>
        </w:rPr>
      </w:pPr>
      <w:r w:rsidRPr="00062E90">
        <w:rPr>
          <w:rFonts w:ascii="Arial" w:eastAsia="Times New Roman" w:hAnsi="Arial" w:cs="Arial"/>
          <w:color w:val="666666"/>
          <w:sz w:val="20"/>
          <w:szCs w:val="20"/>
          <w:lang w:val="es-CL" w:eastAsia="es-ES_tradnl"/>
        </w:rPr>
        <w:t>2) El negocio bancario está en prestar dinero a tasas más altas de las que se pagan por recibir depósitos del público. Entonces, cuando la TPM sube (porque recordemos que esa fue la decisión del BC), todas las tasas de préstamo (colocaciones) y depósitos (captaciones) suben en alguna medida. Una persona, por ejemplo, podría preferir depositar su dinero en una cuenta de ahorro, ahora que su banco le está pagando más. En otras palabras, preferiría ahorrar y gastar en un momento futuro. También, por ejemplo, la decisión de comprar una casa o departamento también se posterga cuando las tasas están más altas, porque los créditos hipotecarios son más caros.</w:t>
      </w:r>
    </w:p>
    <w:p w:rsidR="00D81A1B" w:rsidRPr="00062E90" w:rsidRDefault="00D81A1B" w:rsidP="00D81A1B">
      <w:pPr>
        <w:shd w:val="clear" w:color="auto" w:fill="FFFFFF"/>
        <w:spacing w:after="150"/>
        <w:jc w:val="both"/>
        <w:rPr>
          <w:rFonts w:ascii="Arial" w:eastAsia="Times New Roman" w:hAnsi="Arial" w:cs="Arial"/>
          <w:color w:val="666666"/>
          <w:sz w:val="20"/>
          <w:szCs w:val="20"/>
          <w:lang w:val="es-CL" w:eastAsia="es-ES_tradnl"/>
        </w:rPr>
      </w:pPr>
      <w:r w:rsidRPr="00062E90">
        <w:rPr>
          <w:rFonts w:ascii="Arial" w:eastAsia="Times New Roman" w:hAnsi="Arial" w:cs="Arial"/>
          <w:color w:val="666666"/>
          <w:sz w:val="20"/>
          <w:szCs w:val="20"/>
          <w:lang w:val="es-CL" w:eastAsia="es-ES_tradnl"/>
        </w:rPr>
        <w:t>3) Una mayor tasa de interés afecta también las decisiones de inversión de las empresas (compra de bienes de capital –una máquina, por ejemplo–, la construcción de una fábrica, la construcción de un condominio, etc.). Al igual que la decisión de comprar una casa para una persona natural, cuando la tasa de interés es más alta los proyectos de inversión se vuelven más caros, y las empresas prefieren no invertir ahora y esperar “mejores condiciones del mercado”.</w:t>
      </w:r>
    </w:p>
    <w:p w:rsidR="00D81A1B" w:rsidRPr="00BF030D" w:rsidRDefault="00D81A1B" w:rsidP="00D81A1B">
      <w:pPr>
        <w:shd w:val="clear" w:color="auto" w:fill="FFFFFF"/>
        <w:spacing w:after="150"/>
        <w:jc w:val="both"/>
        <w:rPr>
          <w:rFonts w:ascii="Arial" w:eastAsia="Times New Roman" w:hAnsi="Arial" w:cs="Arial"/>
          <w:color w:val="666666"/>
          <w:sz w:val="20"/>
          <w:szCs w:val="20"/>
          <w:lang w:val="es-CL" w:eastAsia="es-ES_tradnl"/>
        </w:rPr>
      </w:pPr>
    </w:p>
    <w:p w:rsidR="00BA366B" w:rsidRPr="00BA366B" w:rsidRDefault="00BF030D" w:rsidP="00BA366B">
      <w:pPr>
        <w:shd w:val="clear" w:color="auto" w:fill="FFFFFF"/>
        <w:rPr>
          <w:rFonts w:ascii="Arial" w:eastAsia="Times New Roman" w:hAnsi="Arial" w:cs="Arial"/>
          <w:b/>
          <w:bCs/>
          <w:color w:val="111111"/>
          <w:sz w:val="30"/>
          <w:szCs w:val="30"/>
          <w:lang w:val="es-CL" w:eastAsia="es-ES_tradnl"/>
        </w:rPr>
      </w:pPr>
      <w:r>
        <w:rPr>
          <w:rFonts w:ascii="Arial" w:eastAsia="Times New Roman" w:hAnsi="Arial" w:cs="Arial"/>
          <w:b/>
          <w:bCs/>
          <w:color w:val="111111"/>
          <w:sz w:val="30"/>
          <w:szCs w:val="30"/>
          <w:lang w:val="es-CL" w:eastAsia="es-ES_tradnl"/>
        </w:rPr>
        <w:t xml:space="preserve">Encuesta </w:t>
      </w:r>
      <w:r w:rsidR="00BA366B" w:rsidRPr="00BA366B">
        <w:rPr>
          <w:rFonts w:ascii="Arial" w:eastAsia="Times New Roman" w:hAnsi="Arial" w:cs="Arial"/>
          <w:b/>
          <w:bCs/>
          <w:color w:val="111111"/>
          <w:sz w:val="30"/>
          <w:szCs w:val="30"/>
          <w:lang w:val="es-CL" w:eastAsia="es-ES_tradnl"/>
        </w:rPr>
        <w:t>Operadores Financieros</w:t>
      </w:r>
      <w:r>
        <w:rPr>
          <w:rFonts w:ascii="Arial" w:eastAsia="Times New Roman" w:hAnsi="Arial" w:cs="Arial"/>
          <w:b/>
          <w:bCs/>
          <w:color w:val="111111"/>
          <w:sz w:val="30"/>
          <w:szCs w:val="30"/>
          <w:lang w:val="es-CL" w:eastAsia="es-ES_tradnl"/>
        </w:rPr>
        <w:t xml:space="preserve"> (EOF)</w:t>
      </w:r>
    </w:p>
    <w:p w:rsidR="00BA366B" w:rsidRDefault="00BA366B" w:rsidP="00BA366B">
      <w:pPr>
        <w:shd w:val="clear" w:color="auto" w:fill="FFFFFF"/>
        <w:spacing w:after="150"/>
        <w:jc w:val="both"/>
        <w:rPr>
          <w:rFonts w:ascii="Arial" w:eastAsia="Times New Roman" w:hAnsi="Arial" w:cs="Arial"/>
          <w:color w:val="666666"/>
          <w:sz w:val="20"/>
          <w:szCs w:val="20"/>
          <w:lang w:val="es-CL" w:eastAsia="es-ES_tradnl"/>
        </w:rPr>
      </w:pPr>
      <w:r w:rsidRPr="00D81A1B">
        <w:rPr>
          <w:rFonts w:ascii="Arial" w:eastAsia="Times New Roman" w:hAnsi="Arial" w:cs="Arial"/>
          <w:color w:val="666666"/>
          <w:sz w:val="20"/>
          <w:szCs w:val="20"/>
          <w:lang w:val="es-CL" w:eastAsia="es-ES_tradnl"/>
        </w:rPr>
        <w:t>La Encuesta de Operadores Financieros (EOF) está dirigida a las personas responsables de las decisiones financieras de cada institución invitada a participar de esta encuesta. Dichas instituciones pertenecen a la industria bancaria local, a las administradoras de fondos de pensiones, compañías de seguros, corredoras de bolsa, fondos mutuos y entidades extranjeras que operan activamente con Chile. Se difunde dos días hábiles luego de la publicación de la Minuta de la RPM y tres días hábiles antes de la RPM.</w:t>
      </w:r>
    </w:p>
    <w:p w:rsidR="00D81A1B" w:rsidRDefault="00D81A1B" w:rsidP="00BA366B">
      <w:pPr>
        <w:shd w:val="clear" w:color="auto" w:fill="FFFFFF"/>
        <w:spacing w:after="150"/>
        <w:jc w:val="both"/>
        <w:rPr>
          <w:rFonts w:ascii="Arial" w:eastAsia="Times New Roman" w:hAnsi="Arial" w:cs="Arial"/>
          <w:color w:val="666666"/>
          <w:sz w:val="20"/>
          <w:szCs w:val="20"/>
          <w:lang w:val="es-CL" w:eastAsia="es-ES_tradnl"/>
        </w:rPr>
      </w:pPr>
    </w:p>
    <w:p w:rsidR="00D81A1B" w:rsidRDefault="00D81A1B" w:rsidP="00BA366B">
      <w:pPr>
        <w:shd w:val="clear" w:color="auto" w:fill="FFFFFF"/>
        <w:spacing w:after="150"/>
        <w:jc w:val="both"/>
        <w:rPr>
          <w:rFonts w:ascii="Arial" w:eastAsia="Times New Roman" w:hAnsi="Arial" w:cs="Arial"/>
          <w:color w:val="666666"/>
          <w:sz w:val="20"/>
          <w:szCs w:val="20"/>
          <w:lang w:val="es-CL" w:eastAsia="es-ES_tradnl"/>
        </w:rPr>
      </w:pPr>
    </w:p>
    <w:p w:rsidR="00D81A1B" w:rsidRDefault="00D81A1B" w:rsidP="00BA366B">
      <w:pPr>
        <w:shd w:val="clear" w:color="auto" w:fill="FFFFFF"/>
        <w:spacing w:after="150"/>
        <w:jc w:val="both"/>
        <w:rPr>
          <w:rFonts w:ascii="Arial" w:eastAsia="Times New Roman" w:hAnsi="Arial" w:cs="Arial"/>
          <w:color w:val="666666"/>
          <w:sz w:val="20"/>
          <w:szCs w:val="20"/>
          <w:lang w:val="es-CL" w:eastAsia="es-ES_tradnl"/>
        </w:rPr>
      </w:pPr>
    </w:p>
    <w:p w:rsidR="00D81A1B" w:rsidRDefault="00D81A1B" w:rsidP="00BA366B">
      <w:pPr>
        <w:shd w:val="clear" w:color="auto" w:fill="FFFFFF"/>
        <w:spacing w:after="150"/>
        <w:jc w:val="both"/>
        <w:rPr>
          <w:rFonts w:ascii="Arial" w:eastAsia="Times New Roman" w:hAnsi="Arial" w:cs="Arial"/>
          <w:color w:val="666666"/>
          <w:sz w:val="20"/>
          <w:szCs w:val="20"/>
          <w:lang w:val="es-CL" w:eastAsia="es-ES_tradnl"/>
        </w:rPr>
      </w:pPr>
    </w:p>
    <w:p w:rsidR="00D81A1B" w:rsidRDefault="00D81A1B" w:rsidP="00BA366B">
      <w:pPr>
        <w:shd w:val="clear" w:color="auto" w:fill="FFFFFF"/>
        <w:spacing w:after="150"/>
        <w:jc w:val="both"/>
        <w:rPr>
          <w:rFonts w:ascii="Arial" w:eastAsia="Times New Roman" w:hAnsi="Arial" w:cs="Arial"/>
          <w:color w:val="666666"/>
          <w:sz w:val="20"/>
          <w:szCs w:val="20"/>
          <w:lang w:val="es-CL" w:eastAsia="es-ES_tradnl"/>
        </w:rPr>
      </w:pPr>
    </w:p>
    <w:p w:rsidR="00BA366B" w:rsidRPr="00D81A1B" w:rsidRDefault="00BA366B" w:rsidP="00BA366B">
      <w:pPr>
        <w:rPr>
          <w:rFonts w:ascii="Arial" w:eastAsia="Times New Roman" w:hAnsi="Arial" w:cs="Arial"/>
          <w:b/>
          <w:bCs/>
          <w:color w:val="111111"/>
          <w:sz w:val="30"/>
          <w:szCs w:val="30"/>
          <w:lang w:val="es-CL" w:eastAsia="es-ES_tradnl"/>
        </w:rPr>
      </w:pPr>
      <w:r w:rsidRPr="00D81A1B">
        <w:rPr>
          <w:rFonts w:ascii="Arial" w:eastAsia="Times New Roman" w:hAnsi="Arial" w:cs="Arial"/>
          <w:b/>
          <w:bCs/>
          <w:color w:val="111111"/>
          <w:sz w:val="30"/>
          <w:szCs w:val="30"/>
          <w:lang w:val="es-CL" w:eastAsia="es-ES_tradnl"/>
        </w:rPr>
        <w:lastRenderedPageBreak/>
        <w:t>Reuniones de Política Monetaria</w:t>
      </w:r>
      <w:r w:rsidR="00BF030D" w:rsidRPr="00D81A1B">
        <w:rPr>
          <w:rFonts w:ascii="Arial" w:eastAsia="Times New Roman" w:hAnsi="Arial" w:cs="Arial"/>
          <w:b/>
          <w:bCs/>
          <w:color w:val="111111"/>
          <w:sz w:val="30"/>
          <w:szCs w:val="30"/>
          <w:lang w:val="es-CL" w:eastAsia="es-ES_tradnl"/>
        </w:rPr>
        <w:t xml:space="preserve"> (RPM)</w:t>
      </w:r>
    </w:p>
    <w:p w:rsidR="00BA366B" w:rsidRPr="00BA366B" w:rsidRDefault="00BA366B" w:rsidP="00BA366B">
      <w:pPr>
        <w:spacing w:after="150"/>
        <w:jc w:val="both"/>
        <w:rPr>
          <w:rFonts w:ascii="Arial" w:eastAsia="Times New Roman" w:hAnsi="Arial" w:cs="Arial"/>
          <w:color w:val="666666"/>
          <w:sz w:val="20"/>
          <w:szCs w:val="20"/>
          <w:lang w:val="es-CL" w:eastAsia="es-ES_tradnl"/>
        </w:rPr>
      </w:pPr>
      <w:r w:rsidRPr="00D81A1B">
        <w:rPr>
          <w:rFonts w:ascii="Arial" w:eastAsia="Times New Roman" w:hAnsi="Arial" w:cs="Arial"/>
          <w:color w:val="666666"/>
          <w:sz w:val="20"/>
          <w:szCs w:val="20"/>
          <w:lang w:val="es-CL" w:eastAsia="es-ES_tradnl"/>
        </w:rPr>
        <w:t>La Reunión de Política Monetaria (RPM) es la instancia de decisión en que el Consejo del Banco Central de Chile decide los cambios a la Tasa de Política Monetaria (TPM).</w:t>
      </w:r>
      <w:r w:rsidRPr="00BA366B">
        <w:rPr>
          <w:rFonts w:ascii="Arial" w:eastAsia="Times New Roman" w:hAnsi="Arial" w:cs="Arial"/>
          <w:color w:val="666666"/>
          <w:sz w:val="20"/>
          <w:szCs w:val="20"/>
          <w:lang w:val="es-CL" w:eastAsia="es-ES_tradnl"/>
        </w:rPr>
        <w:t xml:space="preserve"> En septiembre de 2017, el Consejo decidió que a partir de 2018 se realizarán ocho RPM por año, en lugar de 12. Esta decisión va en línea con la práctica más común en bancos centrales de países con bajas tasas de inflación. Adicionalmente, las RPM se extienden desde un día a un día y medio, comenzando la tarde anterior al día en que se anuncia la decisión de política. Sin embargo, en aquellas reuniones que coinciden con la publicación de un Informe de Política Monetaria (IPoM), es decir, en marzo, junio, septiembre, y diciembre, las RPM durarán un solo día, dado que el proceso de análisis y proyecciones se realiza exhaustivamente en diversas sesiones que se llevan a cabo habitualmente en semanas previas. Cada septiembre se anuncian las fechas de las RPM y las fechas de publicación de los Informes de Política Monetaria e Informes de Estabilidad Financiera del próximo año calendario. </w:t>
      </w:r>
    </w:p>
    <w:p w:rsidR="00BA366B" w:rsidRPr="00BA366B" w:rsidRDefault="00BA366B" w:rsidP="00BA366B">
      <w:pPr>
        <w:spacing w:after="150"/>
        <w:jc w:val="both"/>
        <w:rPr>
          <w:rFonts w:ascii="Arial" w:eastAsia="Times New Roman" w:hAnsi="Arial" w:cs="Arial"/>
          <w:color w:val="666666"/>
          <w:sz w:val="20"/>
          <w:szCs w:val="20"/>
          <w:lang w:val="es-CL" w:eastAsia="es-ES_tradnl"/>
        </w:rPr>
      </w:pPr>
      <w:r w:rsidRPr="00BA366B">
        <w:rPr>
          <w:rFonts w:ascii="Arial" w:eastAsia="Times New Roman" w:hAnsi="Arial" w:cs="Arial"/>
          <w:color w:val="666666"/>
          <w:sz w:val="20"/>
          <w:szCs w:val="20"/>
          <w:lang w:val="es-CL" w:eastAsia="es-ES_tradnl"/>
        </w:rPr>
        <w:t>Las decisiones de política monetaria son informadas al público a través de un comunicado publicado en la portada del sitio web de la Institución a partir de las 18 horas del segundo día de la RPM. El comunicado incluye los antecedentes más importantes de la evolución de la economía considerados en el análisis, los fundamentos de la decisión adoptada por el Consejo, y el resultado de la votación que la respalda. La publicación de la Minuta de la RPM, que contiene un resumen de los antecedentes y principales puntos de análisis revisados en la reunión, gráficos presentados por la Gerencia de División Estudios durante la Reunión, las opciones de política consideradas, los argumentos considerados por el Consejo en la decisión y la votación de cada Consejero, se efectúa once días hábiles bancarios después de la RPM correspondiente. </w:t>
      </w:r>
    </w:p>
    <w:p w:rsidR="00BA366B" w:rsidRPr="00BA366B" w:rsidRDefault="00BA366B" w:rsidP="00BA366B">
      <w:pPr>
        <w:spacing w:after="150"/>
        <w:jc w:val="both"/>
        <w:rPr>
          <w:rFonts w:ascii="Arial" w:eastAsia="Times New Roman" w:hAnsi="Arial" w:cs="Arial"/>
          <w:color w:val="666666"/>
          <w:sz w:val="20"/>
          <w:szCs w:val="20"/>
          <w:lang w:val="es-CL" w:eastAsia="es-ES_tradnl"/>
        </w:rPr>
      </w:pPr>
      <w:r w:rsidRPr="00BA366B">
        <w:rPr>
          <w:rFonts w:ascii="Arial" w:eastAsia="Times New Roman" w:hAnsi="Arial" w:cs="Arial"/>
          <w:color w:val="666666"/>
          <w:sz w:val="20"/>
          <w:szCs w:val="20"/>
          <w:lang w:val="es-CL" w:eastAsia="es-ES_tradnl"/>
        </w:rPr>
        <w:t>Finalmente, las Actas de las RPM se publicarán con diez años de desfase. Estas contienen información de las materias analizadas y opiniones vertidas por los participantes de ellas, identificando a quienes emitieron cada opinión. La publicación de dicho material se hará en marzo de cada año a partir de marzo de 2018.</w:t>
      </w:r>
    </w:p>
    <w:p w:rsidR="00BA366B" w:rsidRPr="00BA366B" w:rsidRDefault="00BA366B" w:rsidP="00BA366B">
      <w:pPr>
        <w:spacing w:after="150"/>
        <w:rPr>
          <w:rFonts w:ascii="Arial" w:eastAsia="Times New Roman" w:hAnsi="Arial" w:cs="Arial"/>
          <w:color w:val="666666"/>
          <w:sz w:val="20"/>
          <w:szCs w:val="20"/>
          <w:lang w:val="es-CL" w:eastAsia="es-ES_tradnl"/>
        </w:rPr>
      </w:pPr>
      <w:r w:rsidRPr="00BA366B">
        <w:rPr>
          <w:rFonts w:ascii="Arial" w:eastAsia="Times New Roman" w:hAnsi="Arial" w:cs="Arial"/>
          <w:color w:val="666666"/>
          <w:sz w:val="20"/>
          <w:szCs w:val="20"/>
          <w:lang w:val="es-CL" w:eastAsia="es-ES_tradnl"/>
        </w:rPr>
        <w:t> </w:t>
      </w:r>
    </w:p>
    <w:p w:rsidR="00BA366B" w:rsidRPr="00BA366B" w:rsidRDefault="00BA366B" w:rsidP="00BA366B">
      <w:pPr>
        <w:shd w:val="clear" w:color="auto" w:fill="FFFFFF"/>
        <w:spacing w:before="150" w:after="150" w:line="384" w:lineRule="atLeast"/>
        <w:outlineLvl w:val="3"/>
        <w:rPr>
          <w:rFonts w:ascii="Arial" w:eastAsia="Times New Roman" w:hAnsi="Arial" w:cs="Arial"/>
          <w:color w:val="535353"/>
          <w:sz w:val="27"/>
          <w:szCs w:val="27"/>
          <w:lang w:val="es-CL" w:eastAsia="es-ES_tradnl"/>
        </w:rPr>
      </w:pPr>
      <w:r w:rsidRPr="00BA366B">
        <w:rPr>
          <w:rFonts w:ascii="Arial" w:eastAsia="Times New Roman" w:hAnsi="Arial" w:cs="Arial"/>
          <w:color w:val="535353"/>
          <w:sz w:val="27"/>
          <w:szCs w:val="27"/>
          <w:lang w:val="es-CL" w:eastAsia="es-ES_tradnl"/>
        </w:rPr>
        <w:t>Calendario de Reuniones de Política Monetaria para el año 2019</w:t>
      </w:r>
    </w:p>
    <w:p w:rsidR="00BA366B" w:rsidRPr="00BA366B" w:rsidRDefault="00BA366B" w:rsidP="00BA366B">
      <w:pPr>
        <w:shd w:val="clear" w:color="auto" w:fill="FFFFFF"/>
        <w:spacing w:after="150"/>
        <w:rPr>
          <w:rFonts w:ascii="Arial" w:eastAsia="Times New Roman" w:hAnsi="Arial" w:cs="Arial"/>
          <w:color w:val="666666"/>
          <w:sz w:val="18"/>
          <w:szCs w:val="18"/>
          <w:lang w:val="es-CL" w:eastAsia="es-ES_tradnl"/>
        </w:rPr>
      </w:pPr>
      <w:r w:rsidRPr="00BA366B">
        <w:rPr>
          <w:rFonts w:ascii="Arial" w:eastAsia="Times New Roman" w:hAnsi="Arial" w:cs="Arial"/>
          <w:color w:val="666666"/>
          <w:sz w:val="18"/>
          <w:szCs w:val="18"/>
          <w:lang w:val="es-CL" w:eastAsia="es-ES_tradnl"/>
        </w:rPr>
        <w:t> </w:t>
      </w:r>
    </w:p>
    <w:tbl>
      <w:tblPr>
        <w:tblW w:w="5000" w:type="pct"/>
        <w:jc w:val="center"/>
        <w:shd w:val="clear" w:color="auto" w:fill="FFFFFF"/>
        <w:tblCellMar>
          <w:top w:w="15" w:type="dxa"/>
          <w:left w:w="15" w:type="dxa"/>
          <w:bottom w:w="15" w:type="dxa"/>
          <w:right w:w="15" w:type="dxa"/>
        </w:tblCellMar>
        <w:tblLook w:val="04A0" w:firstRow="1" w:lastRow="0" w:firstColumn="1" w:lastColumn="0" w:noHBand="0" w:noVBand="1"/>
      </w:tblPr>
      <w:tblGrid>
        <w:gridCol w:w="4418"/>
        <w:gridCol w:w="2210"/>
        <w:gridCol w:w="2210"/>
      </w:tblGrid>
      <w:tr w:rsidR="00BA366B" w:rsidRPr="00BA366B" w:rsidTr="00BA366B">
        <w:trPr>
          <w:trHeight w:val="300"/>
          <w:tblHeader/>
          <w:jc w:val="center"/>
        </w:trPr>
        <w:tc>
          <w:tcPr>
            <w:tcW w:w="2500" w:type="pct"/>
            <w:shd w:val="clear" w:color="auto" w:fill="93BAC0"/>
            <w:tcMar>
              <w:top w:w="0" w:type="dxa"/>
              <w:left w:w="0" w:type="dxa"/>
              <w:bottom w:w="0" w:type="dxa"/>
              <w:right w:w="0" w:type="dxa"/>
            </w:tcMar>
            <w:vAlign w:val="center"/>
            <w:hideMark/>
          </w:tcPr>
          <w:p w:rsidR="00BA366B" w:rsidRPr="00BA366B" w:rsidRDefault="00BA366B" w:rsidP="00BA366B">
            <w:pPr>
              <w:rPr>
                <w:rFonts w:ascii="Arial" w:eastAsia="Times New Roman" w:hAnsi="Arial" w:cs="Arial"/>
                <w:b/>
                <w:bCs/>
                <w:color w:val="666666"/>
                <w:sz w:val="18"/>
                <w:szCs w:val="18"/>
                <w:lang w:val="es-CL" w:eastAsia="es-ES_tradnl"/>
              </w:rPr>
            </w:pPr>
            <w:r w:rsidRPr="00BA366B">
              <w:rPr>
                <w:rFonts w:ascii="Arial" w:eastAsia="Times New Roman" w:hAnsi="Arial" w:cs="Arial"/>
                <w:b/>
                <w:bCs/>
                <w:color w:val="FFFFFF"/>
                <w:sz w:val="18"/>
                <w:szCs w:val="18"/>
                <w:lang w:val="es-CL" w:eastAsia="es-ES_tradnl"/>
              </w:rPr>
              <w:t>Reunión de Política Monetaria 2019</w:t>
            </w:r>
          </w:p>
        </w:tc>
        <w:tc>
          <w:tcPr>
            <w:tcW w:w="1250" w:type="pct"/>
            <w:shd w:val="clear" w:color="auto" w:fill="93BAC0"/>
            <w:tcMar>
              <w:top w:w="0" w:type="dxa"/>
              <w:left w:w="0" w:type="dxa"/>
              <w:bottom w:w="0" w:type="dxa"/>
              <w:right w:w="0" w:type="dxa"/>
            </w:tcMar>
            <w:vAlign w:val="center"/>
            <w:hideMark/>
          </w:tcPr>
          <w:p w:rsidR="00BA366B" w:rsidRPr="00BA366B" w:rsidRDefault="00BA366B" w:rsidP="00BA366B">
            <w:pPr>
              <w:rPr>
                <w:rFonts w:ascii="Arial" w:eastAsia="Times New Roman" w:hAnsi="Arial" w:cs="Arial"/>
                <w:b/>
                <w:bCs/>
                <w:color w:val="666666"/>
                <w:sz w:val="18"/>
                <w:szCs w:val="18"/>
                <w:lang w:val="es-CL" w:eastAsia="es-ES_tradnl"/>
              </w:rPr>
            </w:pPr>
            <w:r w:rsidRPr="00BA366B">
              <w:rPr>
                <w:rFonts w:ascii="Arial" w:eastAsia="Times New Roman" w:hAnsi="Arial" w:cs="Arial"/>
                <w:b/>
                <w:bCs/>
                <w:color w:val="FFFFFF"/>
                <w:sz w:val="18"/>
                <w:szCs w:val="18"/>
                <w:lang w:val="es-CL" w:eastAsia="es-ES_tradnl"/>
              </w:rPr>
              <w:t>Comunicado</w:t>
            </w:r>
          </w:p>
        </w:tc>
        <w:tc>
          <w:tcPr>
            <w:tcW w:w="1250" w:type="pct"/>
            <w:shd w:val="clear" w:color="auto" w:fill="93BAC0"/>
            <w:tcMar>
              <w:top w:w="0" w:type="dxa"/>
              <w:left w:w="0" w:type="dxa"/>
              <w:bottom w:w="0" w:type="dxa"/>
              <w:right w:w="0" w:type="dxa"/>
            </w:tcMar>
            <w:vAlign w:val="center"/>
            <w:hideMark/>
          </w:tcPr>
          <w:p w:rsidR="00BA366B" w:rsidRPr="00BA366B" w:rsidRDefault="00BA366B" w:rsidP="00BA366B">
            <w:pPr>
              <w:rPr>
                <w:rFonts w:ascii="Arial" w:eastAsia="Times New Roman" w:hAnsi="Arial" w:cs="Arial"/>
                <w:b/>
                <w:bCs/>
                <w:color w:val="666666"/>
                <w:sz w:val="18"/>
                <w:szCs w:val="18"/>
                <w:lang w:val="es-CL" w:eastAsia="es-ES_tradnl"/>
              </w:rPr>
            </w:pPr>
            <w:r w:rsidRPr="00BA366B">
              <w:rPr>
                <w:rFonts w:ascii="Arial" w:eastAsia="Times New Roman" w:hAnsi="Arial" w:cs="Arial"/>
                <w:b/>
                <w:bCs/>
                <w:color w:val="FFFFFF"/>
                <w:sz w:val="18"/>
                <w:szCs w:val="18"/>
                <w:lang w:val="es-CL" w:eastAsia="es-ES_tradnl"/>
              </w:rPr>
              <w:t>Minuta</w:t>
            </w:r>
          </w:p>
        </w:tc>
      </w:tr>
      <w:tr w:rsidR="00BA366B" w:rsidRPr="00BA366B" w:rsidTr="00BA366B">
        <w:trPr>
          <w:jc w:val="center"/>
        </w:trPr>
        <w:tc>
          <w:tcPr>
            <w:tcW w:w="0" w:type="auto"/>
            <w:shd w:val="clear" w:color="auto" w:fill="F8F8F8"/>
            <w:tcMar>
              <w:top w:w="0" w:type="dxa"/>
              <w:left w:w="0" w:type="dxa"/>
              <w:bottom w:w="0" w:type="dxa"/>
              <w:right w:w="0" w:type="dxa"/>
            </w:tcMar>
            <w:vAlign w:val="center"/>
            <w:hideMark/>
          </w:tcPr>
          <w:p w:rsidR="00BA366B" w:rsidRPr="00BA366B" w:rsidRDefault="00BA366B" w:rsidP="00BA366B">
            <w:pPr>
              <w:rPr>
                <w:rFonts w:ascii="Arial" w:eastAsia="Times New Roman" w:hAnsi="Arial" w:cs="Arial"/>
                <w:color w:val="666666"/>
                <w:sz w:val="18"/>
                <w:szCs w:val="18"/>
                <w:lang w:val="es-CL" w:eastAsia="es-ES_tradnl"/>
              </w:rPr>
            </w:pPr>
            <w:r w:rsidRPr="00BA366B">
              <w:rPr>
                <w:rFonts w:ascii="Arial" w:eastAsia="Times New Roman" w:hAnsi="Arial" w:cs="Arial"/>
                <w:color w:val="666666"/>
                <w:sz w:val="18"/>
                <w:szCs w:val="18"/>
                <w:lang w:val="es-CL" w:eastAsia="es-ES_tradnl"/>
              </w:rPr>
              <w:t>29 y 30 de enero</w:t>
            </w:r>
          </w:p>
        </w:tc>
        <w:tc>
          <w:tcPr>
            <w:tcW w:w="0" w:type="auto"/>
            <w:shd w:val="clear" w:color="auto" w:fill="F8F8F8"/>
            <w:tcMar>
              <w:top w:w="0" w:type="dxa"/>
              <w:left w:w="0" w:type="dxa"/>
              <w:bottom w:w="0" w:type="dxa"/>
              <w:right w:w="0" w:type="dxa"/>
            </w:tcMar>
            <w:vAlign w:val="center"/>
            <w:hideMark/>
          </w:tcPr>
          <w:p w:rsidR="00BA366B" w:rsidRPr="00BA366B" w:rsidRDefault="00BA366B" w:rsidP="00BA366B">
            <w:pPr>
              <w:rPr>
                <w:rFonts w:ascii="Arial" w:eastAsia="Times New Roman" w:hAnsi="Arial" w:cs="Arial"/>
                <w:color w:val="666666"/>
                <w:sz w:val="18"/>
                <w:szCs w:val="18"/>
                <w:lang w:val="es-CL" w:eastAsia="es-ES_tradnl"/>
              </w:rPr>
            </w:pPr>
            <w:r w:rsidRPr="00BA366B">
              <w:rPr>
                <w:rFonts w:ascii="Arial" w:eastAsia="Times New Roman" w:hAnsi="Arial" w:cs="Arial"/>
                <w:color w:val="666666"/>
                <w:sz w:val="18"/>
                <w:szCs w:val="18"/>
                <w:lang w:val="es-CL" w:eastAsia="es-ES_tradnl"/>
              </w:rPr>
              <w:t>Miércoles 30 de enero</w:t>
            </w:r>
          </w:p>
        </w:tc>
        <w:tc>
          <w:tcPr>
            <w:tcW w:w="0" w:type="auto"/>
            <w:shd w:val="clear" w:color="auto" w:fill="F8F8F8"/>
            <w:tcMar>
              <w:top w:w="0" w:type="dxa"/>
              <w:left w:w="0" w:type="dxa"/>
              <w:bottom w:w="0" w:type="dxa"/>
              <w:right w:w="0" w:type="dxa"/>
            </w:tcMar>
            <w:vAlign w:val="center"/>
            <w:hideMark/>
          </w:tcPr>
          <w:p w:rsidR="00BA366B" w:rsidRPr="00BA366B" w:rsidRDefault="00BA366B" w:rsidP="00BA366B">
            <w:pPr>
              <w:rPr>
                <w:rFonts w:ascii="Arial" w:eastAsia="Times New Roman" w:hAnsi="Arial" w:cs="Arial"/>
                <w:color w:val="666666"/>
                <w:sz w:val="18"/>
                <w:szCs w:val="18"/>
                <w:lang w:val="es-CL" w:eastAsia="es-ES_tradnl"/>
              </w:rPr>
            </w:pPr>
            <w:r w:rsidRPr="00BA366B">
              <w:rPr>
                <w:rFonts w:ascii="Arial" w:eastAsia="Times New Roman" w:hAnsi="Arial" w:cs="Arial"/>
                <w:color w:val="666666"/>
                <w:sz w:val="18"/>
                <w:szCs w:val="18"/>
                <w:lang w:val="es-CL" w:eastAsia="es-ES_tradnl"/>
              </w:rPr>
              <w:t>Jueves 14 de febrero</w:t>
            </w:r>
          </w:p>
        </w:tc>
      </w:tr>
      <w:tr w:rsidR="00BA366B" w:rsidRPr="00BA366B" w:rsidTr="00BA366B">
        <w:trPr>
          <w:jc w:val="center"/>
        </w:trPr>
        <w:tc>
          <w:tcPr>
            <w:tcW w:w="0" w:type="auto"/>
            <w:shd w:val="clear" w:color="auto" w:fill="FFFFFF"/>
            <w:tcMar>
              <w:top w:w="0" w:type="dxa"/>
              <w:left w:w="0" w:type="dxa"/>
              <w:bottom w:w="0" w:type="dxa"/>
              <w:right w:w="0" w:type="dxa"/>
            </w:tcMar>
            <w:vAlign w:val="center"/>
            <w:hideMark/>
          </w:tcPr>
          <w:p w:rsidR="00BA366B" w:rsidRPr="00BA366B" w:rsidRDefault="00BA366B" w:rsidP="00BA366B">
            <w:pPr>
              <w:rPr>
                <w:rFonts w:ascii="Arial" w:eastAsia="Times New Roman" w:hAnsi="Arial" w:cs="Arial"/>
                <w:color w:val="666666"/>
                <w:sz w:val="18"/>
                <w:szCs w:val="18"/>
                <w:lang w:val="es-CL" w:eastAsia="es-ES_tradnl"/>
              </w:rPr>
            </w:pPr>
            <w:r w:rsidRPr="00BA366B">
              <w:rPr>
                <w:rFonts w:ascii="Arial" w:eastAsia="Times New Roman" w:hAnsi="Arial" w:cs="Arial"/>
                <w:color w:val="666666"/>
                <w:sz w:val="18"/>
                <w:szCs w:val="18"/>
                <w:lang w:val="es-CL" w:eastAsia="es-ES_tradnl"/>
              </w:rPr>
              <w:t>29 de marzo</w:t>
            </w:r>
          </w:p>
        </w:tc>
        <w:tc>
          <w:tcPr>
            <w:tcW w:w="0" w:type="auto"/>
            <w:shd w:val="clear" w:color="auto" w:fill="FFFFFF"/>
            <w:tcMar>
              <w:top w:w="0" w:type="dxa"/>
              <w:left w:w="0" w:type="dxa"/>
              <w:bottom w:w="0" w:type="dxa"/>
              <w:right w:w="0" w:type="dxa"/>
            </w:tcMar>
            <w:vAlign w:val="center"/>
            <w:hideMark/>
          </w:tcPr>
          <w:p w:rsidR="00BA366B" w:rsidRPr="00BA366B" w:rsidRDefault="00BA366B" w:rsidP="00BA366B">
            <w:pPr>
              <w:rPr>
                <w:rFonts w:ascii="Arial" w:eastAsia="Times New Roman" w:hAnsi="Arial" w:cs="Arial"/>
                <w:color w:val="666666"/>
                <w:sz w:val="18"/>
                <w:szCs w:val="18"/>
                <w:lang w:val="es-CL" w:eastAsia="es-ES_tradnl"/>
              </w:rPr>
            </w:pPr>
            <w:r w:rsidRPr="00BA366B">
              <w:rPr>
                <w:rFonts w:ascii="Arial" w:eastAsia="Times New Roman" w:hAnsi="Arial" w:cs="Arial"/>
                <w:color w:val="666666"/>
                <w:sz w:val="18"/>
                <w:szCs w:val="18"/>
                <w:lang w:val="es-CL" w:eastAsia="es-ES_tradnl"/>
              </w:rPr>
              <w:t>Viernes 29 de marzo</w:t>
            </w:r>
          </w:p>
        </w:tc>
        <w:tc>
          <w:tcPr>
            <w:tcW w:w="0" w:type="auto"/>
            <w:shd w:val="clear" w:color="auto" w:fill="FFFFFF"/>
            <w:tcMar>
              <w:top w:w="0" w:type="dxa"/>
              <w:left w:w="0" w:type="dxa"/>
              <w:bottom w:w="0" w:type="dxa"/>
              <w:right w:w="0" w:type="dxa"/>
            </w:tcMar>
            <w:vAlign w:val="center"/>
            <w:hideMark/>
          </w:tcPr>
          <w:p w:rsidR="00BA366B" w:rsidRPr="00BA366B" w:rsidRDefault="00BA366B" w:rsidP="00BA366B">
            <w:pPr>
              <w:rPr>
                <w:rFonts w:ascii="Arial" w:eastAsia="Times New Roman" w:hAnsi="Arial" w:cs="Arial"/>
                <w:color w:val="666666"/>
                <w:sz w:val="18"/>
                <w:szCs w:val="18"/>
                <w:lang w:val="es-CL" w:eastAsia="es-ES_tradnl"/>
              </w:rPr>
            </w:pPr>
            <w:r w:rsidRPr="00BA366B">
              <w:rPr>
                <w:rFonts w:ascii="Arial" w:eastAsia="Times New Roman" w:hAnsi="Arial" w:cs="Arial"/>
                <w:color w:val="666666"/>
                <w:sz w:val="18"/>
                <w:szCs w:val="18"/>
                <w:lang w:val="es-CL" w:eastAsia="es-ES_tradnl"/>
              </w:rPr>
              <w:t>Lunes 15 de abril</w:t>
            </w:r>
          </w:p>
        </w:tc>
      </w:tr>
      <w:tr w:rsidR="00BA366B" w:rsidRPr="00BA366B" w:rsidTr="00BA366B">
        <w:trPr>
          <w:jc w:val="center"/>
        </w:trPr>
        <w:tc>
          <w:tcPr>
            <w:tcW w:w="0" w:type="auto"/>
            <w:shd w:val="clear" w:color="auto" w:fill="F8F8F8"/>
            <w:tcMar>
              <w:top w:w="0" w:type="dxa"/>
              <w:left w:w="0" w:type="dxa"/>
              <w:bottom w:w="0" w:type="dxa"/>
              <w:right w:w="0" w:type="dxa"/>
            </w:tcMar>
            <w:vAlign w:val="center"/>
            <w:hideMark/>
          </w:tcPr>
          <w:p w:rsidR="00BA366B" w:rsidRPr="00BA366B" w:rsidRDefault="00BA366B" w:rsidP="00BA366B">
            <w:pPr>
              <w:rPr>
                <w:rFonts w:ascii="Arial" w:eastAsia="Times New Roman" w:hAnsi="Arial" w:cs="Arial"/>
                <w:color w:val="666666"/>
                <w:sz w:val="18"/>
                <w:szCs w:val="18"/>
                <w:lang w:val="es-CL" w:eastAsia="es-ES_tradnl"/>
              </w:rPr>
            </w:pPr>
            <w:r w:rsidRPr="00BA366B">
              <w:rPr>
                <w:rFonts w:ascii="Arial" w:eastAsia="Times New Roman" w:hAnsi="Arial" w:cs="Arial"/>
                <w:color w:val="666666"/>
                <w:sz w:val="18"/>
                <w:szCs w:val="18"/>
                <w:lang w:val="es-CL" w:eastAsia="es-ES_tradnl"/>
              </w:rPr>
              <w:t>8 y 9 de mayo</w:t>
            </w:r>
          </w:p>
        </w:tc>
        <w:tc>
          <w:tcPr>
            <w:tcW w:w="0" w:type="auto"/>
            <w:shd w:val="clear" w:color="auto" w:fill="F8F8F8"/>
            <w:tcMar>
              <w:top w:w="0" w:type="dxa"/>
              <w:left w:w="0" w:type="dxa"/>
              <w:bottom w:w="0" w:type="dxa"/>
              <w:right w:w="0" w:type="dxa"/>
            </w:tcMar>
            <w:vAlign w:val="center"/>
            <w:hideMark/>
          </w:tcPr>
          <w:p w:rsidR="00BA366B" w:rsidRPr="00BA366B" w:rsidRDefault="00BA366B" w:rsidP="00BA366B">
            <w:pPr>
              <w:rPr>
                <w:rFonts w:ascii="Arial" w:eastAsia="Times New Roman" w:hAnsi="Arial" w:cs="Arial"/>
                <w:color w:val="666666"/>
                <w:sz w:val="18"/>
                <w:szCs w:val="18"/>
                <w:lang w:val="es-CL" w:eastAsia="es-ES_tradnl"/>
              </w:rPr>
            </w:pPr>
            <w:r w:rsidRPr="00BA366B">
              <w:rPr>
                <w:rFonts w:ascii="Arial" w:eastAsia="Times New Roman" w:hAnsi="Arial" w:cs="Arial"/>
                <w:color w:val="666666"/>
                <w:sz w:val="18"/>
                <w:szCs w:val="18"/>
                <w:lang w:val="es-CL" w:eastAsia="es-ES_tradnl"/>
              </w:rPr>
              <w:t>Jueves 9 de mayo</w:t>
            </w:r>
          </w:p>
        </w:tc>
        <w:tc>
          <w:tcPr>
            <w:tcW w:w="0" w:type="auto"/>
            <w:shd w:val="clear" w:color="auto" w:fill="F8F8F8"/>
            <w:tcMar>
              <w:top w:w="0" w:type="dxa"/>
              <w:left w:w="0" w:type="dxa"/>
              <w:bottom w:w="0" w:type="dxa"/>
              <w:right w:w="0" w:type="dxa"/>
            </w:tcMar>
            <w:vAlign w:val="center"/>
            <w:hideMark/>
          </w:tcPr>
          <w:p w:rsidR="00BA366B" w:rsidRPr="00BA366B" w:rsidRDefault="00BA366B" w:rsidP="00BA366B">
            <w:pPr>
              <w:rPr>
                <w:rFonts w:ascii="Arial" w:eastAsia="Times New Roman" w:hAnsi="Arial" w:cs="Arial"/>
                <w:color w:val="666666"/>
                <w:sz w:val="18"/>
                <w:szCs w:val="18"/>
                <w:lang w:val="es-CL" w:eastAsia="es-ES_tradnl"/>
              </w:rPr>
            </w:pPr>
            <w:r w:rsidRPr="00BA366B">
              <w:rPr>
                <w:rFonts w:ascii="Arial" w:eastAsia="Times New Roman" w:hAnsi="Arial" w:cs="Arial"/>
                <w:color w:val="666666"/>
                <w:sz w:val="18"/>
                <w:szCs w:val="18"/>
                <w:lang w:val="es-CL" w:eastAsia="es-ES_tradnl"/>
              </w:rPr>
              <w:t>Lunes 27 de mayo</w:t>
            </w:r>
          </w:p>
        </w:tc>
      </w:tr>
      <w:tr w:rsidR="00BA366B" w:rsidRPr="00BA366B" w:rsidTr="00BA366B">
        <w:trPr>
          <w:jc w:val="center"/>
        </w:trPr>
        <w:tc>
          <w:tcPr>
            <w:tcW w:w="0" w:type="auto"/>
            <w:shd w:val="clear" w:color="auto" w:fill="FFFFFF"/>
            <w:tcMar>
              <w:top w:w="0" w:type="dxa"/>
              <w:left w:w="0" w:type="dxa"/>
              <w:bottom w:w="0" w:type="dxa"/>
              <w:right w:w="0" w:type="dxa"/>
            </w:tcMar>
            <w:vAlign w:val="center"/>
            <w:hideMark/>
          </w:tcPr>
          <w:p w:rsidR="00BA366B" w:rsidRPr="00BA366B" w:rsidRDefault="00BA366B" w:rsidP="00BA366B">
            <w:pPr>
              <w:rPr>
                <w:rFonts w:ascii="Arial" w:eastAsia="Times New Roman" w:hAnsi="Arial" w:cs="Arial"/>
                <w:color w:val="666666"/>
                <w:sz w:val="18"/>
                <w:szCs w:val="18"/>
                <w:lang w:val="es-CL" w:eastAsia="es-ES_tradnl"/>
              </w:rPr>
            </w:pPr>
            <w:r w:rsidRPr="00BA366B">
              <w:rPr>
                <w:rFonts w:ascii="Arial" w:eastAsia="Times New Roman" w:hAnsi="Arial" w:cs="Arial"/>
                <w:color w:val="666666"/>
                <w:sz w:val="18"/>
                <w:szCs w:val="18"/>
                <w:lang w:val="es-CL" w:eastAsia="es-ES_tradnl"/>
              </w:rPr>
              <w:t>7 de junio</w:t>
            </w:r>
          </w:p>
        </w:tc>
        <w:tc>
          <w:tcPr>
            <w:tcW w:w="0" w:type="auto"/>
            <w:shd w:val="clear" w:color="auto" w:fill="FFFFFF"/>
            <w:tcMar>
              <w:top w:w="0" w:type="dxa"/>
              <w:left w:w="0" w:type="dxa"/>
              <w:bottom w:w="0" w:type="dxa"/>
              <w:right w:w="0" w:type="dxa"/>
            </w:tcMar>
            <w:vAlign w:val="center"/>
            <w:hideMark/>
          </w:tcPr>
          <w:p w:rsidR="00BA366B" w:rsidRPr="00BA366B" w:rsidRDefault="00BA366B" w:rsidP="00BA366B">
            <w:pPr>
              <w:rPr>
                <w:rFonts w:ascii="Arial" w:eastAsia="Times New Roman" w:hAnsi="Arial" w:cs="Arial"/>
                <w:color w:val="666666"/>
                <w:sz w:val="18"/>
                <w:szCs w:val="18"/>
                <w:lang w:val="es-CL" w:eastAsia="es-ES_tradnl"/>
              </w:rPr>
            </w:pPr>
            <w:r w:rsidRPr="00BA366B">
              <w:rPr>
                <w:rFonts w:ascii="Arial" w:eastAsia="Times New Roman" w:hAnsi="Arial" w:cs="Arial"/>
                <w:color w:val="666666"/>
                <w:sz w:val="18"/>
                <w:szCs w:val="18"/>
                <w:lang w:val="es-CL" w:eastAsia="es-ES_tradnl"/>
              </w:rPr>
              <w:t>Viernes 7 de junio</w:t>
            </w:r>
          </w:p>
        </w:tc>
        <w:tc>
          <w:tcPr>
            <w:tcW w:w="0" w:type="auto"/>
            <w:shd w:val="clear" w:color="auto" w:fill="FFFFFF"/>
            <w:tcMar>
              <w:top w:w="0" w:type="dxa"/>
              <w:left w:w="0" w:type="dxa"/>
              <w:bottom w:w="0" w:type="dxa"/>
              <w:right w:w="0" w:type="dxa"/>
            </w:tcMar>
            <w:vAlign w:val="center"/>
            <w:hideMark/>
          </w:tcPr>
          <w:p w:rsidR="00BA366B" w:rsidRPr="00BA366B" w:rsidRDefault="00BA366B" w:rsidP="00BA366B">
            <w:pPr>
              <w:rPr>
                <w:rFonts w:ascii="Arial" w:eastAsia="Times New Roman" w:hAnsi="Arial" w:cs="Arial"/>
                <w:color w:val="666666"/>
                <w:sz w:val="18"/>
                <w:szCs w:val="18"/>
                <w:lang w:val="es-CL" w:eastAsia="es-ES_tradnl"/>
              </w:rPr>
            </w:pPr>
            <w:r w:rsidRPr="00BA366B">
              <w:rPr>
                <w:rFonts w:ascii="Arial" w:eastAsia="Times New Roman" w:hAnsi="Arial" w:cs="Arial"/>
                <w:color w:val="666666"/>
                <w:sz w:val="18"/>
                <w:szCs w:val="18"/>
                <w:lang w:val="es-CL" w:eastAsia="es-ES_tradnl"/>
              </w:rPr>
              <w:t>Lunes 24 de junio</w:t>
            </w:r>
          </w:p>
        </w:tc>
      </w:tr>
      <w:tr w:rsidR="00BA366B" w:rsidRPr="00BA366B" w:rsidTr="00BA366B">
        <w:trPr>
          <w:jc w:val="center"/>
        </w:trPr>
        <w:tc>
          <w:tcPr>
            <w:tcW w:w="0" w:type="auto"/>
            <w:shd w:val="clear" w:color="auto" w:fill="F8F8F8"/>
            <w:tcMar>
              <w:top w:w="0" w:type="dxa"/>
              <w:left w:w="0" w:type="dxa"/>
              <w:bottom w:w="0" w:type="dxa"/>
              <w:right w:w="0" w:type="dxa"/>
            </w:tcMar>
            <w:vAlign w:val="center"/>
            <w:hideMark/>
          </w:tcPr>
          <w:p w:rsidR="00BA366B" w:rsidRPr="00BA366B" w:rsidRDefault="00BA366B" w:rsidP="00BA366B">
            <w:pPr>
              <w:rPr>
                <w:rFonts w:ascii="Arial" w:eastAsia="Times New Roman" w:hAnsi="Arial" w:cs="Arial"/>
                <w:color w:val="666666"/>
                <w:sz w:val="18"/>
                <w:szCs w:val="18"/>
                <w:lang w:val="es-CL" w:eastAsia="es-ES_tradnl"/>
              </w:rPr>
            </w:pPr>
            <w:r w:rsidRPr="00BA366B">
              <w:rPr>
                <w:rFonts w:ascii="Arial" w:eastAsia="Times New Roman" w:hAnsi="Arial" w:cs="Arial"/>
                <w:color w:val="666666"/>
                <w:sz w:val="18"/>
                <w:szCs w:val="18"/>
                <w:lang w:val="es-CL" w:eastAsia="es-ES_tradnl"/>
              </w:rPr>
              <w:t>17 y 18 de julio</w:t>
            </w:r>
          </w:p>
        </w:tc>
        <w:tc>
          <w:tcPr>
            <w:tcW w:w="0" w:type="auto"/>
            <w:shd w:val="clear" w:color="auto" w:fill="F8F8F8"/>
            <w:tcMar>
              <w:top w:w="0" w:type="dxa"/>
              <w:left w:w="0" w:type="dxa"/>
              <w:bottom w:w="0" w:type="dxa"/>
              <w:right w:w="0" w:type="dxa"/>
            </w:tcMar>
            <w:vAlign w:val="center"/>
            <w:hideMark/>
          </w:tcPr>
          <w:p w:rsidR="00BA366B" w:rsidRPr="00BA366B" w:rsidRDefault="00BA366B" w:rsidP="00BA366B">
            <w:pPr>
              <w:rPr>
                <w:rFonts w:ascii="Arial" w:eastAsia="Times New Roman" w:hAnsi="Arial" w:cs="Arial"/>
                <w:color w:val="666666"/>
                <w:sz w:val="18"/>
                <w:szCs w:val="18"/>
                <w:lang w:val="es-CL" w:eastAsia="es-ES_tradnl"/>
              </w:rPr>
            </w:pPr>
            <w:r w:rsidRPr="00BA366B">
              <w:rPr>
                <w:rFonts w:ascii="Arial" w:eastAsia="Times New Roman" w:hAnsi="Arial" w:cs="Arial"/>
                <w:color w:val="666666"/>
                <w:sz w:val="18"/>
                <w:szCs w:val="18"/>
                <w:lang w:val="es-CL" w:eastAsia="es-ES_tradnl"/>
              </w:rPr>
              <w:t>Jueves 18 de julio</w:t>
            </w:r>
          </w:p>
        </w:tc>
        <w:tc>
          <w:tcPr>
            <w:tcW w:w="0" w:type="auto"/>
            <w:shd w:val="clear" w:color="auto" w:fill="F8F8F8"/>
            <w:tcMar>
              <w:top w:w="0" w:type="dxa"/>
              <w:left w:w="0" w:type="dxa"/>
              <w:bottom w:w="0" w:type="dxa"/>
              <w:right w:w="0" w:type="dxa"/>
            </w:tcMar>
            <w:vAlign w:val="center"/>
            <w:hideMark/>
          </w:tcPr>
          <w:p w:rsidR="00BA366B" w:rsidRPr="00BA366B" w:rsidRDefault="00BA366B" w:rsidP="00BA366B">
            <w:pPr>
              <w:rPr>
                <w:rFonts w:ascii="Arial" w:eastAsia="Times New Roman" w:hAnsi="Arial" w:cs="Arial"/>
                <w:color w:val="666666"/>
                <w:sz w:val="18"/>
                <w:szCs w:val="18"/>
                <w:lang w:val="es-CL" w:eastAsia="es-ES_tradnl"/>
              </w:rPr>
            </w:pPr>
            <w:r w:rsidRPr="00BA366B">
              <w:rPr>
                <w:rFonts w:ascii="Arial" w:eastAsia="Times New Roman" w:hAnsi="Arial" w:cs="Arial"/>
                <w:color w:val="666666"/>
                <w:sz w:val="18"/>
                <w:szCs w:val="18"/>
                <w:lang w:val="es-CL" w:eastAsia="es-ES_tradnl"/>
              </w:rPr>
              <w:t>Viernes 2 de agosto</w:t>
            </w:r>
          </w:p>
        </w:tc>
      </w:tr>
      <w:tr w:rsidR="00BA366B" w:rsidRPr="00BA366B" w:rsidTr="00BA366B">
        <w:trPr>
          <w:jc w:val="center"/>
        </w:trPr>
        <w:tc>
          <w:tcPr>
            <w:tcW w:w="0" w:type="auto"/>
            <w:shd w:val="clear" w:color="auto" w:fill="FFFFFF"/>
            <w:tcMar>
              <w:top w:w="0" w:type="dxa"/>
              <w:left w:w="0" w:type="dxa"/>
              <w:bottom w:w="0" w:type="dxa"/>
              <w:right w:w="0" w:type="dxa"/>
            </w:tcMar>
            <w:vAlign w:val="center"/>
            <w:hideMark/>
          </w:tcPr>
          <w:p w:rsidR="00BA366B" w:rsidRPr="00BA366B" w:rsidRDefault="00BA366B" w:rsidP="00BA366B">
            <w:pPr>
              <w:rPr>
                <w:rFonts w:ascii="Arial" w:eastAsia="Times New Roman" w:hAnsi="Arial" w:cs="Arial"/>
                <w:color w:val="666666"/>
                <w:sz w:val="18"/>
                <w:szCs w:val="18"/>
                <w:lang w:val="es-CL" w:eastAsia="es-ES_tradnl"/>
              </w:rPr>
            </w:pPr>
            <w:r w:rsidRPr="00BA366B">
              <w:rPr>
                <w:rFonts w:ascii="Arial" w:eastAsia="Times New Roman" w:hAnsi="Arial" w:cs="Arial"/>
                <w:color w:val="666666"/>
                <w:sz w:val="18"/>
                <w:szCs w:val="18"/>
                <w:lang w:val="es-CL" w:eastAsia="es-ES_tradnl"/>
              </w:rPr>
              <w:t>3 de septiembre</w:t>
            </w:r>
          </w:p>
        </w:tc>
        <w:tc>
          <w:tcPr>
            <w:tcW w:w="0" w:type="auto"/>
            <w:shd w:val="clear" w:color="auto" w:fill="FFFFFF"/>
            <w:tcMar>
              <w:top w:w="0" w:type="dxa"/>
              <w:left w:w="0" w:type="dxa"/>
              <w:bottom w:w="0" w:type="dxa"/>
              <w:right w:w="0" w:type="dxa"/>
            </w:tcMar>
            <w:vAlign w:val="center"/>
            <w:hideMark/>
          </w:tcPr>
          <w:p w:rsidR="00BA366B" w:rsidRPr="00BA366B" w:rsidRDefault="00BA366B" w:rsidP="00BA366B">
            <w:pPr>
              <w:rPr>
                <w:rFonts w:ascii="Arial" w:eastAsia="Times New Roman" w:hAnsi="Arial" w:cs="Arial"/>
                <w:color w:val="666666"/>
                <w:sz w:val="18"/>
                <w:szCs w:val="18"/>
                <w:lang w:val="es-CL" w:eastAsia="es-ES_tradnl"/>
              </w:rPr>
            </w:pPr>
            <w:r w:rsidRPr="00BA366B">
              <w:rPr>
                <w:rFonts w:ascii="Arial" w:eastAsia="Times New Roman" w:hAnsi="Arial" w:cs="Arial"/>
                <w:color w:val="666666"/>
                <w:sz w:val="18"/>
                <w:szCs w:val="18"/>
                <w:lang w:val="es-CL" w:eastAsia="es-ES_tradnl"/>
              </w:rPr>
              <w:t>Martes 3 de septiembre</w:t>
            </w:r>
          </w:p>
        </w:tc>
        <w:tc>
          <w:tcPr>
            <w:tcW w:w="0" w:type="auto"/>
            <w:shd w:val="clear" w:color="auto" w:fill="FFFFFF"/>
            <w:tcMar>
              <w:top w:w="0" w:type="dxa"/>
              <w:left w:w="0" w:type="dxa"/>
              <w:bottom w:w="0" w:type="dxa"/>
              <w:right w:w="0" w:type="dxa"/>
            </w:tcMar>
            <w:vAlign w:val="center"/>
            <w:hideMark/>
          </w:tcPr>
          <w:p w:rsidR="00BA366B" w:rsidRPr="00BA366B" w:rsidRDefault="00BA366B" w:rsidP="00BA366B">
            <w:pPr>
              <w:rPr>
                <w:rFonts w:ascii="Arial" w:eastAsia="Times New Roman" w:hAnsi="Arial" w:cs="Arial"/>
                <w:color w:val="666666"/>
                <w:sz w:val="18"/>
                <w:szCs w:val="18"/>
                <w:lang w:val="es-CL" w:eastAsia="es-ES_tradnl"/>
              </w:rPr>
            </w:pPr>
            <w:r w:rsidRPr="00BA366B">
              <w:rPr>
                <w:rFonts w:ascii="Arial" w:eastAsia="Times New Roman" w:hAnsi="Arial" w:cs="Arial"/>
                <w:color w:val="666666"/>
                <w:sz w:val="18"/>
                <w:szCs w:val="18"/>
                <w:lang w:val="es-CL" w:eastAsia="es-ES_tradnl"/>
              </w:rPr>
              <w:t>Lunes 23 de septiembre</w:t>
            </w:r>
          </w:p>
        </w:tc>
      </w:tr>
      <w:tr w:rsidR="00BA366B" w:rsidRPr="00BA366B" w:rsidTr="00BA366B">
        <w:trPr>
          <w:jc w:val="center"/>
        </w:trPr>
        <w:tc>
          <w:tcPr>
            <w:tcW w:w="0" w:type="auto"/>
            <w:shd w:val="clear" w:color="auto" w:fill="F8F8F8"/>
            <w:tcMar>
              <w:top w:w="0" w:type="dxa"/>
              <w:left w:w="0" w:type="dxa"/>
              <w:bottom w:w="0" w:type="dxa"/>
              <w:right w:w="0" w:type="dxa"/>
            </w:tcMar>
            <w:vAlign w:val="center"/>
            <w:hideMark/>
          </w:tcPr>
          <w:p w:rsidR="00BA366B" w:rsidRPr="00BA366B" w:rsidRDefault="00BA366B" w:rsidP="00BA366B">
            <w:pPr>
              <w:rPr>
                <w:rFonts w:ascii="Arial" w:eastAsia="Times New Roman" w:hAnsi="Arial" w:cs="Arial"/>
                <w:color w:val="666666"/>
                <w:sz w:val="18"/>
                <w:szCs w:val="18"/>
                <w:lang w:val="es-CL" w:eastAsia="es-ES_tradnl"/>
              </w:rPr>
            </w:pPr>
            <w:r w:rsidRPr="00BA366B">
              <w:rPr>
                <w:rFonts w:ascii="Arial" w:eastAsia="Times New Roman" w:hAnsi="Arial" w:cs="Arial"/>
                <w:color w:val="666666"/>
                <w:sz w:val="18"/>
                <w:szCs w:val="18"/>
                <w:lang w:val="es-CL" w:eastAsia="es-ES_tradnl"/>
              </w:rPr>
              <w:t>22 y 23 de octubre</w:t>
            </w:r>
          </w:p>
        </w:tc>
        <w:tc>
          <w:tcPr>
            <w:tcW w:w="0" w:type="auto"/>
            <w:shd w:val="clear" w:color="auto" w:fill="F8F8F8"/>
            <w:tcMar>
              <w:top w:w="0" w:type="dxa"/>
              <w:left w:w="0" w:type="dxa"/>
              <w:bottom w:w="0" w:type="dxa"/>
              <w:right w:w="0" w:type="dxa"/>
            </w:tcMar>
            <w:vAlign w:val="center"/>
            <w:hideMark/>
          </w:tcPr>
          <w:p w:rsidR="00BA366B" w:rsidRPr="00BA366B" w:rsidRDefault="00BA366B" w:rsidP="00BA366B">
            <w:pPr>
              <w:rPr>
                <w:rFonts w:ascii="Arial" w:eastAsia="Times New Roman" w:hAnsi="Arial" w:cs="Arial"/>
                <w:color w:val="666666"/>
                <w:sz w:val="18"/>
                <w:szCs w:val="18"/>
                <w:lang w:val="es-CL" w:eastAsia="es-ES_tradnl"/>
              </w:rPr>
            </w:pPr>
            <w:r w:rsidRPr="00BA366B">
              <w:rPr>
                <w:rFonts w:ascii="Arial" w:eastAsia="Times New Roman" w:hAnsi="Arial" w:cs="Arial"/>
                <w:color w:val="666666"/>
                <w:sz w:val="18"/>
                <w:szCs w:val="18"/>
                <w:lang w:val="es-CL" w:eastAsia="es-ES_tradnl"/>
              </w:rPr>
              <w:t>Miércoles 23 de octubre</w:t>
            </w:r>
          </w:p>
        </w:tc>
        <w:tc>
          <w:tcPr>
            <w:tcW w:w="0" w:type="auto"/>
            <w:shd w:val="clear" w:color="auto" w:fill="F8F8F8"/>
            <w:tcMar>
              <w:top w:w="0" w:type="dxa"/>
              <w:left w:w="0" w:type="dxa"/>
              <w:bottom w:w="0" w:type="dxa"/>
              <w:right w:w="0" w:type="dxa"/>
            </w:tcMar>
            <w:vAlign w:val="center"/>
            <w:hideMark/>
          </w:tcPr>
          <w:p w:rsidR="00BA366B" w:rsidRPr="00BA366B" w:rsidRDefault="00BA366B" w:rsidP="00BA366B">
            <w:pPr>
              <w:rPr>
                <w:rFonts w:ascii="Arial" w:eastAsia="Times New Roman" w:hAnsi="Arial" w:cs="Arial"/>
                <w:color w:val="666666"/>
                <w:sz w:val="18"/>
                <w:szCs w:val="18"/>
                <w:lang w:val="es-CL" w:eastAsia="es-ES_tradnl"/>
              </w:rPr>
            </w:pPr>
            <w:r w:rsidRPr="00BA366B">
              <w:rPr>
                <w:rFonts w:ascii="Arial" w:eastAsia="Times New Roman" w:hAnsi="Arial" w:cs="Arial"/>
                <w:color w:val="666666"/>
                <w:sz w:val="18"/>
                <w:szCs w:val="18"/>
                <w:lang w:val="es-CL" w:eastAsia="es-ES_tradnl"/>
              </w:rPr>
              <w:t>Lunes 11 de noviembre</w:t>
            </w:r>
          </w:p>
        </w:tc>
      </w:tr>
      <w:tr w:rsidR="00BA366B" w:rsidRPr="00BA366B" w:rsidTr="00BA366B">
        <w:trPr>
          <w:jc w:val="center"/>
        </w:trPr>
        <w:tc>
          <w:tcPr>
            <w:tcW w:w="0" w:type="auto"/>
            <w:shd w:val="clear" w:color="auto" w:fill="FFFFFF"/>
            <w:tcMar>
              <w:top w:w="0" w:type="dxa"/>
              <w:left w:w="0" w:type="dxa"/>
              <w:bottom w:w="0" w:type="dxa"/>
              <w:right w:w="0" w:type="dxa"/>
            </w:tcMar>
            <w:vAlign w:val="center"/>
            <w:hideMark/>
          </w:tcPr>
          <w:p w:rsidR="00BA366B" w:rsidRPr="00BA366B" w:rsidRDefault="00BA366B" w:rsidP="00BA366B">
            <w:pPr>
              <w:rPr>
                <w:rFonts w:ascii="Arial" w:eastAsia="Times New Roman" w:hAnsi="Arial" w:cs="Arial"/>
                <w:color w:val="666666"/>
                <w:sz w:val="18"/>
                <w:szCs w:val="18"/>
                <w:lang w:val="es-CL" w:eastAsia="es-ES_tradnl"/>
              </w:rPr>
            </w:pPr>
            <w:r w:rsidRPr="00BA366B">
              <w:rPr>
                <w:rFonts w:ascii="Arial" w:eastAsia="Times New Roman" w:hAnsi="Arial" w:cs="Arial"/>
                <w:color w:val="666666"/>
                <w:sz w:val="18"/>
                <w:szCs w:val="18"/>
                <w:lang w:val="es-CL" w:eastAsia="es-ES_tradnl"/>
              </w:rPr>
              <w:t>6 de diciembre</w:t>
            </w:r>
          </w:p>
        </w:tc>
        <w:tc>
          <w:tcPr>
            <w:tcW w:w="0" w:type="auto"/>
            <w:shd w:val="clear" w:color="auto" w:fill="FFFFFF"/>
            <w:tcMar>
              <w:top w:w="0" w:type="dxa"/>
              <w:left w:w="0" w:type="dxa"/>
              <w:bottom w:w="0" w:type="dxa"/>
              <w:right w:w="0" w:type="dxa"/>
            </w:tcMar>
            <w:vAlign w:val="center"/>
            <w:hideMark/>
          </w:tcPr>
          <w:p w:rsidR="00BA366B" w:rsidRPr="00BA366B" w:rsidRDefault="00BA366B" w:rsidP="00BA366B">
            <w:pPr>
              <w:rPr>
                <w:rFonts w:ascii="Arial" w:eastAsia="Times New Roman" w:hAnsi="Arial" w:cs="Arial"/>
                <w:color w:val="666666"/>
                <w:sz w:val="18"/>
                <w:szCs w:val="18"/>
                <w:lang w:val="es-CL" w:eastAsia="es-ES_tradnl"/>
              </w:rPr>
            </w:pPr>
            <w:r w:rsidRPr="00BA366B">
              <w:rPr>
                <w:rFonts w:ascii="Arial" w:eastAsia="Times New Roman" w:hAnsi="Arial" w:cs="Arial"/>
                <w:color w:val="666666"/>
                <w:sz w:val="18"/>
                <w:szCs w:val="18"/>
                <w:lang w:val="es-CL" w:eastAsia="es-ES_tradnl"/>
              </w:rPr>
              <w:t>Viernes 6 de diciembre</w:t>
            </w:r>
          </w:p>
        </w:tc>
        <w:tc>
          <w:tcPr>
            <w:tcW w:w="0" w:type="auto"/>
            <w:shd w:val="clear" w:color="auto" w:fill="FFFFFF"/>
            <w:tcMar>
              <w:top w:w="0" w:type="dxa"/>
              <w:left w:w="0" w:type="dxa"/>
              <w:bottom w:w="0" w:type="dxa"/>
              <w:right w:w="0" w:type="dxa"/>
            </w:tcMar>
            <w:vAlign w:val="center"/>
            <w:hideMark/>
          </w:tcPr>
          <w:p w:rsidR="00BA366B" w:rsidRPr="00BA366B" w:rsidRDefault="00BA366B" w:rsidP="00BA366B">
            <w:pPr>
              <w:rPr>
                <w:rFonts w:ascii="Arial" w:eastAsia="Times New Roman" w:hAnsi="Arial" w:cs="Arial"/>
                <w:color w:val="666666"/>
                <w:sz w:val="18"/>
                <w:szCs w:val="18"/>
                <w:lang w:val="es-CL" w:eastAsia="es-ES_tradnl"/>
              </w:rPr>
            </w:pPr>
            <w:r w:rsidRPr="00BA366B">
              <w:rPr>
                <w:rFonts w:ascii="Arial" w:eastAsia="Times New Roman" w:hAnsi="Arial" w:cs="Arial"/>
                <w:color w:val="666666"/>
                <w:sz w:val="18"/>
                <w:szCs w:val="18"/>
                <w:lang w:val="es-CL" w:eastAsia="es-ES_tradnl"/>
              </w:rPr>
              <w:t>Lunes 23 de diciembre</w:t>
            </w:r>
          </w:p>
        </w:tc>
      </w:tr>
    </w:tbl>
    <w:p w:rsidR="00BA366B" w:rsidRPr="00BA366B" w:rsidRDefault="00BA366B" w:rsidP="00BA366B">
      <w:pPr>
        <w:shd w:val="clear" w:color="auto" w:fill="FFFFFF"/>
        <w:spacing w:after="150"/>
        <w:rPr>
          <w:rFonts w:ascii="Arial" w:eastAsia="Times New Roman" w:hAnsi="Arial" w:cs="Arial"/>
          <w:color w:val="666666"/>
          <w:sz w:val="18"/>
          <w:szCs w:val="18"/>
          <w:lang w:val="es-CL" w:eastAsia="es-ES_tradnl"/>
        </w:rPr>
      </w:pPr>
      <w:r w:rsidRPr="00BA366B">
        <w:rPr>
          <w:rFonts w:ascii="Arial" w:eastAsia="Times New Roman" w:hAnsi="Arial" w:cs="Arial"/>
          <w:color w:val="666666"/>
          <w:sz w:val="18"/>
          <w:szCs w:val="18"/>
          <w:lang w:val="es-CL" w:eastAsia="es-ES_tradnl"/>
        </w:rPr>
        <w:t> </w:t>
      </w:r>
    </w:p>
    <w:p w:rsidR="00BA366B" w:rsidRDefault="00BA366B" w:rsidP="00BA366B">
      <w:pPr>
        <w:rPr>
          <w:rFonts w:ascii="Times New Roman" w:eastAsia="Times New Roman" w:hAnsi="Times New Roman" w:cs="Times New Roman"/>
          <w:lang w:val="es-CL" w:eastAsia="es-ES_tradnl"/>
        </w:rPr>
      </w:pPr>
    </w:p>
    <w:p w:rsidR="00BF030D" w:rsidRDefault="00BF030D" w:rsidP="00BA366B">
      <w:pPr>
        <w:rPr>
          <w:rFonts w:ascii="Times New Roman" w:eastAsia="Times New Roman" w:hAnsi="Times New Roman" w:cs="Times New Roman"/>
          <w:lang w:val="es-CL" w:eastAsia="es-ES_tradnl"/>
        </w:rPr>
      </w:pPr>
    </w:p>
    <w:p w:rsidR="00BF030D" w:rsidRDefault="00BF030D" w:rsidP="00BA366B">
      <w:pPr>
        <w:rPr>
          <w:rFonts w:ascii="Times New Roman" w:eastAsia="Times New Roman" w:hAnsi="Times New Roman" w:cs="Times New Roman"/>
          <w:lang w:val="es-CL" w:eastAsia="es-ES_tradnl"/>
        </w:rPr>
      </w:pPr>
    </w:p>
    <w:p w:rsidR="00BF030D" w:rsidRPr="00D81A1B" w:rsidRDefault="00BF030D" w:rsidP="00BF030D">
      <w:pPr>
        <w:shd w:val="clear" w:color="auto" w:fill="FFFFFF"/>
        <w:rPr>
          <w:rFonts w:ascii="Arial" w:eastAsia="Times New Roman" w:hAnsi="Arial" w:cs="Arial"/>
          <w:b/>
          <w:bCs/>
          <w:color w:val="111111"/>
          <w:sz w:val="30"/>
          <w:szCs w:val="30"/>
          <w:lang w:val="es-CL" w:eastAsia="es-ES_tradnl"/>
        </w:rPr>
      </w:pPr>
      <w:r w:rsidRPr="00D81A1B">
        <w:rPr>
          <w:rFonts w:ascii="Arial" w:eastAsia="Times New Roman" w:hAnsi="Arial" w:cs="Arial"/>
          <w:b/>
          <w:bCs/>
          <w:color w:val="111111"/>
          <w:sz w:val="30"/>
          <w:szCs w:val="30"/>
          <w:lang w:val="es-CL" w:eastAsia="es-ES_tradnl"/>
        </w:rPr>
        <w:t>Encuesta de Expectativas Económicas (EEE)</w:t>
      </w:r>
    </w:p>
    <w:p w:rsidR="00BF030D" w:rsidRPr="00BF030D" w:rsidRDefault="00BF030D" w:rsidP="00BF030D">
      <w:pPr>
        <w:shd w:val="clear" w:color="auto" w:fill="FFFFFF"/>
        <w:spacing w:after="150"/>
        <w:jc w:val="both"/>
        <w:rPr>
          <w:rFonts w:ascii="Arial" w:eastAsia="Times New Roman" w:hAnsi="Arial" w:cs="Arial"/>
          <w:color w:val="666666"/>
          <w:sz w:val="20"/>
          <w:szCs w:val="20"/>
          <w:lang w:val="es-CL" w:eastAsia="es-ES_tradnl"/>
        </w:rPr>
      </w:pPr>
      <w:r w:rsidRPr="00D81A1B">
        <w:rPr>
          <w:rFonts w:ascii="Arial" w:eastAsia="Times New Roman" w:hAnsi="Arial" w:cs="Arial"/>
          <w:color w:val="666666"/>
          <w:sz w:val="20"/>
          <w:szCs w:val="20"/>
          <w:lang w:val="es-CL" w:eastAsia="es-ES_tradnl"/>
        </w:rPr>
        <w:t>La Encuesta de Expectativas Económicas es una encuesta mensual que se realiza a un grupo de académicos, consultores y ejecutivos o</w:t>
      </w:r>
      <w:r w:rsidRPr="00BF030D">
        <w:rPr>
          <w:rFonts w:ascii="Arial" w:eastAsia="Times New Roman" w:hAnsi="Arial" w:cs="Arial"/>
          <w:color w:val="666666"/>
          <w:sz w:val="20"/>
          <w:szCs w:val="20"/>
          <w:lang w:val="es-CL" w:eastAsia="es-ES_tradnl"/>
        </w:rPr>
        <w:t xml:space="preserve"> asesores de instituciones financieras, la cual entrega información de expectativas de distintas variables macroeconómicas. Se publica entre el 10 y el 13 de cada mes.</w:t>
      </w:r>
    </w:p>
    <w:p w:rsidR="00BF030D" w:rsidRDefault="00BF030D" w:rsidP="00BA366B">
      <w:pPr>
        <w:rPr>
          <w:rFonts w:ascii="Times New Roman" w:eastAsia="Times New Roman" w:hAnsi="Times New Roman" w:cs="Times New Roman"/>
          <w:lang w:val="es-CL" w:eastAsia="es-ES_tradnl"/>
        </w:rPr>
      </w:pPr>
    </w:p>
    <w:p w:rsidR="00D81A1B" w:rsidRPr="00BA366B" w:rsidRDefault="00D81A1B" w:rsidP="00BA366B">
      <w:pPr>
        <w:rPr>
          <w:rFonts w:ascii="Times New Roman" w:eastAsia="Times New Roman" w:hAnsi="Times New Roman" w:cs="Times New Roman"/>
          <w:lang w:val="es-CL" w:eastAsia="es-ES_tradnl"/>
        </w:rPr>
      </w:pPr>
      <w:bookmarkStart w:id="0" w:name="_GoBack"/>
      <w:bookmarkEnd w:id="0"/>
    </w:p>
    <w:p w:rsidR="00BF030D" w:rsidRPr="00D81A1B" w:rsidRDefault="00BF030D" w:rsidP="00BF030D">
      <w:pPr>
        <w:shd w:val="clear" w:color="auto" w:fill="FFFFFF"/>
        <w:rPr>
          <w:rFonts w:ascii="Arial" w:eastAsia="Times New Roman" w:hAnsi="Arial" w:cs="Arial"/>
          <w:b/>
          <w:bCs/>
          <w:color w:val="111111"/>
          <w:sz w:val="30"/>
          <w:szCs w:val="30"/>
          <w:lang w:val="es-CL" w:eastAsia="es-ES_tradnl"/>
        </w:rPr>
      </w:pPr>
      <w:r w:rsidRPr="00D81A1B">
        <w:rPr>
          <w:rFonts w:ascii="Arial" w:eastAsia="Times New Roman" w:hAnsi="Arial" w:cs="Arial"/>
          <w:b/>
          <w:bCs/>
          <w:color w:val="111111"/>
          <w:sz w:val="30"/>
          <w:szCs w:val="30"/>
          <w:lang w:val="es-CL" w:eastAsia="es-ES_tradnl"/>
        </w:rPr>
        <w:lastRenderedPageBreak/>
        <w:t>Inflación subyacente (IPCSAE)</w:t>
      </w:r>
    </w:p>
    <w:p w:rsidR="00BF030D" w:rsidRDefault="00BF030D" w:rsidP="00BF030D">
      <w:pPr>
        <w:shd w:val="clear" w:color="auto" w:fill="FFFFFF"/>
        <w:spacing w:after="150"/>
        <w:jc w:val="both"/>
        <w:rPr>
          <w:rFonts w:ascii="Arial" w:eastAsia="Times New Roman" w:hAnsi="Arial" w:cs="Arial"/>
          <w:color w:val="666666"/>
          <w:sz w:val="20"/>
          <w:szCs w:val="20"/>
          <w:lang w:val="es-CL" w:eastAsia="es-ES_tradnl"/>
        </w:rPr>
      </w:pPr>
      <w:r w:rsidRPr="00D81A1B">
        <w:rPr>
          <w:rFonts w:ascii="Arial" w:eastAsia="Times New Roman" w:hAnsi="Arial" w:cs="Arial"/>
          <w:color w:val="666666"/>
          <w:sz w:val="20"/>
          <w:szCs w:val="20"/>
          <w:lang w:val="es-CL" w:eastAsia="es-ES_tradnl"/>
        </w:rPr>
        <w:t>La inflación subyacente o inflación básica, inflación núcleo (core inflation) o de bases (sin Alimentos y Energía)</w:t>
      </w:r>
      <w:r w:rsidRPr="00BF030D">
        <w:rPr>
          <w:rFonts w:ascii="Arial" w:eastAsia="Times New Roman" w:hAnsi="Arial" w:cs="Arial"/>
          <w:color w:val="666666"/>
          <w:sz w:val="20"/>
          <w:szCs w:val="20"/>
          <w:lang w:val="es-CL" w:eastAsia="es-ES_tradnl"/>
        </w:rPr>
        <w:t xml:space="preserve"> es la </w:t>
      </w:r>
      <w:hyperlink r:id="rId5" w:tooltip="Inflación" w:history="1">
        <w:r w:rsidRPr="00BF030D">
          <w:rPr>
            <w:rFonts w:ascii="Arial" w:eastAsia="Times New Roman" w:hAnsi="Arial" w:cs="Arial"/>
            <w:color w:val="666666"/>
            <w:sz w:val="20"/>
            <w:szCs w:val="20"/>
            <w:lang w:val="es-CL" w:eastAsia="es-ES_tradnl"/>
          </w:rPr>
          <w:t>inflación</w:t>
        </w:r>
      </w:hyperlink>
      <w:r w:rsidRPr="00BF030D">
        <w:rPr>
          <w:rFonts w:ascii="Arial" w:eastAsia="Times New Roman" w:hAnsi="Arial" w:cs="Arial"/>
          <w:color w:val="666666"/>
          <w:sz w:val="20"/>
          <w:szCs w:val="20"/>
          <w:lang w:val="es-CL" w:eastAsia="es-ES_tradnl"/>
        </w:rPr>
        <w:t> reflejada por el </w:t>
      </w:r>
      <w:hyperlink r:id="rId6" w:tooltip="Índice de precios al consumo" w:history="1">
        <w:r w:rsidRPr="00BF030D">
          <w:rPr>
            <w:rFonts w:ascii="Arial" w:eastAsia="Times New Roman" w:hAnsi="Arial" w:cs="Arial"/>
            <w:color w:val="666666"/>
            <w:sz w:val="20"/>
            <w:szCs w:val="20"/>
            <w:lang w:val="es-CL" w:eastAsia="es-ES_tradnl"/>
          </w:rPr>
          <w:t>índice de precios al consumo</w:t>
        </w:r>
      </w:hyperlink>
      <w:r w:rsidRPr="00BF030D">
        <w:rPr>
          <w:rFonts w:ascii="Arial" w:eastAsia="Times New Roman" w:hAnsi="Arial" w:cs="Arial"/>
          <w:color w:val="666666"/>
          <w:sz w:val="20"/>
          <w:szCs w:val="20"/>
          <w:lang w:val="es-CL" w:eastAsia="es-ES_tradnl"/>
        </w:rPr>
        <w:t> (IPC) cuando éste no toma en cuenta ni los productos energéticos ni los alimenticios sin elaborar, por ser los últimos productos cuyos precios sufren grandes fluctuaciones debido a conflictos internacionales, malas cosechas, etc.</w:t>
      </w:r>
      <w:r w:rsidR="00062E90" w:rsidRPr="00BF030D">
        <w:rPr>
          <w:rFonts w:ascii="Arial" w:eastAsia="Times New Roman" w:hAnsi="Arial" w:cs="Arial"/>
          <w:color w:val="666666"/>
          <w:sz w:val="20"/>
          <w:szCs w:val="20"/>
          <w:lang w:val="es-CL" w:eastAsia="es-ES_tradnl"/>
        </w:rPr>
        <w:t xml:space="preserve"> </w:t>
      </w:r>
      <w:r w:rsidRPr="00BF030D">
        <w:rPr>
          <w:rFonts w:ascii="Arial" w:eastAsia="Times New Roman" w:hAnsi="Arial" w:cs="Arial"/>
          <w:color w:val="666666"/>
          <w:sz w:val="20"/>
          <w:szCs w:val="20"/>
          <w:lang w:val="es-CL" w:eastAsia="es-ES_tradnl"/>
        </w:rPr>
        <w:t>La intención de medir la </w:t>
      </w:r>
      <w:hyperlink r:id="rId7" w:tooltip="Inflación" w:history="1">
        <w:r w:rsidRPr="00BF030D">
          <w:rPr>
            <w:rFonts w:ascii="Arial" w:eastAsia="Times New Roman" w:hAnsi="Arial" w:cs="Arial"/>
            <w:color w:val="666666"/>
            <w:sz w:val="20"/>
            <w:szCs w:val="20"/>
            <w:lang w:val="es-CL" w:eastAsia="es-ES_tradnl"/>
          </w:rPr>
          <w:t>inflación</w:t>
        </w:r>
      </w:hyperlink>
      <w:r w:rsidRPr="00BF030D">
        <w:rPr>
          <w:rFonts w:ascii="Arial" w:eastAsia="Times New Roman" w:hAnsi="Arial" w:cs="Arial"/>
          <w:color w:val="666666"/>
          <w:sz w:val="20"/>
          <w:szCs w:val="20"/>
          <w:lang w:val="es-CL" w:eastAsia="es-ES_tradnl"/>
        </w:rPr>
        <w:t> con este subconjunto es conocer a medio plazo la tendencia general de los precios.</w:t>
      </w:r>
    </w:p>
    <w:p w:rsidR="00BF030D" w:rsidRDefault="00BF030D" w:rsidP="00BF030D">
      <w:pPr>
        <w:shd w:val="clear" w:color="auto" w:fill="FFFFFF"/>
        <w:spacing w:after="150"/>
        <w:jc w:val="both"/>
        <w:rPr>
          <w:rFonts w:ascii="Arial" w:eastAsia="Times New Roman" w:hAnsi="Arial" w:cs="Arial"/>
          <w:color w:val="666666"/>
          <w:sz w:val="20"/>
          <w:szCs w:val="20"/>
          <w:lang w:val="es-CL" w:eastAsia="es-ES_tradnl"/>
        </w:rPr>
      </w:pPr>
    </w:p>
    <w:p w:rsidR="00BF030D" w:rsidRPr="00D81A1B" w:rsidRDefault="00BF030D" w:rsidP="00BF030D">
      <w:pPr>
        <w:shd w:val="clear" w:color="auto" w:fill="FFFFFF"/>
        <w:rPr>
          <w:rFonts w:ascii="Arial" w:eastAsia="Times New Roman" w:hAnsi="Arial" w:cs="Arial"/>
          <w:b/>
          <w:bCs/>
          <w:color w:val="111111"/>
          <w:sz w:val="30"/>
          <w:szCs w:val="30"/>
          <w:lang w:val="es-CL" w:eastAsia="es-ES_tradnl"/>
        </w:rPr>
      </w:pPr>
      <w:r w:rsidRPr="00D81A1B">
        <w:rPr>
          <w:rFonts w:ascii="Arial" w:eastAsia="Times New Roman" w:hAnsi="Arial" w:cs="Arial"/>
          <w:b/>
          <w:bCs/>
          <w:color w:val="111111"/>
          <w:sz w:val="30"/>
          <w:szCs w:val="30"/>
          <w:lang w:val="es-CL" w:eastAsia="es-ES_tradnl"/>
        </w:rPr>
        <w:t>Producto Interno Bruto (PIB)</w:t>
      </w:r>
    </w:p>
    <w:p w:rsidR="00BF030D" w:rsidRDefault="00BF030D" w:rsidP="00BF030D">
      <w:pPr>
        <w:shd w:val="clear" w:color="auto" w:fill="FFFFFF"/>
        <w:spacing w:after="150"/>
        <w:jc w:val="both"/>
        <w:rPr>
          <w:rFonts w:ascii="Arial" w:eastAsia="Times New Roman" w:hAnsi="Arial" w:cs="Arial"/>
          <w:color w:val="666666"/>
          <w:sz w:val="20"/>
          <w:szCs w:val="20"/>
          <w:lang w:val="es-CL" w:eastAsia="es-ES_tradnl"/>
        </w:rPr>
      </w:pPr>
      <w:r w:rsidRPr="00D81A1B">
        <w:rPr>
          <w:rFonts w:ascii="Arial" w:eastAsia="Times New Roman" w:hAnsi="Arial" w:cs="Arial"/>
          <w:color w:val="666666"/>
          <w:sz w:val="20"/>
          <w:szCs w:val="20"/>
          <w:lang w:val="es-CL" w:eastAsia="es-ES_tradnl"/>
        </w:rPr>
        <w:t>El Producto Interno Bruto es el conjunto de los bienes y servicios producidos en un país durante un espacio de tiempo, generalmente un año</w:t>
      </w:r>
      <w:r w:rsidR="00062E90" w:rsidRPr="00D81A1B">
        <w:rPr>
          <w:rFonts w:ascii="Arial" w:eastAsia="Times New Roman" w:hAnsi="Arial" w:cs="Arial"/>
          <w:color w:val="666666"/>
          <w:sz w:val="20"/>
          <w:szCs w:val="20"/>
          <w:lang w:val="es-CL" w:eastAsia="es-ES_tradnl"/>
        </w:rPr>
        <w:t>.</w:t>
      </w:r>
    </w:p>
    <w:p w:rsidR="00062E90" w:rsidRDefault="00062E90" w:rsidP="00BF030D">
      <w:pPr>
        <w:shd w:val="clear" w:color="auto" w:fill="FFFFFF"/>
        <w:spacing w:after="150"/>
        <w:jc w:val="both"/>
        <w:rPr>
          <w:rFonts w:ascii="Arial" w:eastAsia="Times New Roman" w:hAnsi="Arial" w:cs="Arial"/>
          <w:color w:val="666666"/>
          <w:sz w:val="20"/>
          <w:szCs w:val="20"/>
          <w:lang w:val="es-CL" w:eastAsia="es-ES_tradnl"/>
        </w:rPr>
      </w:pPr>
    </w:p>
    <w:p w:rsidR="00062E90" w:rsidRDefault="00062E90" w:rsidP="00062E90">
      <w:pPr>
        <w:shd w:val="clear" w:color="auto" w:fill="FFFFFF"/>
        <w:rPr>
          <w:rFonts w:ascii="Arial" w:eastAsia="Times New Roman" w:hAnsi="Arial" w:cs="Arial"/>
          <w:b/>
          <w:bCs/>
          <w:color w:val="111111"/>
          <w:sz w:val="30"/>
          <w:szCs w:val="30"/>
          <w:lang w:val="es-CL" w:eastAsia="es-ES_tradnl"/>
        </w:rPr>
      </w:pPr>
      <w:r>
        <w:rPr>
          <w:rFonts w:ascii="Arial" w:eastAsia="Times New Roman" w:hAnsi="Arial" w:cs="Arial"/>
          <w:b/>
          <w:bCs/>
          <w:color w:val="111111"/>
          <w:sz w:val="30"/>
          <w:szCs w:val="30"/>
          <w:lang w:val="es-CL" w:eastAsia="es-ES_tradnl"/>
        </w:rPr>
        <w:t>I</w:t>
      </w:r>
      <w:r w:rsidRPr="00062E90">
        <w:rPr>
          <w:rFonts w:ascii="Arial" w:eastAsia="Times New Roman" w:hAnsi="Arial" w:cs="Arial"/>
          <w:b/>
          <w:bCs/>
          <w:color w:val="111111"/>
          <w:sz w:val="30"/>
          <w:szCs w:val="30"/>
          <w:lang w:val="es-CL" w:eastAsia="es-ES_tradnl"/>
        </w:rPr>
        <w:t xml:space="preserve">ndicador </w:t>
      </w:r>
      <w:r>
        <w:rPr>
          <w:rFonts w:ascii="Arial" w:eastAsia="Times New Roman" w:hAnsi="Arial" w:cs="Arial"/>
          <w:b/>
          <w:bCs/>
          <w:color w:val="111111"/>
          <w:sz w:val="30"/>
          <w:szCs w:val="30"/>
          <w:lang w:val="es-CL" w:eastAsia="es-ES_tradnl"/>
        </w:rPr>
        <w:t>M</w:t>
      </w:r>
      <w:r w:rsidRPr="00062E90">
        <w:rPr>
          <w:rFonts w:ascii="Arial" w:eastAsia="Times New Roman" w:hAnsi="Arial" w:cs="Arial"/>
          <w:b/>
          <w:bCs/>
          <w:color w:val="111111"/>
          <w:sz w:val="30"/>
          <w:szCs w:val="30"/>
          <w:lang w:val="es-CL" w:eastAsia="es-ES_tradnl"/>
        </w:rPr>
        <w:t xml:space="preserve">ensual de </w:t>
      </w:r>
      <w:r>
        <w:rPr>
          <w:rFonts w:ascii="Arial" w:eastAsia="Times New Roman" w:hAnsi="Arial" w:cs="Arial"/>
          <w:b/>
          <w:bCs/>
          <w:color w:val="111111"/>
          <w:sz w:val="30"/>
          <w:szCs w:val="30"/>
          <w:lang w:val="es-CL" w:eastAsia="es-ES_tradnl"/>
        </w:rPr>
        <w:t>C</w:t>
      </w:r>
      <w:r w:rsidRPr="00062E90">
        <w:rPr>
          <w:rFonts w:ascii="Arial" w:eastAsia="Times New Roman" w:hAnsi="Arial" w:cs="Arial"/>
          <w:b/>
          <w:bCs/>
          <w:color w:val="111111"/>
          <w:sz w:val="30"/>
          <w:szCs w:val="30"/>
          <w:lang w:val="es-CL" w:eastAsia="es-ES_tradnl"/>
        </w:rPr>
        <w:t xml:space="preserve">onfianza </w:t>
      </w:r>
      <w:r>
        <w:rPr>
          <w:rFonts w:ascii="Arial" w:eastAsia="Times New Roman" w:hAnsi="Arial" w:cs="Arial"/>
          <w:b/>
          <w:bCs/>
          <w:color w:val="111111"/>
          <w:sz w:val="30"/>
          <w:szCs w:val="30"/>
          <w:lang w:val="es-CL" w:eastAsia="es-ES_tradnl"/>
        </w:rPr>
        <w:t>E</w:t>
      </w:r>
      <w:r w:rsidRPr="00062E90">
        <w:rPr>
          <w:rFonts w:ascii="Arial" w:eastAsia="Times New Roman" w:hAnsi="Arial" w:cs="Arial"/>
          <w:b/>
          <w:bCs/>
          <w:color w:val="111111"/>
          <w:sz w:val="30"/>
          <w:szCs w:val="30"/>
          <w:lang w:val="es-CL" w:eastAsia="es-ES_tradnl"/>
        </w:rPr>
        <w:t>mpresarial</w:t>
      </w:r>
      <w:r>
        <w:rPr>
          <w:rFonts w:ascii="Arial" w:eastAsia="Times New Roman" w:hAnsi="Arial" w:cs="Arial"/>
          <w:b/>
          <w:bCs/>
          <w:color w:val="111111"/>
          <w:sz w:val="30"/>
          <w:szCs w:val="30"/>
          <w:lang w:val="es-CL" w:eastAsia="es-ES_tradnl"/>
        </w:rPr>
        <w:t xml:space="preserve"> (IMCE)</w:t>
      </w:r>
    </w:p>
    <w:p w:rsidR="00062E90" w:rsidRPr="00062E90" w:rsidRDefault="00062E90" w:rsidP="00062E90">
      <w:pPr>
        <w:shd w:val="clear" w:color="auto" w:fill="FFFFFF"/>
        <w:spacing w:after="150"/>
        <w:jc w:val="both"/>
        <w:rPr>
          <w:rFonts w:ascii="Arial" w:eastAsia="Times New Roman" w:hAnsi="Arial" w:cs="Arial"/>
          <w:color w:val="666666"/>
          <w:sz w:val="20"/>
          <w:szCs w:val="20"/>
          <w:lang w:val="es-CL" w:eastAsia="es-ES_tradnl"/>
        </w:rPr>
      </w:pPr>
      <w:r w:rsidRPr="00062E90">
        <w:rPr>
          <w:rFonts w:ascii="Arial" w:eastAsia="Times New Roman" w:hAnsi="Arial" w:cs="Arial"/>
          <w:color w:val="666666"/>
          <w:sz w:val="20"/>
          <w:szCs w:val="20"/>
          <w:lang w:val="es-CL" w:eastAsia="es-ES_tradnl"/>
        </w:rPr>
        <w:t>Encuesta se realiza con periodicidad mensual y en ella se entrevista a alrededor de 600 ejecutivos de empresas de la industria manufacturera, la minería, la construcción y el comercio. La muestra está formada por un panel de empresas, de tal manera que se consultan a las mismas unidades en cada oportunidad.</w:t>
      </w:r>
    </w:p>
    <w:p w:rsidR="00062E90" w:rsidRDefault="00062E90" w:rsidP="00062E90">
      <w:pPr>
        <w:shd w:val="clear" w:color="auto" w:fill="FFFFFF"/>
        <w:rPr>
          <w:rFonts w:ascii="Arial" w:eastAsia="Times New Roman" w:hAnsi="Arial" w:cs="Arial"/>
          <w:b/>
          <w:bCs/>
          <w:color w:val="111111"/>
          <w:sz w:val="30"/>
          <w:szCs w:val="30"/>
          <w:lang w:val="es-CL" w:eastAsia="es-ES_tradnl"/>
        </w:rPr>
      </w:pPr>
    </w:p>
    <w:p w:rsidR="00062E90" w:rsidRPr="00062E90" w:rsidRDefault="00062E90" w:rsidP="00062E90">
      <w:pPr>
        <w:shd w:val="clear" w:color="auto" w:fill="FFFFFF"/>
        <w:rPr>
          <w:rFonts w:ascii="Arial" w:eastAsia="Times New Roman" w:hAnsi="Arial" w:cs="Arial"/>
          <w:b/>
          <w:bCs/>
          <w:color w:val="111111"/>
          <w:sz w:val="30"/>
          <w:szCs w:val="30"/>
          <w:lang w:val="es-CL" w:eastAsia="es-ES_tradnl"/>
        </w:rPr>
      </w:pPr>
      <w:r w:rsidRPr="00062E90">
        <w:rPr>
          <w:rFonts w:ascii="Arial" w:eastAsia="Times New Roman" w:hAnsi="Arial" w:cs="Arial"/>
          <w:b/>
          <w:bCs/>
          <w:color w:val="111111"/>
          <w:sz w:val="30"/>
          <w:szCs w:val="30"/>
          <w:lang w:val="es-CL" w:eastAsia="es-ES_tradnl"/>
        </w:rPr>
        <w:t xml:space="preserve">Índice de Percepción de la Economía (IPEC) </w:t>
      </w:r>
    </w:p>
    <w:p w:rsidR="00062E90" w:rsidRDefault="00062E90" w:rsidP="00062E90">
      <w:pPr>
        <w:shd w:val="clear" w:color="auto" w:fill="FFFFFF"/>
        <w:spacing w:after="150"/>
        <w:jc w:val="both"/>
        <w:rPr>
          <w:rFonts w:ascii="Arial" w:eastAsia="Times New Roman" w:hAnsi="Arial" w:cs="Arial"/>
          <w:color w:val="666666"/>
          <w:sz w:val="20"/>
          <w:szCs w:val="20"/>
          <w:lang w:val="es-CL" w:eastAsia="es-ES_tradnl"/>
        </w:rPr>
      </w:pPr>
      <w:r w:rsidRPr="00062E90">
        <w:rPr>
          <w:rFonts w:ascii="Arial" w:eastAsia="Times New Roman" w:hAnsi="Arial" w:cs="Arial"/>
          <w:color w:val="666666"/>
          <w:sz w:val="20"/>
          <w:szCs w:val="20"/>
          <w:lang w:val="es-CL" w:eastAsia="es-ES_tradnl"/>
        </w:rPr>
        <w:t>Es un indicador que elabora mensualmente Adimark</w:t>
      </w:r>
      <w:r>
        <w:rPr>
          <w:rFonts w:ascii="Arial" w:eastAsia="Times New Roman" w:hAnsi="Arial" w:cs="Arial"/>
          <w:color w:val="666666"/>
          <w:sz w:val="20"/>
          <w:szCs w:val="20"/>
          <w:lang w:val="es-CL" w:eastAsia="es-ES_tradnl"/>
        </w:rPr>
        <w:t>.</w:t>
      </w:r>
    </w:p>
    <w:p w:rsidR="00062E90" w:rsidRDefault="00062E90" w:rsidP="00062E90">
      <w:pPr>
        <w:shd w:val="clear" w:color="auto" w:fill="FFFFFF"/>
        <w:spacing w:after="150"/>
        <w:jc w:val="both"/>
        <w:rPr>
          <w:rFonts w:ascii="Arial" w:eastAsia="Times New Roman" w:hAnsi="Arial" w:cs="Arial"/>
          <w:color w:val="666666"/>
          <w:sz w:val="20"/>
          <w:szCs w:val="20"/>
          <w:lang w:val="es-CL" w:eastAsia="es-ES_tradnl"/>
        </w:rPr>
      </w:pPr>
    </w:p>
    <w:p w:rsidR="00062E90" w:rsidRPr="00062E90" w:rsidRDefault="00062E90" w:rsidP="00062E90">
      <w:pPr>
        <w:shd w:val="clear" w:color="auto" w:fill="FFFFFF"/>
        <w:rPr>
          <w:rFonts w:ascii="Arial" w:eastAsia="Times New Roman" w:hAnsi="Arial" w:cs="Arial"/>
          <w:b/>
          <w:bCs/>
          <w:color w:val="111111"/>
          <w:sz w:val="30"/>
          <w:szCs w:val="30"/>
          <w:lang w:val="es-CL" w:eastAsia="es-ES_tradnl"/>
        </w:rPr>
      </w:pPr>
      <w:r w:rsidRPr="00062E90">
        <w:rPr>
          <w:rFonts w:ascii="Arial" w:eastAsia="Times New Roman" w:hAnsi="Arial" w:cs="Arial"/>
          <w:b/>
          <w:bCs/>
          <w:color w:val="111111"/>
          <w:sz w:val="30"/>
          <w:szCs w:val="30"/>
          <w:lang w:val="es-CL" w:eastAsia="es-ES_tradnl"/>
        </w:rPr>
        <w:t>Índice de Precios al Consumidor (IPC)</w:t>
      </w:r>
    </w:p>
    <w:p w:rsidR="00062E90" w:rsidRDefault="00062E90" w:rsidP="00062E90">
      <w:pPr>
        <w:shd w:val="clear" w:color="auto" w:fill="FFFFFF"/>
        <w:spacing w:after="150"/>
        <w:jc w:val="both"/>
        <w:rPr>
          <w:rFonts w:ascii="Arial" w:eastAsia="Times New Roman" w:hAnsi="Arial" w:cs="Arial"/>
          <w:color w:val="666666"/>
          <w:sz w:val="20"/>
          <w:szCs w:val="20"/>
          <w:lang w:val="es-CL" w:eastAsia="es-ES_tradnl"/>
        </w:rPr>
      </w:pPr>
      <w:r>
        <w:rPr>
          <w:rFonts w:ascii="Arial" w:eastAsia="Times New Roman" w:hAnsi="Arial" w:cs="Arial"/>
          <w:color w:val="666666"/>
          <w:sz w:val="20"/>
          <w:szCs w:val="20"/>
          <w:lang w:val="es-CL" w:eastAsia="es-ES_tradnl"/>
        </w:rPr>
        <w:t>El Í</w:t>
      </w:r>
      <w:r w:rsidRPr="00062E90">
        <w:rPr>
          <w:rFonts w:ascii="Arial" w:eastAsia="Times New Roman" w:hAnsi="Arial" w:cs="Arial"/>
          <w:color w:val="666666"/>
          <w:sz w:val="20"/>
          <w:szCs w:val="20"/>
          <w:lang w:val="es-CL" w:eastAsia="es-ES_tradnl"/>
        </w:rPr>
        <w:t xml:space="preserve">ndice de </w:t>
      </w:r>
      <w:r>
        <w:rPr>
          <w:rFonts w:ascii="Arial" w:eastAsia="Times New Roman" w:hAnsi="Arial" w:cs="Arial"/>
          <w:color w:val="666666"/>
          <w:sz w:val="20"/>
          <w:szCs w:val="20"/>
          <w:lang w:val="es-CL" w:eastAsia="es-ES_tradnl"/>
        </w:rPr>
        <w:t>P</w:t>
      </w:r>
      <w:r w:rsidRPr="00062E90">
        <w:rPr>
          <w:rFonts w:ascii="Arial" w:eastAsia="Times New Roman" w:hAnsi="Arial" w:cs="Arial"/>
          <w:color w:val="666666"/>
          <w:sz w:val="20"/>
          <w:szCs w:val="20"/>
          <w:lang w:val="es-CL" w:eastAsia="es-ES_tradnl"/>
        </w:rPr>
        <w:t xml:space="preserve">recios al </w:t>
      </w:r>
      <w:r>
        <w:rPr>
          <w:rFonts w:ascii="Arial" w:eastAsia="Times New Roman" w:hAnsi="Arial" w:cs="Arial"/>
          <w:color w:val="666666"/>
          <w:sz w:val="20"/>
          <w:szCs w:val="20"/>
          <w:lang w:val="es-CL" w:eastAsia="es-ES_tradnl"/>
        </w:rPr>
        <w:t>C</w:t>
      </w:r>
      <w:r w:rsidRPr="00062E90">
        <w:rPr>
          <w:rFonts w:ascii="Arial" w:eastAsia="Times New Roman" w:hAnsi="Arial" w:cs="Arial"/>
          <w:color w:val="666666"/>
          <w:sz w:val="20"/>
          <w:szCs w:val="20"/>
          <w:lang w:val="es-CL" w:eastAsia="es-ES_tradnl"/>
        </w:rPr>
        <w:t>onsum</w:t>
      </w:r>
      <w:r>
        <w:rPr>
          <w:rFonts w:ascii="Arial" w:eastAsia="Times New Roman" w:hAnsi="Arial" w:cs="Arial"/>
          <w:color w:val="666666"/>
          <w:sz w:val="20"/>
          <w:szCs w:val="20"/>
          <w:lang w:val="es-CL" w:eastAsia="es-ES_tradnl"/>
        </w:rPr>
        <w:t>idor, es un</w:t>
      </w:r>
      <w:r w:rsidRPr="00062E90">
        <w:rPr>
          <w:rFonts w:ascii="Arial" w:eastAsia="Times New Roman" w:hAnsi="Arial" w:cs="Arial"/>
          <w:color w:val="666666"/>
          <w:sz w:val="20"/>
          <w:szCs w:val="20"/>
          <w:lang w:val="es-CL" w:eastAsia="es-ES_tradnl"/>
        </w:rPr>
        <w:t> </w:t>
      </w:r>
      <w:r>
        <w:rPr>
          <w:rFonts w:ascii="Arial" w:eastAsia="Times New Roman" w:hAnsi="Arial" w:cs="Arial"/>
          <w:color w:val="666666"/>
          <w:sz w:val="20"/>
          <w:szCs w:val="20"/>
          <w:lang w:val="es-CL" w:eastAsia="es-ES_tradnl"/>
        </w:rPr>
        <w:t>v</w:t>
      </w:r>
      <w:r w:rsidRPr="00062E90">
        <w:rPr>
          <w:rFonts w:ascii="Arial" w:eastAsia="Times New Roman" w:hAnsi="Arial" w:cs="Arial"/>
          <w:color w:val="666666"/>
          <w:sz w:val="20"/>
          <w:szCs w:val="20"/>
          <w:lang w:val="es-CL" w:eastAsia="es-ES_tradnl"/>
        </w:rPr>
        <w:t>alor numérico</w:t>
      </w:r>
      <w:r>
        <w:rPr>
          <w:rFonts w:ascii="Arial" w:eastAsia="Times New Roman" w:hAnsi="Arial" w:cs="Arial"/>
          <w:color w:val="666666"/>
          <w:sz w:val="20"/>
          <w:szCs w:val="20"/>
          <w:lang w:val="es-CL" w:eastAsia="es-ES_tradnl"/>
        </w:rPr>
        <w:t xml:space="preserve"> porcetual</w:t>
      </w:r>
      <w:r w:rsidRPr="00062E90">
        <w:rPr>
          <w:rFonts w:ascii="Arial" w:eastAsia="Times New Roman" w:hAnsi="Arial" w:cs="Arial"/>
          <w:color w:val="666666"/>
          <w:sz w:val="20"/>
          <w:szCs w:val="20"/>
          <w:lang w:val="es-CL" w:eastAsia="es-ES_tradnl"/>
        </w:rPr>
        <w:t xml:space="preserve"> que refleja las variaciones que experimentan los preciosen un período determinado.</w:t>
      </w:r>
    </w:p>
    <w:p w:rsidR="00062E90" w:rsidRPr="00062E90" w:rsidRDefault="00062E90" w:rsidP="00062E90">
      <w:pPr>
        <w:shd w:val="clear" w:color="auto" w:fill="FFFFFF"/>
        <w:spacing w:after="150"/>
        <w:jc w:val="both"/>
        <w:rPr>
          <w:rFonts w:ascii="Arial" w:eastAsia="Times New Roman" w:hAnsi="Arial" w:cs="Arial"/>
          <w:color w:val="666666"/>
          <w:sz w:val="20"/>
          <w:szCs w:val="20"/>
          <w:lang w:val="es-CL" w:eastAsia="es-ES_tradnl"/>
        </w:rPr>
      </w:pPr>
    </w:p>
    <w:p w:rsidR="00BA366B" w:rsidRPr="00BA366B" w:rsidRDefault="00BA366B" w:rsidP="00BA366B">
      <w:pPr>
        <w:shd w:val="clear" w:color="auto" w:fill="FFFFFF"/>
        <w:spacing w:after="150"/>
        <w:jc w:val="both"/>
        <w:rPr>
          <w:rFonts w:ascii="Arial" w:eastAsia="Times New Roman" w:hAnsi="Arial" w:cs="Arial"/>
          <w:color w:val="666666"/>
          <w:sz w:val="20"/>
          <w:szCs w:val="20"/>
          <w:lang w:val="es-CL" w:eastAsia="es-ES_tradnl"/>
        </w:rPr>
      </w:pPr>
    </w:p>
    <w:p w:rsidR="006438F9" w:rsidRPr="00062E90" w:rsidRDefault="006438F9" w:rsidP="00062E90">
      <w:pPr>
        <w:shd w:val="clear" w:color="auto" w:fill="FFFFFF"/>
        <w:spacing w:after="150"/>
        <w:jc w:val="both"/>
        <w:rPr>
          <w:rFonts w:ascii="Arial" w:eastAsia="Times New Roman" w:hAnsi="Arial" w:cs="Arial"/>
          <w:color w:val="666666"/>
          <w:sz w:val="20"/>
          <w:szCs w:val="20"/>
          <w:lang w:val="es-CL" w:eastAsia="es-ES_tradnl"/>
        </w:rPr>
      </w:pPr>
    </w:p>
    <w:sectPr w:rsidR="006438F9" w:rsidRPr="00062E90" w:rsidSect="000651C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43021"/>
    <w:multiLevelType w:val="multilevel"/>
    <w:tmpl w:val="2E107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BB37DF"/>
    <w:multiLevelType w:val="multilevel"/>
    <w:tmpl w:val="285E0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66B"/>
    <w:rsid w:val="00062E90"/>
    <w:rsid w:val="000651CC"/>
    <w:rsid w:val="00415A5B"/>
    <w:rsid w:val="006438F9"/>
    <w:rsid w:val="00BA366B"/>
    <w:rsid w:val="00BF030D"/>
    <w:rsid w:val="00D34004"/>
    <w:rsid w:val="00D81A1B"/>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35844"/>
  <w15:chartTrackingRefBased/>
  <w15:docId w15:val="{D37C51E2-DE38-F04D-A025-EBB6B368C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F030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4">
    <w:name w:val="heading 4"/>
    <w:basedOn w:val="Normal"/>
    <w:link w:val="Ttulo4Car"/>
    <w:uiPriority w:val="9"/>
    <w:qFormat/>
    <w:rsid w:val="00BA366B"/>
    <w:pPr>
      <w:spacing w:before="100" w:beforeAutospacing="1" w:after="100" w:afterAutospacing="1"/>
      <w:outlineLvl w:val="3"/>
    </w:pPr>
    <w:rPr>
      <w:rFonts w:ascii="Times New Roman" w:eastAsia="Times New Roman" w:hAnsi="Times New Roman" w:cs="Times New Roman"/>
      <w:b/>
      <w:bCs/>
      <w:lang w:val="es-C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BA366B"/>
    <w:pPr>
      <w:spacing w:before="100" w:beforeAutospacing="1" w:after="100" w:afterAutospacing="1"/>
    </w:pPr>
    <w:rPr>
      <w:rFonts w:ascii="Times New Roman" w:eastAsia="Times New Roman" w:hAnsi="Times New Roman" w:cs="Times New Roman"/>
      <w:lang w:val="es-CL" w:eastAsia="es-ES_tradnl"/>
    </w:rPr>
  </w:style>
  <w:style w:type="character" w:customStyle="1" w:styleId="Ttulo4Car">
    <w:name w:val="Título 4 Car"/>
    <w:basedOn w:val="Fuentedeprrafopredeter"/>
    <w:link w:val="Ttulo4"/>
    <w:uiPriority w:val="9"/>
    <w:rsid w:val="00BA366B"/>
    <w:rPr>
      <w:rFonts w:ascii="Times New Roman" w:eastAsia="Times New Roman" w:hAnsi="Times New Roman" w:cs="Times New Roman"/>
      <w:b/>
      <w:bCs/>
      <w:lang w:val="es-CL" w:eastAsia="es-ES_tradnl"/>
    </w:rPr>
  </w:style>
  <w:style w:type="character" w:customStyle="1" w:styleId="Ttulo1Car">
    <w:name w:val="Título 1 Car"/>
    <w:basedOn w:val="Fuentedeprrafopredeter"/>
    <w:link w:val="Ttulo1"/>
    <w:uiPriority w:val="9"/>
    <w:rsid w:val="00BF030D"/>
    <w:rPr>
      <w:rFonts w:asciiTheme="majorHAnsi" w:eastAsiaTheme="majorEastAsia" w:hAnsiTheme="majorHAnsi" w:cstheme="majorBidi"/>
      <w:color w:val="2F5496" w:themeColor="accent1" w:themeShade="BF"/>
      <w:sz w:val="32"/>
      <w:szCs w:val="32"/>
    </w:rPr>
  </w:style>
  <w:style w:type="character" w:styleId="Hipervnculo">
    <w:name w:val="Hyperlink"/>
    <w:basedOn w:val="Fuentedeprrafopredeter"/>
    <w:uiPriority w:val="99"/>
    <w:semiHidden/>
    <w:unhideWhenUsed/>
    <w:rsid w:val="00BF030D"/>
    <w:rPr>
      <w:color w:val="0000FF"/>
      <w:u w:val="single"/>
    </w:rPr>
  </w:style>
  <w:style w:type="character" w:styleId="Textoennegrita">
    <w:name w:val="Strong"/>
    <w:basedOn w:val="Fuentedeprrafopredeter"/>
    <w:uiPriority w:val="22"/>
    <w:qFormat/>
    <w:rsid w:val="00062E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540455">
      <w:bodyDiv w:val="1"/>
      <w:marLeft w:val="0"/>
      <w:marRight w:val="0"/>
      <w:marTop w:val="0"/>
      <w:marBottom w:val="0"/>
      <w:divBdr>
        <w:top w:val="none" w:sz="0" w:space="0" w:color="auto"/>
        <w:left w:val="none" w:sz="0" w:space="0" w:color="auto"/>
        <w:bottom w:val="none" w:sz="0" w:space="0" w:color="auto"/>
        <w:right w:val="none" w:sz="0" w:space="0" w:color="auto"/>
      </w:divBdr>
      <w:divsChild>
        <w:div w:id="1711877243">
          <w:marLeft w:val="0"/>
          <w:marRight w:val="0"/>
          <w:marTop w:val="0"/>
          <w:marBottom w:val="0"/>
          <w:divBdr>
            <w:top w:val="none" w:sz="0" w:space="0" w:color="auto"/>
            <w:left w:val="none" w:sz="0" w:space="0" w:color="auto"/>
            <w:bottom w:val="none" w:sz="0" w:space="0" w:color="auto"/>
            <w:right w:val="none" w:sz="0" w:space="0" w:color="auto"/>
          </w:divBdr>
          <w:divsChild>
            <w:div w:id="417407942">
              <w:marLeft w:val="0"/>
              <w:marRight w:val="0"/>
              <w:marTop w:val="0"/>
              <w:marBottom w:val="0"/>
              <w:divBdr>
                <w:top w:val="none" w:sz="0" w:space="0" w:color="auto"/>
                <w:left w:val="none" w:sz="0" w:space="0" w:color="auto"/>
                <w:bottom w:val="none" w:sz="0" w:space="0" w:color="auto"/>
                <w:right w:val="none" w:sz="0" w:space="0" w:color="auto"/>
              </w:divBdr>
              <w:divsChild>
                <w:div w:id="1890604132">
                  <w:marLeft w:val="0"/>
                  <w:marRight w:val="0"/>
                  <w:marTop w:val="0"/>
                  <w:marBottom w:val="0"/>
                  <w:divBdr>
                    <w:top w:val="none" w:sz="0" w:space="0" w:color="auto"/>
                    <w:left w:val="none" w:sz="0" w:space="0" w:color="auto"/>
                    <w:bottom w:val="none" w:sz="0" w:space="0" w:color="auto"/>
                    <w:right w:val="none" w:sz="0" w:space="0" w:color="auto"/>
                  </w:divBdr>
                  <w:divsChild>
                    <w:div w:id="839003098">
                      <w:marLeft w:val="300"/>
                      <w:marRight w:val="0"/>
                      <w:marTop w:val="0"/>
                      <w:marBottom w:val="0"/>
                      <w:divBdr>
                        <w:top w:val="none" w:sz="0" w:space="0" w:color="auto"/>
                        <w:left w:val="none" w:sz="0" w:space="0" w:color="auto"/>
                        <w:bottom w:val="none" w:sz="0" w:space="0" w:color="auto"/>
                        <w:right w:val="none" w:sz="0" w:space="0" w:color="auto"/>
                      </w:divBdr>
                      <w:divsChild>
                        <w:div w:id="336882096">
                          <w:marLeft w:val="-300"/>
                          <w:marRight w:val="0"/>
                          <w:marTop w:val="0"/>
                          <w:marBottom w:val="0"/>
                          <w:divBdr>
                            <w:top w:val="none" w:sz="0" w:space="0" w:color="auto"/>
                            <w:left w:val="none" w:sz="0" w:space="0" w:color="auto"/>
                            <w:bottom w:val="none" w:sz="0" w:space="0" w:color="auto"/>
                            <w:right w:val="none" w:sz="0" w:space="0" w:color="auto"/>
                          </w:divBdr>
                          <w:divsChild>
                            <w:div w:id="106544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9998432">
      <w:bodyDiv w:val="1"/>
      <w:marLeft w:val="0"/>
      <w:marRight w:val="0"/>
      <w:marTop w:val="0"/>
      <w:marBottom w:val="0"/>
      <w:divBdr>
        <w:top w:val="none" w:sz="0" w:space="0" w:color="auto"/>
        <w:left w:val="none" w:sz="0" w:space="0" w:color="auto"/>
        <w:bottom w:val="none" w:sz="0" w:space="0" w:color="auto"/>
        <w:right w:val="none" w:sz="0" w:space="0" w:color="auto"/>
      </w:divBdr>
    </w:div>
    <w:div w:id="555052117">
      <w:bodyDiv w:val="1"/>
      <w:marLeft w:val="0"/>
      <w:marRight w:val="0"/>
      <w:marTop w:val="0"/>
      <w:marBottom w:val="0"/>
      <w:divBdr>
        <w:top w:val="none" w:sz="0" w:space="0" w:color="auto"/>
        <w:left w:val="none" w:sz="0" w:space="0" w:color="auto"/>
        <w:bottom w:val="none" w:sz="0" w:space="0" w:color="auto"/>
        <w:right w:val="none" w:sz="0" w:space="0" w:color="auto"/>
      </w:divBdr>
    </w:div>
    <w:div w:id="796071921">
      <w:bodyDiv w:val="1"/>
      <w:marLeft w:val="0"/>
      <w:marRight w:val="0"/>
      <w:marTop w:val="0"/>
      <w:marBottom w:val="0"/>
      <w:divBdr>
        <w:top w:val="none" w:sz="0" w:space="0" w:color="auto"/>
        <w:left w:val="none" w:sz="0" w:space="0" w:color="auto"/>
        <w:bottom w:val="none" w:sz="0" w:space="0" w:color="auto"/>
        <w:right w:val="none" w:sz="0" w:space="0" w:color="auto"/>
      </w:divBdr>
    </w:div>
    <w:div w:id="942876791">
      <w:bodyDiv w:val="1"/>
      <w:marLeft w:val="0"/>
      <w:marRight w:val="0"/>
      <w:marTop w:val="0"/>
      <w:marBottom w:val="0"/>
      <w:divBdr>
        <w:top w:val="none" w:sz="0" w:space="0" w:color="auto"/>
        <w:left w:val="none" w:sz="0" w:space="0" w:color="auto"/>
        <w:bottom w:val="none" w:sz="0" w:space="0" w:color="auto"/>
        <w:right w:val="none" w:sz="0" w:space="0" w:color="auto"/>
      </w:divBdr>
      <w:divsChild>
        <w:div w:id="1918636448">
          <w:marLeft w:val="0"/>
          <w:marRight w:val="0"/>
          <w:marTop w:val="0"/>
          <w:marBottom w:val="0"/>
          <w:divBdr>
            <w:top w:val="none" w:sz="0" w:space="0" w:color="auto"/>
            <w:left w:val="none" w:sz="0" w:space="0" w:color="auto"/>
            <w:bottom w:val="none" w:sz="0" w:space="0" w:color="auto"/>
            <w:right w:val="none" w:sz="0" w:space="0" w:color="auto"/>
          </w:divBdr>
          <w:divsChild>
            <w:div w:id="393745452">
              <w:marLeft w:val="0"/>
              <w:marRight w:val="0"/>
              <w:marTop w:val="0"/>
              <w:marBottom w:val="0"/>
              <w:divBdr>
                <w:top w:val="none" w:sz="0" w:space="0" w:color="auto"/>
                <w:left w:val="none" w:sz="0" w:space="0" w:color="auto"/>
                <w:bottom w:val="none" w:sz="0" w:space="0" w:color="auto"/>
                <w:right w:val="none" w:sz="0" w:space="0" w:color="auto"/>
              </w:divBdr>
            </w:div>
          </w:divsChild>
        </w:div>
        <w:div w:id="1248617997">
          <w:marLeft w:val="0"/>
          <w:marRight w:val="0"/>
          <w:marTop w:val="0"/>
          <w:marBottom w:val="0"/>
          <w:divBdr>
            <w:top w:val="none" w:sz="0" w:space="0" w:color="auto"/>
            <w:left w:val="none" w:sz="0" w:space="0" w:color="auto"/>
            <w:bottom w:val="none" w:sz="0" w:space="0" w:color="auto"/>
            <w:right w:val="none" w:sz="0" w:space="0" w:color="auto"/>
          </w:divBdr>
          <w:divsChild>
            <w:div w:id="1850293751">
              <w:marLeft w:val="0"/>
              <w:marRight w:val="0"/>
              <w:marTop w:val="150"/>
              <w:marBottom w:val="0"/>
              <w:divBdr>
                <w:top w:val="none" w:sz="0" w:space="0" w:color="auto"/>
                <w:left w:val="none" w:sz="0" w:space="0" w:color="auto"/>
                <w:bottom w:val="none" w:sz="0" w:space="0" w:color="auto"/>
                <w:right w:val="none" w:sz="0" w:space="0" w:color="auto"/>
              </w:divBdr>
              <w:divsChild>
                <w:div w:id="61664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664807">
      <w:bodyDiv w:val="1"/>
      <w:marLeft w:val="0"/>
      <w:marRight w:val="0"/>
      <w:marTop w:val="0"/>
      <w:marBottom w:val="0"/>
      <w:divBdr>
        <w:top w:val="none" w:sz="0" w:space="0" w:color="auto"/>
        <w:left w:val="none" w:sz="0" w:space="0" w:color="auto"/>
        <w:bottom w:val="none" w:sz="0" w:space="0" w:color="auto"/>
        <w:right w:val="none" w:sz="0" w:space="0" w:color="auto"/>
      </w:divBdr>
      <w:divsChild>
        <w:div w:id="632557841">
          <w:marLeft w:val="0"/>
          <w:marRight w:val="0"/>
          <w:marTop w:val="0"/>
          <w:marBottom w:val="0"/>
          <w:divBdr>
            <w:top w:val="none" w:sz="0" w:space="0" w:color="auto"/>
            <w:left w:val="none" w:sz="0" w:space="0" w:color="auto"/>
            <w:bottom w:val="none" w:sz="0" w:space="0" w:color="auto"/>
            <w:right w:val="none" w:sz="0" w:space="0" w:color="auto"/>
          </w:divBdr>
          <w:divsChild>
            <w:div w:id="1829129899">
              <w:marLeft w:val="0"/>
              <w:marRight w:val="0"/>
              <w:marTop w:val="0"/>
              <w:marBottom w:val="0"/>
              <w:divBdr>
                <w:top w:val="none" w:sz="0" w:space="0" w:color="auto"/>
                <w:left w:val="none" w:sz="0" w:space="0" w:color="auto"/>
                <w:bottom w:val="none" w:sz="0" w:space="0" w:color="auto"/>
                <w:right w:val="none" w:sz="0" w:space="0" w:color="auto"/>
              </w:divBdr>
              <w:divsChild>
                <w:div w:id="52633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409686">
      <w:bodyDiv w:val="1"/>
      <w:marLeft w:val="0"/>
      <w:marRight w:val="0"/>
      <w:marTop w:val="0"/>
      <w:marBottom w:val="0"/>
      <w:divBdr>
        <w:top w:val="none" w:sz="0" w:space="0" w:color="auto"/>
        <w:left w:val="none" w:sz="0" w:space="0" w:color="auto"/>
        <w:bottom w:val="none" w:sz="0" w:space="0" w:color="auto"/>
        <w:right w:val="none" w:sz="0" w:space="0" w:color="auto"/>
      </w:divBdr>
    </w:div>
    <w:div w:id="1518421415">
      <w:bodyDiv w:val="1"/>
      <w:marLeft w:val="0"/>
      <w:marRight w:val="0"/>
      <w:marTop w:val="0"/>
      <w:marBottom w:val="0"/>
      <w:divBdr>
        <w:top w:val="none" w:sz="0" w:space="0" w:color="auto"/>
        <w:left w:val="none" w:sz="0" w:space="0" w:color="auto"/>
        <w:bottom w:val="none" w:sz="0" w:space="0" w:color="auto"/>
        <w:right w:val="none" w:sz="0" w:space="0" w:color="auto"/>
      </w:divBdr>
      <w:divsChild>
        <w:div w:id="1289974834">
          <w:marLeft w:val="0"/>
          <w:marRight w:val="0"/>
          <w:marTop w:val="0"/>
          <w:marBottom w:val="0"/>
          <w:divBdr>
            <w:top w:val="none" w:sz="0" w:space="0" w:color="auto"/>
            <w:left w:val="none" w:sz="0" w:space="0" w:color="auto"/>
            <w:bottom w:val="none" w:sz="0" w:space="0" w:color="auto"/>
            <w:right w:val="none" w:sz="0" w:space="0" w:color="auto"/>
          </w:divBdr>
          <w:divsChild>
            <w:div w:id="1086732934">
              <w:marLeft w:val="0"/>
              <w:marRight w:val="0"/>
              <w:marTop w:val="0"/>
              <w:marBottom w:val="0"/>
              <w:divBdr>
                <w:top w:val="none" w:sz="0" w:space="0" w:color="auto"/>
                <w:left w:val="none" w:sz="0" w:space="0" w:color="auto"/>
                <w:bottom w:val="none" w:sz="0" w:space="0" w:color="auto"/>
                <w:right w:val="none" w:sz="0" w:space="0" w:color="auto"/>
              </w:divBdr>
            </w:div>
          </w:divsChild>
        </w:div>
        <w:div w:id="30493326">
          <w:marLeft w:val="0"/>
          <w:marRight w:val="0"/>
          <w:marTop w:val="0"/>
          <w:marBottom w:val="0"/>
          <w:divBdr>
            <w:top w:val="none" w:sz="0" w:space="0" w:color="auto"/>
            <w:left w:val="none" w:sz="0" w:space="0" w:color="auto"/>
            <w:bottom w:val="none" w:sz="0" w:space="0" w:color="auto"/>
            <w:right w:val="none" w:sz="0" w:space="0" w:color="auto"/>
          </w:divBdr>
          <w:divsChild>
            <w:div w:id="1677221938">
              <w:marLeft w:val="0"/>
              <w:marRight w:val="0"/>
              <w:marTop w:val="150"/>
              <w:marBottom w:val="0"/>
              <w:divBdr>
                <w:top w:val="none" w:sz="0" w:space="0" w:color="auto"/>
                <w:left w:val="none" w:sz="0" w:space="0" w:color="auto"/>
                <w:bottom w:val="none" w:sz="0" w:space="0" w:color="auto"/>
                <w:right w:val="none" w:sz="0" w:space="0" w:color="auto"/>
              </w:divBdr>
              <w:divsChild>
                <w:div w:id="142607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262315">
      <w:bodyDiv w:val="1"/>
      <w:marLeft w:val="0"/>
      <w:marRight w:val="0"/>
      <w:marTop w:val="0"/>
      <w:marBottom w:val="0"/>
      <w:divBdr>
        <w:top w:val="none" w:sz="0" w:space="0" w:color="auto"/>
        <w:left w:val="none" w:sz="0" w:space="0" w:color="auto"/>
        <w:bottom w:val="none" w:sz="0" w:space="0" w:color="auto"/>
        <w:right w:val="none" w:sz="0" w:space="0" w:color="auto"/>
      </w:divBdr>
      <w:divsChild>
        <w:div w:id="715395763">
          <w:marLeft w:val="0"/>
          <w:marRight w:val="0"/>
          <w:marTop w:val="0"/>
          <w:marBottom w:val="0"/>
          <w:divBdr>
            <w:top w:val="none" w:sz="0" w:space="0" w:color="auto"/>
            <w:left w:val="none" w:sz="0" w:space="0" w:color="auto"/>
            <w:bottom w:val="none" w:sz="0" w:space="0" w:color="auto"/>
            <w:right w:val="none" w:sz="0" w:space="0" w:color="auto"/>
          </w:divBdr>
          <w:divsChild>
            <w:div w:id="62652634">
              <w:marLeft w:val="0"/>
              <w:marRight w:val="0"/>
              <w:marTop w:val="0"/>
              <w:marBottom w:val="0"/>
              <w:divBdr>
                <w:top w:val="none" w:sz="0" w:space="0" w:color="auto"/>
                <w:left w:val="none" w:sz="0" w:space="0" w:color="auto"/>
                <w:bottom w:val="none" w:sz="0" w:space="0" w:color="auto"/>
                <w:right w:val="none" w:sz="0" w:space="0" w:color="auto"/>
              </w:divBdr>
              <w:divsChild>
                <w:div w:id="1034385777">
                  <w:marLeft w:val="0"/>
                  <w:marRight w:val="0"/>
                  <w:marTop w:val="0"/>
                  <w:marBottom w:val="0"/>
                  <w:divBdr>
                    <w:top w:val="none" w:sz="0" w:space="0" w:color="auto"/>
                    <w:left w:val="none" w:sz="0" w:space="0" w:color="auto"/>
                    <w:bottom w:val="none" w:sz="0" w:space="0" w:color="auto"/>
                    <w:right w:val="none" w:sz="0" w:space="0" w:color="auto"/>
                  </w:divBdr>
                  <w:divsChild>
                    <w:div w:id="1959869069">
                      <w:marLeft w:val="0"/>
                      <w:marRight w:val="0"/>
                      <w:marTop w:val="0"/>
                      <w:marBottom w:val="0"/>
                      <w:divBdr>
                        <w:top w:val="none" w:sz="0" w:space="0" w:color="auto"/>
                        <w:left w:val="none" w:sz="0" w:space="0" w:color="auto"/>
                        <w:bottom w:val="none" w:sz="0" w:space="0" w:color="auto"/>
                        <w:right w:val="none" w:sz="0" w:space="0" w:color="auto"/>
                      </w:divBdr>
                      <w:divsChild>
                        <w:div w:id="2039158388">
                          <w:marLeft w:val="0"/>
                          <w:marRight w:val="0"/>
                          <w:marTop w:val="0"/>
                          <w:marBottom w:val="0"/>
                          <w:divBdr>
                            <w:top w:val="none" w:sz="0" w:space="0" w:color="auto"/>
                            <w:left w:val="none" w:sz="0" w:space="0" w:color="auto"/>
                            <w:bottom w:val="none" w:sz="0" w:space="0" w:color="auto"/>
                            <w:right w:val="none" w:sz="0" w:space="0" w:color="auto"/>
                          </w:divBdr>
                          <w:divsChild>
                            <w:div w:id="340855216">
                              <w:marLeft w:val="0"/>
                              <w:marRight w:val="0"/>
                              <w:marTop w:val="0"/>
                              <w:marBottom w:val="0"/>
                              <w:divBdr>
                                <w:top w:val="none" w:sz="0" w:space="0" w:color="auto"/>
                                <w:left w:val="none" w:sz="0" w:space="0" w:color="auto"/>
                                <w:bottom w:val="none" w:sz="0" w:space="0" w:color="auto"/>
                                <w:right w:val="none" w:sz="0" w:space="0" w:color="auto"/>
                              </w:divBdr>
                              <w:divsChild>
                                <w:div w:id="1639263392">
                                  <w:marLeft w:val="0"/>
                                  <w:marRight w:val="0"/>
                                  <w:marTop w:val="0"/>
                                  <w:marBottom w:val="0"/>
                                  <w:divBdr>
                                    <w:top w:val="none" w:sz="0" w:space="0" w:color="auto"/>
                                    <w:left w:val="none" w:sz="0" w:space="0" w:color="auto"/>
                                    <w:bottom w:val="none" w:sz="0" w:space="0" w:color="auto"/>
                                    <w:right w:val="none" w:sz="0" w:space="0" w:color="auto"/>
                                  </w:divBdr>
                                </w:div>
                              </w:divsChild>
                            </w:div>
                            <w:div w:id="563682005">
                              <w:marLeft w:val="0"/>
                              <w:marRight w:val="0"/>
                              <w:marTop w:val="0"/>
                              <w:marBottom w:val="0"/>
                              <w:divBdr>
                                <w:top w:val="none" w:sz="0" w:space="0" w:color="auto"/>
                                <w:left w:val="none" w:sz="0" w:space="0" w:color="auto"/>
                                <w:bottom w:val="none" w:sz="0" w:space="0" w:color="auto"/>
                                <w:right w:val="none" w:sz="0" w:space="0" w:color="auto"/>
                              </w:divBdr>
                              <w:divsChild>
                                <w:div w:id="204800474">
                                  <w:marLeft w:val="0"/>
                                  <w:marRight w:val="0"/>
                                  <w:marTop w:val="150"/>
                                  <w:marBottom w:val="0"/>
                                  <w:divBdr>
                                    <w:top w:val="none" w:sz="0" w:space="0" w:color="auto"/>
                                    <w:left w:val="none" w:sz="0" w:space="0" w:color="auto"/>
                                    <w:bottom w:val="none" w:sz="0" w:space="0" w:color="auto"/>
                                    <w:right w:val="none" w:sz="0" w:space="0" w:color="auto"/>
                                  </w:divBdr>
                                  <w:divsChild>
                                    <w:div w:id="64763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0299394">
          <w:marLeft w:val="0"/>
          <w:marRight w:val="0"/>
          <w:marTop w:val="0"/>
          <w:marBottom w:val="0"/>
          <w:divBdr>
            <w:top w:val="none" w:sz="0" w:space="0" w:color="auto"/>
            <w:left w:val="none" w:sz="0" w:space="0" w:color="auto"/>
            <w:bottom w:val="none" w:sz="0" w:space="0" w:color="auto"/>
            <w:right w:val="none" w:sz="0" w:space="0" w:color="auto"/>
          </w:divBdr>
          <w:divsChild>
            <w:div w:id="666641242">
              <w:marLeft w:val="0"/>
              <w:marRight w:val="0"/>
              <w:marTop w:val="0"/>
              <w:marBottom w:val="0"/>
              <w:divBdr>
                <w:top w:val="none" w:sz="0" w:space="0" w:color="auto"/>
                <w:left w:val="none" w:sz="0" w:space="0" w:color="auto"/>
                <w:bottom w:val="none" w:sz="0" w:space="0" w:color="auto"/>
                <w:right w:val="none" w:sz="0" w:space="0" w:color="auto"/>
              </w:divBdr>
              <w:divsChild>
                <w:div w:id="89158952">
                  <w:marLeft w:val="0"/>
                  <w:marRight w:val="0"/>
                  <w:marTop w:val="0"/>
                  <w:marBottom w:val="0"/>
                  <w:divBdr>
                    <w:top w:val="none" w:sz="0" w:space="0" w:color="auto"/>
                    <w:left w:val="none" w:sz="0" w:space="0" w:color="auto"/>
                    <w:bottom w:val="none" w:sz="0" w:space="0" w:color="auto"/>
                    <w:right w:val="none" w:sz="0" w:space="0" w:color="auto"/>
                  </w:divBdr>
                  <w:divsChild>
                    <w:div w:id="53160733">
                      <w:marLeft w:val="0"/>
                      <w:marRight w:val="0"/>
                      <w:marTop w:val="0"/>
                      <w:marBottom w:val="0"/>
                      <w:divBdr>
                        <w:top w:val="none" w:sz="0" w:space="0" w:color="auto"/>
                        <w:left w:val="none" w:sz="0" w:space="0" w:color="auto"/>
                        <w:bottom w:val="none" w:sz="0" w:space="0" w:color="auto"/>
                        <w:right w:val="none" w:sz="0" w:space="0" w:color="auto"/>
                      </w:divBdr>
                      <w:divsChild>
                        <w:div w:id="120529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1653648">
      <w:bodyDiv w:val="1"/>
      <w:marLeft w:val="0"/>
      <w:marRight w:val="0"/>
      <w:marTop w:val="0"/>
      <w:marBottom w:val="0"/>
      <w:divBdr>
        <w:top w:val="none" w:sz="0" w:space="0" w:color="auto"/>
        <w:left w:val="none" w:sz="0" w:space="0" w:color="auto"/>
        <w:bottom w:val="none" w:sz="0" w:space="0" w:color="auto"/>
        <w:right w:val="none" w:sz="0" w:space="0" w:color="auto"/>
      </w:divBdr>
    </w:div>
    <w:div w:id="2013798578">
      <w:bodyDiv w:val="1"/>
      <w:marLeft w:val="0"/>
      <w:marRight w:val="0"/>
      <w:marTop w:val="0"/>
      <w:marBottom w:val="0"/>
      <w:divBdr>
        <w:top w:val="none" w:sz="0" w:space="0" w:color="auto"/>
        <w:left w:val="none" w:sz="0" w:space="0" w:color="auto"/>
        <w:bottom w:val="none" w:sz="0" w:space="0" w:color="auto"/>
        <w:right w:val="none" w:sz="0" w:space="0" w:color="auto"/>
      </w:divBdr>
      <w:divsChild>
        <w:div w:id="606161037">
          <w:marLeft w:val="0"/>
          <w:marRight w:val="0"/>
          <w:marTop w:val="0"/>
          <w:marBottom w:val="0"/>
          <w:divBdr>
            <w:top w:val="none" w:sz="0" w:space="0" w:color="auto"/>
            <w:left w:val="none" w:sz="0" w:space="0" w:color="auto"/>
            <w:bottom w:val="none" w:sz="0" w:space="0" w:color="auto"/>
            <w:right w:val="none" w:sz="0" w:space="0" w:color="auto"/>
          </w:divBdr>
          <w:divsChild>
            <w:div w:id="1551377805">
              <w:marLeft w:val="0"/>
              <w:marRight w:val="0"/>
              <w:marTop w:val="0"/>
              <w:marBottom w:val="0"/>
              <w:divBdr>
                <w:top w:val="none" w:sz="0" w:space="0" w:color="auto"/>
                <w:left w:val="none" w:sz="0" w:space="0" w:color="auto"/>
                <w:bottom w:val="none" w:sz="0" w:space="0" w:color="auto"/>
                <w:right w:val="none" w:sz="0" w:space="0" w:color="auto"/>
              </w:divBdr>
              <w:divsChild>
                <w:div w:id="1067608841">
                  <w:marLeft w:val="0"/>
                  <w:marRight w:val="0"/>
                  <w:marTop w:val="0"/>
                  <w:marBottom w:val="0"/>
                  <w:divBdr>
                    <w:top w:val="none" w:sz="0" w:space="0" w:color="auto"/>
                    <w:left w:val="none" w:sz="0" w:space="0" w:color="auto"/>
                    <w:bottom w:val="none" w:sz="0" w:space="0" w:color="auto"/>
                    <w:right w:val="none" w:sz="0" w:space="0" w:color="auto"/>
                  </w:divBdr>
                  <w:divsChild>
                    <w:div w:id="261958460">
                      <w:marLeft w:val="300"/>
                      <w:marRight w:val="0"/>
                      <w:marTop w:val="0"/>
                      <w:marBottom w:val="0"/>
                      <w:divBdr>
                        <w:top w:val="none" w:sz="0" w:space="0" w:color="auto"/>
                        <w:left w:val="none" w:sz="0" w:space="0" w:color="auto"/>
                        <w:bottom w:val="none" w:sz="0" w:space="0" w:color="auto"/>
                        <w:right w:val="none" w:sz="0" w:space="0" w:color="auto"/>
                      </w:divBdr>
                      <w:divsChild>
                        <w:div w:id="1849440357">
                          <w:marLeft w:val="-300"/>
                          <w:marRight w:val="0"/>
                          <w:marTop w:val="0"/>
                          <w:marBottom w:val="0"/>
                          <w:divBdr>
                            <w:top w:val="none" w:sz="0" w:space="0" w:color="auto"/>
                            <w:left w:val="none" w:sz="0" w:space="0" w:color="auto"/>
                            <w:bottom w:val="none" w:sz="0" w:space="0" w:color="auto"/>
                            <w:right w:val="none" w:sz="0" w:space="0" w:color="auto"/>
                          </w:divBdr>
                          <w:divsChild>
                            <w:div w:id="72321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wikipedia.org/wiki/Inflaci%C3%B3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wikipedia.org/wiki/%C3%8Dndice_de_precios_al_consumo" TargetMode="External"/><Relationship Id="rId5" Type="http://schemas.openxmlformats.org/officeDocument/2006/relationships/hyperlink" Target="https://es.wikipedia.org/wiki/Inflaci%C3%B3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3</Pages>
  <Words>1274</Words>
  <Characters>7008</Characters>
  <Application>Microsoft Office Word</Application>
  <DocSecurity>0</DocSecurity>
  <Lines>58</Lines>
  <Paragraphs>16</Paragraphs>
  <ScaleCrop>false</ScaleCrop>
  <Company/>
  <LinksUpToDate>false</LinksUpToDate>
  <CharactersWithSpaces>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Usuario de Microsoft Office</cp:lastModifiedBy>
  <cp:revision>4</cp:revision>
  <dcterms:created xsi:type="dcterms:W3CDTF">2019-03-15T00:53:00Z</dcterms:created>
  <dcterms:modified xsi:type="dcterms:W3CDTF">2019-03-15T13:44:00Z</dcterms:modified>
</cp:coreProperties>
</file>