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Borders>
              <w:top w:val="none" w:color="FFFFFF" w:sz="0"/>
              <w:left w:val="none" w:color="FFFFFF" w:sz="0"/>
              <w:bottom w:val="none" w:color="FFFFFF" w:sz="0"/>
              <w:right w:val="none" w:color="FFFFFF" w:sz="0"/>
            </w:tcBorders>
            <w:shd w:fill="1B3A6B" w:val="clear"/>
            <w:tcMar>
              <w:top w:type="dxa" w:w="400"/>
              <w:left w:type="dxa" w:w="360"/>
              <w:bottom w:type="dxa" w:w="400"/>
              <w:right w:type="dxa" w:w="360"/>
            </w:tcMar>
          </w:tcPr>
          <w:p>
            <w:pPr>
              <w:spacing w:after="100" w:before="0"/>
              <w:jc w:val="center"/>
            </w:pPr>
            <w:r>
              <w:rPr>
                <w:rFonts w:ascii="Arial" w:cs="Arial" w:eastAsia="Arial" w:hAnsi="Arial"/>
                <w:b/>
                <w:bCs/>
                <w:i w:val="false"/>
                <w:iCs w:val="false"/>
                <w:color w:val="C49A1A"/>
                <w:sz w:val="28"/>
                <w:szCs w:val="28"/>
              </w:rPr>
              <w:t xml:space="preserve">ROYAL NAVY</w:t>
            </w:r>
          </w:p>
          <w:p>
            <w:pPr>
              <w:spacing w:after="100" w:before="0"/>
              <w:jc w:val="center"/>
            </w:pPr>
            <w:r>
              <w:rPr>
                <w:rFonts w:ascii="Arial" w:cs="Arial" w:eastAsia="Arial" w:hAnsi="Arial"/>
                <w:b/>
                <w:bCs/>
                <w:i w:val="false"/>
                <w:iCs w:val="false"/>
                <w:color w:val="FFFFFF"/>
                <w:sz w:val="38"/>
                <w:szCs w:val="38"/>
              </w:rPr>
              <w:t xml:space="preserve">FORCE PROTECTION vs. PWC WARFARE COMMANDERS</w:t>
            </w:r>
          </w:p>
          <w:p>
            <w:pPr>
              <w:spacing w:after="200" w:before="0"/>
              <w:jc w:val="center"/>
            </w:pPr>
            <w:r>
              <w:rPr>
                <w:rFonts w:ascii="Arial" w:cs="Arial" w:eastAsia="Arial" w:hAnsi="Arial"/>
                <w:b w:val="false"/>
                <w:bCs w:val="false"/>
                <w:i/>
                <w:iCs/>
                <w:color w:val="D0D9EC"/>
                <w:sz w:val="24"/>
                <w:szCs w:val="24"/>
              </w:rPr>
              <w:t xml:space="preserve">Coordinación, Resolución de Conflictos y Checklist Operacional</w:t>
            </w:r>
          </w:p>
          <w:p>
            <w:pPr>
              <w:spacing w:after="0" w:before="0"/>
              <w:jc w:val="center"/>
            </w:pPr>
            <w:r>
              <w:rPr>
                <w:rFonts w:ascii="Arial" w:cs="Arial" w:eastAsia="Arial" w:hAnsi="Arial"/>
                <w:b w:val="false"/>
                <w:bCs w:val="false"/>
                <w:i w:val="false"/>
                <w:iCs w:val="false"/>
                <w:color w:val="C49A1A"/>
                <w:sz w:val="20"/>
                <w:szCs w:val="20"/>
              </w:rPr>
              <w:t xml:space="preserve">Referencia: NATO MTP 1 Vol I  |  STANDING ORDERS  |  ROE</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200"/>
            </w:tcMar>
          </w:tcPr>
          <w:p>
            <w:pPr>
              <w:spacing w:after="0" w:before="0"/>
              <w:jc w:val="left"/>
            </w:pPr>
            <w:r>
              <w:rPr>
                <w:rFonts w:ascii="Arial" w:cs="Arial" w:eastAsia="Arial" w:hAnsi="Arial"/>
                <w:b/>
                <w:bCs/>
                <w:i w:val="false"/>
                <w:iCs w:val="false"/>
                <w:color w:val="FFFFFF"/>
                <w:sz w:val="26"/>
                <w:szCs w:val="26"/>
              </w:rPr>
              <w:t xml:space="preserve">1.  FUNDAMENTO DOCTRINAL Y DISTINCIÓN DE ROLES</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80" w:before="80"/>
        <w:jc w:val="left"/>
      </w:pPr>
      <w:r>
        <w:rPr>
          <w:rFonts w:ascii="Arial" w:cs="Arial" w:eastAsia="Arial" w:hAnsi="Arial"/>
          <w:b w:val="false"/>
          <w:bCs w:val="false"/>
          <w:i w:val="false"/>
          <w:iCs w:val="false"/>
          <w:color w:val="444444"/>
          <w:sz w:val="21"/>
          <w:szCs w:val="21"/>
        </w:rPr>
        <w:t xml:space="preserve">El NATO MTP 1 Vol I establece que el Commanding Officer (CO) es el único titular de la autoridad sobre todos los medios del buque. Los PWC (AAW C, ASUW C, ASW C) y el Force Protection Officer (FPO) ejercen autoridad delegada en sus dominios, pero comparten sensores, armas y espacio de mando — lo que genera potencial de conflicto si los límites no se definen durante la planificación.</w:t>
      </w:r>
    </w:p>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1.1  Tabla comparativa de autoridades</w:t>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1B3A6B" w:sz="8"/>
              <w:left w:val="single" w:color="1B3A6B" w:sz="8"/>
              <w:bottom w:val="single" w:color="1B3A6B" w:sz="8"/>
              <w:right w:val="single" w:color="1B3A6B" w:sz="8"/>
            </w:tcBorders>
            <w:shd w:fill="1B3A6B" w:val="clear"/>
            <w:tcMar>
              <w:top w:type="dxa" w:w="100"/>
              <w:left w:type="dxa" w:w="160"/>
              <w:bottom w:type="dxa" w:w="100"/>
              <w:right w:type="dxa" w:w="160"/>
            </w:tcMar>
          </w:tcPr>
          <w:p>
            <w:pPr>
              <w:spacing w:after="0" w:before="0"/>
              <w:jc w:val="center"/>
            </w:pPr>
            <w:r>
              <w:rPr>
                <w:rFonts w:ascii="Arial" w:cs="Arial" w:eastAsia="Arial" w:hAnsi="Arial"/>
                <w:b/>
                <w:bCs/>
                <w:i w:val="false"/>
                <w:iCs w:val="false"/>
                <w:color w:val="FFFFFF"/>
                <w:sz w:val="22"/>
                <w:szCs w:val="22"/>
              </w:rPr>
              <w:t xml:space="preserve">FORCE PROTECTION OFFICER (FPO)</w:t>
            </w:r>
          </w:p>
        </w:tc>
        <w:tc>
          <w:tcPr>
            <w:tcW w:type="dxa" w:w="4680"/>
            <w:tcBorders>
              <w:top w:val="single" w:color="1B3A6B" w:sz="8"/>
              <w:left w:val="single" w:color="1B3A6B" w:sz="8"/>
              <w:bottom w:val="single" w:color="1B3A6B" w:sz="8"/>
              <w:right w:val="single" w:color="1B3A6B" w:sz="8"/>
            </w:tcBorders>
            <w:shd w:fill="C49A1A" w:val="clear"/>
            <w:tcMar>
              <w:top w:type="dxa" w:w="100"/>
              <w:left w:type="dxa" w:w="160"/>
              <w:bottom w:type="dxa" w:w="100"/>
              <w:right w:type="dxa" w:w="160"/>
            </w:tcMar>
          </w:tcPr>
          <w:p>
            <w:pPr>
              <w:spacing w:after="0" w:before="0"/>
              <w:jc w:val="center"/>
            </w:pPr>
            <w:r>
              <w:rPr>
                <w:rFonts w:ascii="Arial" w:cs="Arial" w:eastAsia="Arial" w:hAnsi="Arial"/>
                <w:b/>
                <w:bCs/>
                <w:i w:val="false"/>
                <w:iCs w:val="false"/>
                <w:color w:val="FFFFFF"/>
                <w:sz w:val="22"/>
                <w:szCs w:val="22"/>
              </w:rPr>
              <w:t xml:space="preserve">PWC (AAW / ASUW / ASW)</w:t>
            </w:r>
          </w:p>
        </w:tc>
      </w:tr>
      <w:tr>
        <w:tc>
          <w:tcPr>
            <w:tcW w:type="dxa" w:w="4680"/>
            <w:tcBorders>
              <w:top w:val="single" w:color="CCCCCC" w:sz="4"/>
              <w:left w:val="single" w:color="CCCCCC" w:sz="4"/>
              <w:bottom w:val="single" w:color="CCCCCC" w:sz="4"/>
              <w:right w:val="single" w:color="CCCCCC" w:sz="4"/>
            </w:tcBorders>
            <w:shd w:fill="D0D9EC"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Amenazas asimétricas y de corto alcance (FIAC, buzos de combate, UAV comerciales, sabotaje)</w:t>
            </w:r>
          </w:p>
        </w:tc>
        <w:tc>
          <w:tcPr>
            <w:tcW w:type="dxa" w:w="4680"/>
            <w:tcBorders>
              <w:top w:val="single" w:color="CCCCCC" w:sz="4"/>
              <w:left w:val="single" w:color="CCCCCC" w:sz="4"/>
              <w:bottom w:val="single" w:color="CCCCCC" w:sz="4"/>
              <w:right w:val="single" w:color="CCCCCC" w:sz="4"/>
            </w:tcBorders>
            <w:shd w:fill="FDF3D8"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Amenazas convencionales en sus dominios (aeronaves, buques de superficie, submarinos)</w:t>
            </w:r>
          </w:p>
        </w:tc>
      </w:tr>
      <w:tr>
        <w:tc>
          <w:tcPr>
            <w:tcW w:type="dxa" w:w="4680"/>
            <w:tcBorders>
              <w:top w:val="single" w:color="CCCCCC" w:sz="4"/>
              <w:left w:val="single" w:color="CCCCCC" w:sz="4"/>
              <w:bottom w:val="single" w:color="CCCCCC" w:sz="4"/>
              <w:right w:val="single" w:color="CCCCCC" w:sz="4"/>
            </w:tcBorders>
            <w:shd w:fill="FFFFFF"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Zona FP definida: inner security zone y close-in zone</w:t>
            </w:r>
          </w:p>
        </w:tc>
        <w:tc>
          <w:tcPr>
            <w:tcW w:type="dxa" w:w="4680"/>
            <w:tcBorders>
              <w:top w:val="single" w:color="CCCCCC" w:sz="4"/>
              <w:left w:val="single" w:color="CCCCCC" w:sz="4"/>
              <w:bottom w:val="single" w:color="CCCCCC" w:sz="4"/>
              <w:right w:val="single" w:color="CCCCCC" w:sz="4"/>
            </w:tcBorders>
            <w:shd w:fill="FFFFFF"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Zonas de guerra: AAW — espacio aéreo; ASUW — superficie; ASW — subsuperficie</w:t>
            </w:r>
          </w:p>
        </w:tc>
      </w:tr>
      <w:tr>
        <w:tc>
          <w:tcPr>
            <w:tcW w:type="dxa" w:w="4680"/>
            <w:tcBorders>
              <w:top w:val="single" w:color="CCCCCC" w:sz="4"/>
              <w:left w:val="single" w:color="CCCCCC" w:sz="4"/>
              <w:bottom w:val="single" w:color="CCCCCC" w:sz="4"/>
              <w:right w:val="single" w:color="CCCCCC" w:sz="4"/>
            </w:tcBorders>
            <w:shd w:fill="D0D9EC"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ROE locales de FP (WCO, Warning Shots, CUSUM)</w:t>
            </w:r>
          </w:p>
        </w:tc>
        <w:tc>
          <w:tcPr>
            <w:tcW w:type="dxa" w:w="4680"/>
            <w:tcBorders>
              <w:top w:val="single" w:color="CCCCCC" w:sz="4"/>
              <w:left w:val="single" w:color="CCCCCC" w:sz="4"/>
              <w:bottom w:val="single" w:color="CCCCCC" w:sz="4"/>
              <w:right w:val="single" w:color="CCCCCC" w:sz="4"/>
            </w:tcBorders>
            <w:shd w:fill="FDF3D8"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ROE de combate NATO conforme a OPTASK publicado</w:t>
            </w:r>
          </w:p>
        </w:tc>
      </w:tr>
      <w:tr>
        <w:tc>
          <w:tcPr>
            <w:tcW w:type="dxa" w:w="4680"/>
            <w:tcBorders>
              <w:top w:val="single" w:color="CCCCCC" w:sz="4"/>
              <w:left w:val="single" w:color="CCCCCC" w:sz="4"/>
              <w:bottom w:val="single" w:color="CCCCCC" w:sz="4"/>
              <w:right w:val="single" w:color="CCCCCC" w:sz="4"/>
            </w:tcBorders>
            <w:shd w:fill="FFFFFF"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OPCON sobre RHIBs, boarding teams, armas ligeras (.50 cal, GPMG, Minigun)</w:t>
            </w:r>
          </w:p>
        </w:tc>
        <w:tc>
          <w:tcPr>
            <w:tcW w:type="dxa" w:w="4680"/>
            <w:tcBorders>
              <w:top w:val="single" w:color="CCCCCC" w:sz="4"/>
              <w:left w:val="single" w:color="CCCCCC" w:sz="4"/>
              <w:bottom w:val="single" w:color="CCCCCC" w:sz="4"/>
              <w:right w:val="single" w:color="CCCCCC" w:sz="4"/>
            </w:tcBorders>
            <w:shd w:fill="FFFFFF"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OPCON sobre sistemas de armas principales (Mk 8, misiles, torpedos, Phalanx en modo AAW)</w:t>
            </w:r>
          </w:p>
        </w:tc>
      </w:tr>
      <w:tr>
        <w:tc>
          <w:tcPr>
            <w:tcW w:type="dxa" w:w="4680"/>
            <w:tcBorders>
              <w:top w:val="single" w:color="CCCCCC" w:sz="4"/>
              <w:left w:val="single" w:color="CCCCCC" w:sz="4"/>
              <w:bottom w:val="single" w:color="CCCCCC" w:sz="4"/>
              <w:right w:val="single" w:color="CCCCCC" w:sz="4"/>
            </w:tcBorders>
            <w:shd w:fill="D0D9EC"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Coordina directamente con el OOW y el CO</w:t>
            </w:r>
          </w:p>
        </w:tc>
        <w:tc>
          <w:tcPr>
            <w:tcW w:type="dxa" w:w="4680"/>
            <w:tcBorders>
              <w:top w:val="single" w:color="CCCCCC" w:sz="4"/>
              <w:left w:val="single" w:color="CCCCCC" w:sz="4"/>
              <w:bottom w:val="single" w:color="CCCCCC" w:sz="4"/>
              <w:right w:val="single" w:color="CCCCCC" w:sz="4"/>
            </w:tcBorders>
            <w:shd w:fill="FDF3D8"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Coordina a través del Principal Warfare Officer (PWO) y CO</w:t>
            </w:r>
          </w:p>
        </w:tc>
      </w:tr>
      <w:tr>
        <w:tc>
          <w:tcPr>
            <w:tcW w:type="dxa" w:w="4680"/>
            <w:tcBorders>
              <w:top w:val="single" w:color="CCCCCC" w:sz="4"/>
              <w:left w:val="single" w:color="CCCCCC" w:sz="4"/>
              <w:bottom w:val="single" w:color="CCCCCC" w:sz="4"/>
              <w:right w:val="single" w:color="CCCCCC" w:sz="4"/>
            </w:tcBorders>
            <w:shd w:fill="FFFFFF"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Actúa ante eventos de baja escala sin escalada formal</w:t>
            </w:r>
          </w:p>
        </w:tc>
        <w:tc>
          <w:tcPr>
            <w:tcW w:type="dxa" w:w="4680"/>
            <w:tcBorders>
              <w:top w:val="single" w:color="CCCCCC" w:sz="4"/>
              <w:left w:val="single" w:color="CCCCCC" w:sz="4"/>
              <w:bottom w:val="single" w:color="CCCCCC" w:sz="4"/>
              <w:right w:val="single" w:color="CCCCCC" w:sz="4"/>
            </w:tcBorders>
            <w:shd w:fill="FFFFFF" w:val="clear"/>
            <w:tcMar>
              <w:top w:type="dxa" w:w="80"/>
              <w:left w:type="dxa" w:w="160"/>
              <w:bottom w:type="dxa" w:w="80"/>
              <w:right w:type="dxa" w:w="120"/>
            </w:tcMar>
          </w:tcPr>
          <w:p>
            <w:pPr>
              <w:spacing w:after="0" w:before="0"/>
              <w:jc w:val="left"/>
            </w:pPr>
            <w:r>
              <w:rPr>
                <w:rFonts w:ascii="Arial" w:cs="Arial" w:eastAsia="Arial" w:hAnsi="Arial"/>
                <w:b w:val="false"/>
                <w:bCs w:val="false"/>
                <w:i w:val="false"/>
                <w:iCs w:val="false"/>
                <w:color w:val="000000"/>
                <w:sz w:val="20"/>
                <w:szCs w:val="20"/>
              </w:rPr>
              <w:t xml:space="preserve">Requiere WEAPONS FREE o autorización del CO para empleo de armas</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200"/>
            </w:tcMar>
          </w:tcPr>
          <w:p>
            <w:pPr>
              <w:spacing w:after="0" w:before="0"/>
              <w:jc w:val="left"/>
            </w:pPr>
            <w:r>
              <w:rPr>
                <w:rFonts w:ascii="Arial" w:cs="Arial" w:eastAsia="Arial" w:hAnsi="Arial"/>
                <w:b/>
                <w:bCs/>
                <w:i w:val="false"/>
                <w:iCs w:val="false"/>
                <w:color w:val="FFFFFF"/>
                <w:sz w:val="26"/>
                <w:szCs w:val="26"/>
              </w:rPr>
              <w:t xml:space="preserve">2.  CONFLICTOS TÍPICOS Y SOLUCIONES EN PLANIFICACIÓN</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80" w:before="80"/>
        <w:jc w:val="left"/>
      </w:pPr>
      <w:r>
        <w:rPr>
          <w:rFonts w:ascii="Arial" w:cs="Arial" w:eastAsia="Arial" w:hAnsi="Arial"/>
          <w:b w:val="false"/>
          <w:bCs w:val="false"/>
          <w:i w:val="false"/>
          <w:iCs w:val="false"/>
          <w:color w:val="444444"/>
          <w:sz w:val="21"/>
          <w:szCs w:val="21"/>
        </w:rPr>
        <w:t xml:space="preserve">El 90% de los conflictos entre FPO y PWC son prevenibles si se resuelven en la fase de planificación, antes del despliegue o inicio de guardia. La siguiente matriz identifica los escenarios más frecuentes:</w:t>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2580"/>
        <w:gridCol w:w="3580"/>
      </w:tblGrid>
      <w:tr>
        <w:tc>
          <w:tcPr>
            <w:tcW w:type="dxa" w:w="3200"/>
            <w:tcBorders>
              <w:top w:val="single" w:color="1B3A6B" w:sz="8"/>
              <w:left w:val="single" w:color="1B3A6B" w:sz="8"/>
              <w:bottom w:val="single" w:color="1B3A6B" w:sz="8"/>
              <w:right w:val="single" w:color="1B3A6B" w:sz="8"/>
            </w:tcBorders>
            <w:shd w:fill="1B3A6B" w:val="clear"/>
            <w:tcMar>
              <w:top w:type="dxa" w:w="100"/>
              <w:left w:type="dxa" w:w="140"/>
              <w:bottom w:type="dxa" w:w="100"/>
              <w:right w:type="dxa" w:w="100"/>
            </w:tcMar>
          </w:tcPr>
          <w:p>
            <w:pPr>
              <w:spacing w:after="0" w:before="0"/>
              <w:jc w:val="left"/>
            </w:pPr>
            <w:r>
              <w:rPr>
                <w:rFonts w:ascii="Arial" w:cs="Arial" w:eastAsia="Arial" w:hAnsi="Arial"/>
                <w:b/>
                <w:bCs/>
                <w:i w:val="false"/>
                <w:iCs w:val="false"/>
                <w:color w:val="FFFFFF"/>
                <w:sz w:val="20"/>
                <w:szCs w:val="20"/>
              </w:rPr>
              <w:t xml:space="preserve">ESCENARIO</w:t>
            </w:r>
          </w:p>
        </w:tc>
        <w:tc>
          <w:tcPr>
            <w:tcW w:type="dxa" w:w="2580"/>
            <w:tcBorders>
              <w:top w:val="single" w:color="1B3A6B" w:sz="8"/>
              <w:left w:val="single" w:color="1B3A6B" w:sz="8"/>
              <w:bottom w:val="single" w:color="1B3A6B" w:sz="8"/>
              <w:right w:val="single" w:color="1B3A6B" w:sz="8"/>
            </w:tcBorders>
            <w:shd w:fill="1B3A6B" w:val="clear"/>
            <w:tcMar>
              <w:top w:type="dxa" w:w="100"/>
              <w:left w:type="dxa" w:w="140"/>
              <w:bottom w:type="dxa" w:w="100"/>
              <w:right w:type="dxa" w:w="100"/>
            </w:tcMar>
          </w:tcPr>
          <w:p>
            <w:pPr>
              <w:spacing w:after="0" w:before="0"/>
              <w:jc w:val="left"/>
            </w:pPr>
            <w:r>
              <w:rPr>
                <w:rFonts w:ascii="Arial" w:cs="Arial" w:eastAsia="Arial" w:hAnsi="Arial"/>
                <w:b/>
                <w:bCs/>
                <w:i w:val="false"/>
                <w:iCs w:val="false"/>
                <w:color w:val="FFFFFF"/>
                <w:sz w:val="20"/>
                <w:szCs w:val="20"/>
              </w:rPr>
              <w:t xml:space="preserve">RIESGO DE CONFLICTO</w:t>
            </w:r>
          </w:p>
        </w:tc>
        <w:tc>
          <w:tcPr>
            <w:tcW w:type="dxa" w:w="3580"/>
            <w:tcBorders>
              <w:top w:val="single" w:color="1B3A6B" w:sz="8"/>
              <w:left w:val="single" w:color="1B3A6B" w:sz="8"/>
              <w:bottom w:val="single" w:color="1B3A6B" w:sz="8"/>
              <w:right w:val="single" w:color="1B3A6B" w:sz="8"/>
            </w:tcBorders>
            <w:shd w:fill="1B3A6B" w:val="clear"/>
            <w:tcMar>
              <w:top w:type="dxa" w:w="100"/>
              <w:left w:type="dxa" w:w="140"/>
              <w:bottom w:type="dxa" w:w="100"/>
              <w:right w:type="dxa" w:w="100"/>
            </w:tcMar>
          </w:tcPr>
          <w:p>
            <w:pPr>
              <w:spacing w:after="0" w:before="0"/>
              <w:jc w:val="left"/>
            </w:pPr>
            <w:r>
              <w:rPr>
                <w:rFonts w:ascii="Arial" w:cs="Arial" w:eastAsia="Arial" w:hAnsi="Arial"/>
                <w:b/>
                <w:bCs/>
                <w:i w:val="false"/>
                <w:iCs w:val="false"/>
                <w:color w:val="FFFFFF"/>
                <w:sz w:val="20"/>
                <w:szCs w:val="20"/>
              </w:rPr>
              <w:t xml:space="preserve">SOLUCIÓN EN PLANIFICACIÓN</w:t>
            </w:r>
          </w:p>
        </w:tc>
      </w:tr>
      <w:tr>
        <w:tc>
          <w:tcPr>
            <w:tcW w:type="dxa" w:w="3200"/>
            <w:tcBorders>
              <w:top w:val="single" w:color="CCCCCC" w:sz="4"/>
              <w:left w:val="single" w:color="CCCCCC" w:sz="4"/>
              <w:bottom w:val="single" w:color="CCCCCC" w:sz="4"/>
              <w:right w:val="single" w:color="CCCCCC" w:sz="4"/>
            </w:tcBorders>
            <w:shd w:fill="D0D9EC"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RHIB / FIAC sospechoso</w:t>
            </w:r>
          </w:p>
        </w:tc>
        <w:tc>
          <w:tcPr>
            <w:tcW w:type="dxa" w:w="2580"/>
            <w:tcBorders>
              <w:top w:val="single" w:color="CCCCCC" w:sz="4"/>
              <w:left w:val="single" w:color="CCCCCC" w:sz="4"/>
              <w:bottom w:val="single" w:color="CCCCCC" w:sz="4"/>
              <w:right w:val="single" w:color="CCCCCC" w:sz="4"/>
            </w:tcBorders>
            <w:shd w:fill="FDDEDE"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¿FPO o ASUW C asume el control del contacto?</w:t>
            </w:r>
          </w:p>
        </w:tc>
        <w:tc>
          <w:tcPr>
            <w:tcW w:type="dxa" w:w="3580"/>
            <w:tcBorders>
              <w:top w:val="single" w:color="CCCCCC" w:sz="4"/>
              <w:left w:val="single" w:color="CCCCCC" w:sz="4"/>
              <w:bottom w:val="single" w:color="CCCCCC" w:sz="4"/>
              <w:right w:val="single" w:color="CCCCCC" w:sz="4"/>
            </w:tcBorders>
            <w:shd w:fill="DFF2E1"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Publicar regla: FPO asume contactos &lt; X toneladas dentro de la zona FP; ASUW C asume fuera de ella. Umbral firmado por CO.</w:t>
            </w:r>
          </w:p>
        </w:tc>
      </w:tr>
      <w:tr>
        <w:tc>
          <w:tcPr>
            <w:tcW w:type="dxa" w:w="320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UAV / drone no identificado</w:t>
            </w:r>
          </w:p>
        </w:tc>
        <w:tc>
          <w:tcPr>
            <w:tcW w:type="dxa" w:w="258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¿FPO actúa o debe escalar al AAW C?</w:t>
            </w:r>
          </w:p>
        </w:tc>
        <w:tc>
          <w:tcPr>
            <w:tcW w:type="dxa" w:w="358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Protocolo escrito: FPO evalúa, pero AAW C autoriza el empleo de contramedidas activas. Evaluación conjunta obligatoria &lt; 2 min.</w:t>
            </w:r>
          </w:p>
        </w:tc>
      </w:tr>
      <w:tr>
        <w:tc>
          <w:tcPr>
            <w:tcW w:type="dxa" w:w="3200"/>
            <w:tcBorders>
              <w:top w:val="single" w:color="CCCCCC" w:sz="4"/>
              <w:left w:val="single" w:color="CCCCCC" w:sz="4"/>
              <w:bottom w:val="single" w:color="CCCCCC" w:sz="4"/>
              <w:right w:val="single" w:color="CCCCCC" w:sz="4"/>
            </w:tcBorders>
            <w:shd w:fill="D0D9EC"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Buzo de combate detectado</w:t>
            </w:r>
          </w:p>
        </w:tc>
        <w:tc>
          <w:tcPr>
            <w:tcW w:type="dxa" w:w="2580"/>
            <w:tcBorders>
              <w:top w:val="single" w:color="CCCCCC" w:sz="4"/>
              <w:left w:val="single" w:color="CCCCCC" w:sz="4"/>
              <w:bottom w:val="single" w:color="CCCCCC" w:sz="4"/>
              <w:right w:val="single" w:color="CCCCCC" w:sz="4"/>
            </w:tcBorders>
            <w:shd w:fill="FDDEDE"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¿FPO o ASW C dirige la respuesta?</w:t>
            </w:r>
          </w:p>
        </w:tc>
        <w:tc>
          <w:tcPr>
            <w:tcW w:type="dxa" w:w="3580"/>
            <w:tcBorders>
              <w:top w:val="single" w:color="CCCCCC" w:sz="4"/>
              <w:left w:val="single" w:color="CCCCCC" w:sz="4"/>
              <w:bottom w:val="single" w:color="CCCCCC" w:sz="4"/>
              <w:right w:val="single" w:color="CCCCCC" w:sz="4"/>
            </w:tcBorders>
            <w:shd w:fill="DFF2E1"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FPO lidera respuesta directa (sonar DIVER, buceadores defensivos); ASW C en rol consultivo. Documentado en OPORD.</w:t>
            </w:r>
          </w:p>
        </w:tc>
      </w:tr>
      <w:tr>
        <w:tc>
          <w:tcPr>
            <w:tcW w:type="dxa" w:w="320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Uso del FLIR / EO</w:t>
            </w:r>
          </w:p>
        </w:tc>
        <w:tc>
          <w:tcPr>
            <w:tcW w:type="dxa" w:w="258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Dos demandas simultáneas del mismo sensor</w:t>
            </w:r>
          </w:p>
        </w:tc>
        <w:tc>
          <w:tcPr>
            <w:tcW w:type="dxa" w:w="358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Regla de prioridad: FPO tiene FLIR dentro de 3 nm; fuera de 3 nm pasa a ASUW C. Definido pre-misión.</w:t>
            </w:r>
          </w:p>
        </w:tc>
      </w:tr>
      <w:tr>
        <w:tc>
          <w:tcPr>
            <w:tcW w:type="dxa" w:w="3200"/>
            <w:tcBorders>
              <w:top w:val="single" w:color="CCCCCC" w:sz="4"/>
              <w:left w:val="single" w:color="CCCCCC" w:sz="4"/>
              <w:bottom w:val="single" w:color="CCCCCC" w:sz="4"/>
              <w:right w:val="single" w:color="CCCCCC" w:sz="4"/>
            </w:tcBorders>
            <w:shd w:fill="D0D9EC"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Phalanx / Goalkeeper</w:t>
            </w:r>
          </w:p>
        </w:tc>
        <w:tc>
          <w:tcPr>
            <w:tcW w:type="dxa" w:w="2580"/>
            <w:tcBorders>
              <w:top w:val="single" w:color="CCCCCC" w:sz="4"/>
              <w:left w:val="single" w:color="CCCCCC" w:sz="4"/>
              <w:bottom w:val="single" w:color="CCCCCC" w:sz="4"/>
              <w:right w:val="single" w:color="CCCCCC" w:sz="4"/>
            </w:tcBorders>
            <w:shd w:fill="FDDEDE"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¿Modo CIWS (AAW) o modo superficie (FP)?</w:t>
            </w:r>
          </w:p>
        </w:tc>
        <w:tc>
          <w:tcPr>
            <w:tcW w:type="dxa" w:w="3580"/>
            <w:tcBorders>
              <w:top w:val="single" w:color="CCCCCC" w:sz="4"/>
              <w:left w:val="single" w:color="CCCCCC" w:sz="4"/>
              <w:bottom w:val="single" w:color="CCCCCC" w:sz="4"/>
              <w:right w:val="single" w:color="CCCCCC" w:sz="4"/>
            </w:tcBorders>
            <w:shd w:fill="DFF2E1"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Configuración por fase de operación publicada en Standing Orders. FPO no cambia modo sin AAW C y CO.</w:t>
            </w:r>
          </w:p>
        </w:tc>
      </w:tr>
      <w:tr>
        <w:tc>
          <w:tcPr>
            <w:tcW w:type="dxa" w:w="320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Helicóptero embarcado</w:t>
            </w:r>
          </w:p>
        </w:tc>
        <w:tc>
          <w:tcPr>
            <w:tcW w:type="dxa" w:w="258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Tasking FP (barrier patrol) vs. ASW C (dipping sonar)</w:t>
            </w:r>
          </w:p>
        </w:tc>
        <w:tc>
          <w:tcPr>
            <w:tcW w:type="dxa" w:w="3580"/>
            <w:tcBorders>
              <w:top w:val="single" w:color="CCCCCC" w:sz="4"/>
              <w:left w:val="single" w:color="CCCCCC" w:sz="4"/>
              <w:bottom w:val="single" w:color="CCCCCC" w:sz="4"/>
              <w:right w:val="single" w:color="CCCCCC" w:sz="4"/>
            </w:tcBorders>
            <w:shd w:fill="FFFFFF"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Plan de vuelo diario coordinado entre FPO, ASW C y Flight Deck Officer. Prioridad asignada por CO en OPORD.</w:t>
            </w:r>
          </w:p>
        </w:tc>
      </w:tr>
      <w:tr>
        <w:tc>
          <w:tcPr>
            <w:tcW w:type="dxa" w:w="3200"/>
            <w:tcBorders>
              <w:top w:val="single" w:color="CCCCCC" w:sz="4"/>
              <w:left w:val="single" w:color="CCCCCC" w:sz="4"/>
              <w:bottom w:val="single" w:color="CCCCCC" w:sz="4"/>
              <w:right w:val="single" w:color="CCCCCC" w:sz="4"/>
            </w:tcBorders>
            <w:shd w:fill="D0D9EC"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Warning shots / fuego de aviso</w:t>
            </w:r>
          </w:p>
        </w:tc>
        <w:tc>
          <w:tcPr>
            <w:tcW w:type="dxa" w:w="2580"/>
            <w:tcBorders>
              <w:top w:val="single" w:color="CCCCCC" w:sz="4"/>
              <w:left w:val="single" w:color="CCCCCC" w:sz="4"/>
              <w:bottom w:val="single" w:color="CCCCCC" w:sz="4"/>
              <w:right w:val="single" w:color="CCCCCC" w:sz="4"/>
            </w:tcBorders>
            <w:shd w:fill="FDDEDE"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¿Quién autoriza y a qué distancia?</w:t>
            </w:r>
          </w:p>
        </w:tc>
        <w:tc>
          <w:tcPr>
            <w:tcW w:type="dxa" w:w="3580"/>
            <w:tcBorders>
              <w:top w:val="single" w:color="CCCCCC" w:sz="4"/>
              <w:left w:val="single" w:color="CCCCCC" w:sz="4"/>
              <w:bottom w:val="single" w:color="CCCCCC" w:sz="4"/>
              <w:right w:val="single" w:color="CCCCCC" w:sz="4"/>
            </w:tcBorders>
            <w:shd w:fill="DFF2E1" w:val="clear"/>
            <w:tcMar>
              <w:top w:type="dxa" w:w="80"/>
              <w:left w:type="dxa" w:w="140"/>
              <w:bottom w:type="dxa" w:w="80"/>
              <w:right w:type="dxa" w:w="80"/>
            </w:tcMar>
          </w:tcPr>
          <w:p>
            <w:pPr>
              <w:spacing w:after="0" w:before="0"/>
              <w:jc w:val="left"/>
            </w:pPr>
            <w:r>
              <w:rPr>
                <w:rFonts w:ascii="Arial" w:cs="Arial" w:eastAsia="Arial" w:hAnsi="Arial"/>
                <w:b w:val="false"/>
                <w:bCs w:val="false"/>
                <w:i w:val="false"/>
                <w:iCs w:val="false"/>
                <w:color w:val="000000"/>
                <w:sz w:val="19"/>
                <w:szCs w:val="19"/>
              </w:rPr>
              <w:t xml:space="preserve">FPO autoriza dentro de la zona FP. Fuera: ASUW C + CO. Escrito en ROE locales con distancias exactas.</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200"/>
            </w:tcMar>
          </w:tcPr>
          <w:p>
            <w:pPr>
              <w:spacing w:after="0" w:before="0"/>
              <w:jc w:val="left"/>
            </w:pPr>
            <w:r>
              <w:rPr>
                <w:rFonts w:ascii="Arial" w:cs="Arial" w:eastAsia="Arial" w:hAnsi="Arial"/>
                <w:b/>
                <w:bCs/>
                <w:i w:val="false"/>
                <w:iCs w:val="false"/>
                <w:color w:val="FFFFFF"/>
                <w:sz w:val="26"/>
                <w:szCs w:val="26"/>
              </w:rPr>
              <w:t xml:space="preserve">3.  CHECKLIST — FASE DE PLANIFICACIÓN (PRE-DESPLIEGUE / PRE-GUARDIA)</w:t>
            </w:r>
          </w:p>
        </w:tc>
      </w:tr>
    </w:tbl>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single" w:color="1B3A6B" w:sz="6"/>
              <w:left w:val="single" w:color="1B3A6B" w:sz="6"/>
              <w:bottom w:val="single" w:color="1B3A6B" w:sz="6"/>
              <w:right w:val="single" w:color="1B3A6B" w:sz="6"/>
            </w:tcBorders>
            <w:shd w:fill="D0D9EC" w:val="clear"/>
            <w:tcMar>
              <w:top w:type="dxa" w:w="100"/>
              <w:left w:type="dxa" w:w="200"/>
              <w:bottom w:type="dxa" w:w="100"/>
              <w:right w:type="dxa" w:w="200"/>
            </w:tcMar>
          </w:tcPr>
          <w:p>
            <w:pPr>
              <w:spacing w:after="30" w:before="30"/>
              <w:jc w:val="left"/>
            </w:pPr>
            <w:r>
              <w:rPr>
                <w:rFonts w:ascii="Arial" w:cs="Arial" w:eastAsia="Arial" w:hAnsi="Arial"/>
                <w:b/>
                <w:bCs/>
                <w:i w:val="false"/>
                <w:iCs w:val="false"/>
                <w:color w:val="1B3A6B"/>
                <w:sz w:val="21"/>
                <w:szCs w:val="21"/>
              </w:rPr>
              <w:t xml:space="preserve">PROPÓSITO: Eliminar ambigüedades antes de que ocurra el contacto. Cada ítem debe ser FIRMADO por el responsable.</w:t>
            </w:r>
          </w:p>
          <w:p>
            <w:pPr>
              <w:spacing w:after="30" w:before="30"/>
              <w:jc w:val="left"/>
            </w:pPr>
            <w:r>
              <w:rPr>
                <w:rFonts w:ascii="Arial" w:cs="Arial" w:eastAsia="Arial" w:hAnsi="Arial"/>
                <w:b w:val="false"/>
                <w:bCs w:val="false"/>
                <w:i w:val="false"/>
                <w:iCs w:val="false"/>
                <w:color w:val="444444"/>
                <w:sz w:val="20"/>
                <w:szCs w:val="20"/>
              </w:rPr>
              <w:t xml:space="preserve">Autoridad de aprobación: Commanding Officer (CO)</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3.1  Designaciones y autoridades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CO ha designado formalmente al FPO por escrito, con rango y turno de guardia definidos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CO ha publicado en Standing Orders la línea exacta de autoridad: FPO ≠ PWC — sin superposición</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Definidos umbrales de escalada: FPO → CO y FPO → ASUW C / AAW C / ASW C con criterios objetivos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Publicado el POAC (Point of Authority for Clearance) para cada tipo de arma y escenario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Confirmado que FPO NO tiene autoridad sobre armas principales (Mk 8, misiles, torpedos) — firmado</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3.2  Límites geográficos y zonas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Definida y publicada la Inner Security Zone (ISZ) con coordenadas o distancias exactas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Definida la Close-In Zone (CIZ) y quién tiene autoridad en cada anillo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Trazadas las líneas de coordinación (Coordination Lines) en la carta — FPO vs. ASUW C</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Acordadas las coordenadas de transferencia de contacto: al cruzar X nm, el contacto pasa de FPO a ASUW C</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3.3  Asignación de medios y sensores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Radar de navegación (Kelvin Hughes o equiv.): asignado a FP como sensor primario dentro de la ISZ</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Radar de combate (Type 997 o equiv.): PWC controla; FPO tiene acceso de lectura</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FLIR / EO: regla de prioridad publicada (FP &lt; 3 nm / ASUW &gt; 3 nm) — confirmada por PWO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Sonar activo / DIVER sonar: protocolo FPO–ASW C publicado para detección de buzos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Armas ligeras (.50 cal, GPMG, Minigun, rifles): EXCLUSIVAMENTE bajo OPCON FPO — no reasignar sin CO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RHIBs / sea boats: OPCON FPO durante misiones FP — no pueden ser redirigidos por ASUW C sin CO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Helicóptero: plan de tasking diario FPO–ASW C–FDO aprobado por CO antes del inicio de guardia</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Phalanx / Goalkeeper: configuración por fase (modo AAW o modo superficie) publicada por escrito</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3.4  Comunicaciones y redes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Asignada frecuencia / red EXCLUSIVA para Force Protection (independiente de la red táctica PWC)</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FPO tiene acceso de escucha a la red táctica AAW C, ASUW C y ASW C — sin capacidad de mando sobre ella</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Establecido el canal de enlace directo FPO → CO (línea caliente, no a través del PWO)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Protocolo de comunicación FPO → OOW publicado: qué informar, en qué plazo, en qué formato</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3.5  ROE y empleo de armas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ROE locales de FP publicadas: CUSUM / POSTURE / Warning Shots — con distancias y condiciones exactas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ROE de combate NATO separadas para cada PWC — no compartidas con FPO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Definido umbral de legítima defensa inmediata: FPO puede emplear armas SIN autorización previa solo si...</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Warning shots: FPO autoriza dentro de la zona FP; fuera requiere ASUW C + CO — escrito y firmado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Protocolo escalada: FPO informa al CO ANTES de emplear armas, excepto en caso de respuesta inmediata</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3.6  Inteligencia y amenaza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Threat Assessment del día distribuido al FPO Y a todos los PWC simultáneamente</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FPO ha recibido briefing de cada PWC sobre contactos de interés activos en sus dominios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Publicada la clasificación de amenazas por dominio (FIAC, submarino, aeronave, agente encubierto)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FPO conoce el estado de EMCON y restricciones de sensores activos para el período</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200"/>
            </w:tcMar>
          </w:tcPr>
          <w:p>
            <w:pPr>
              <w:spacing w:after="0" w:before="0"/>
              <w:jc w:val="left"/>
            </w:pPr>
            <w:r>
              <w:rPr>
                <w:rFonts w:ascii="Arial" w:cs="Arial" w:eastAsia="Arial" w:hAnsi="Arial"/>
                <w:b/>
                <w:bCs/>
                <w:i w:val="false"/>
                <w:iCs w:val="false"/>
                <w:color w:val="FFFFFF"/>
                <w:sz w:val="26"/>
                <w:szCs w:val="26"/>
              </w:rPr>
              <w:t xml:space="preserve">4.  CHECKLIST — OPS ROOM (DURANTE LA GUARDIA)</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4.1  Configuración del puesto de mando</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FPO tiene posición física diferenciada de AAW C, ASUW C y ASW C en la sala de operaciones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El Recognised Maritime Picture (RMP) muestra capas diferenciadas: tracks FP vs. tracks warfare</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Confirmado el estado de armas (safe / made ready) documentado al inicio de la guardia</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Estado operacional de RHIBs verificado y registrado en el libro de guardia</w:t>
            </w:r>
          </w:p>
        </w:tc>
      </w:tr>
    </w:tbl>
    <w:p>
      <w:pPr>
        <w:spacing w:after="60" w:before="0"/>
        <w:jc w:val="left"/>
      </w:pPr>
      <w:r>
        <w:rPr>
          <w:rFonts w:ascii="Arial" w:cs="Arial" w:eastAsia="Arial" w:hAnsi="Arial"/>
          <w:b w:val="false"/>
          <w:bCs w:val="false"/>
          <w:i w:val="false"/>
          <w:iCs w:val="false"/>
          <w:color w:val="000000"/>
          <w:sz w:val="22"/>
          <w:szCs w:val="22"/>
        </w:rPr>
        <w:t xml:space="preserve"/>
      </w:r>
    </w:p>
    <w:p>
      <w:pPr>
        <w:pBdr>
          <w:bottom w:val="single" w:color="C49A1A" w:sz="6" w:space="1"/>
        </w:pBdr>
        <w:spacing w:after="60" w:before="160"/>
        <w:jc w:val="left"/>
      </w:pPr>
      <w:r>
        <w:rPr>
          <w:rFonts w:ascii="Arial" w:cs="Arial" w:eastAsia="Arial" w:hAnsi="Arial"/>
          <w:b/>
          <w:bCs/>
          <w:i w:val="false"/>
          <w:iCs w:val="false"/>
          <w:color w:val="1B3A6B"/>
          <w:sz w:val="24"/>
          <w:szCs w:val="24"/>
        </w:rPr>
        <w:t xml:space="preserve">4.2  Gestión de contactos ambiguos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Aplicado el protocolo de clasificación de contactos al surgir uno ambiguo (FPO o ASUW C lo asume)</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Documentada la transferencia de contacto si un FIAC escala a amenaza convencional</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PWC notificado cuando FPO detecta UAV sospechoso — evaluación conjunta realizada antes de acción</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ASUW C NO ha asumido contacto de pequeña embarcación sin notificación previa al FPO</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200"/>
            </w:tcMar>
          </w:tcPr>
          <w:p>
            <w:pPr>
              <w:spacing w:after="0" w:before="0"/>
              <w:jc w:val="left"/>
            </w:pPr>
            <w:r>
              <w:rPr>
                <w:rFonts w:ascii="Arial" w:cs="Arial" w:eastAsia="Arial" w:hAnsi="Arial"/>
                <w:b/>
                <w:bCs/>
                <w:i w:val="false"/>
                <w:iCs w:val="false"/>
                <w:color w:val="FFFFFF"/>
                <w:sz w:val="26"/>
                <w:szCs w:val="26"/>
              </w:rPr>
              <w:t xml:space="preserve">5.  CHECKLIST — RELEVO DE GUARDIA</w:t>
            </w:r>
          </w:p>
        </w:tc>
      </w:tr>
    </w:tbl>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FPO saliente entrega FP SITREP verbal y escrito: contactos de interés, incidentes, estado de armas ligeras</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PWC informados del relevo de FP — acuse de recibo confirmado y registrado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Estado de RHIBs, boarding equipment y fast ropes verificado y firmado por FPO entrante</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Configuración de Phalanx / armas principales confirmada con AAW C al inicio del relevo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FPO entrante ha leído el Threat Assessment vigente antes de asumir la guardia</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200"/>
            </w:tcMar>
          </w:tcPr>
          <w:p>
            <w:pPr>
              <w:spacing w:after="0" w:before="0"/>
              <w:jc w:val="left"/>
            </w:pPr>
            <w:r>
              <w:rPr>
                <w:rFonts w:ascii="Arial" w:cs="Arial" w:eastAsia="Arial" w:hAnsi="Arial"/>
                <w:b/>
                <w:bCs/>
                <w:i w:val="false"/>
                <w:iCs w:val="false"/>
                <w:color w:val="FFFFFF"/>
                <w:sz w:val="26"/>
                <w:szCs w:val="26"/>
              </w:rPr>
              <w:t xml:space="preserve">6.  CHECKLIST — POST-INCIDENTE</w:t>
            </w:r>
          </w:p>
        </w:tc>
      </w:tr>
    </w:tbl>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Todo empleo de armas por equipo FP reportado INMEDIATAMENTE al CO y al ASUW C</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Serious Incident Report levantado si hubo fuego real — dentro de las 2 horas del incidente</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Revisión conjunta FPO + PWC realizada: ¿hubo conflicto de autoridad? ¿funcionó el protocolo?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Lecciones aprendidas documentadas e incorporadas a Standing Orders antes del próximo turno</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Borders>
              <w:top w:val="none" w:color="FFFFFF" w:sz="0"/>
              <w:left w:val="none" w:color="FFFFFF" w:sz="0"/>
              <w:bottom w:val="none" w:color="FFFFFF" w:sz="0"/>
              <w:right w:val="none" w:color="FFFFFF" w:sz="0"/>
            </w:tcBorders>
            <w:shd w:fill="FFFFFF" w:val="clear"/>
            <w:tcMar>
              <w:top w:type="dxa" w:w="60"/>
              <w:left w:type="dxa" w:w="100"/>
              <w:bottom w:type="dxa" w:w="60"/>
              <w:right w:type="dxa" w:w="60"/>
            </w:tcMar>
            <w:vAlign w:val="center"/>
          </w:tcPr>
          <w:p>
            <w:pPr>
              <w:spacing w:after="0" w:before="0"/>
              <w:jc w:val="center"/>
            </w:pPr>
            <w:r>
              <w:rPr>
                <w:rFonts w:ascii="Arial" w:cs="Arial" w:eastAsia="Arial" w:hAnsi="Arial"/>
                <w:b w:val="false"/>
                <w:bCs w:val="false"/>
                <w:i w:val="false"/>
                <w:iCs w:val="false"/>
                <w:color w:val="1B3A6B"/>
                <w:sz w:val="24"/>
                <w:szCs w:val="24"/>
              </w:rPr>
              <w:t xml:space="preserve">☐</w:t>
            </w:r>
          </w:p>
        </w:tc>
        <w:tc>
          <w:tcPr>
            <w:tcBorders>
              <w:top w:val="none" w:color="FFFFFF" w:sz="0"/>
              <w:left w:val="none" w:color="FFFFFF" w:sz="0"/>
              <w:bottom w:val="none" w:color="FFFFFF" w:sz="0"/>
              <w:right w:val="none" w:color="FFFFFF" w:sz="0"/>
            </w:tcBorders>
            <w:shd w:fill="FFFFFF" w:val="clear"/>
            <w:tcMar>
              <w:top w:type="dxa" w:w="60"/>
              <w:left w:type="dxa" w:w="80"/>
              <w:bottom w:type="dxa" w:w="60"/>
              <w:right w:type="dxa" w:w="100"/>
            </w:tcMar>
          </w:tcPr>
          <w:p>
            <w:pPr>
              <w:spacing w:after="0" w:before="0"/>
              <w:jc w:val="left"/>
            </w:pPr>
            <w:r>
              <w:rPr>
                <w:rFonts w:ascii="Arial" w:cs="Arial" w:eastAsia="Arial" w:hAnsi="Arial"/>
                <w:b w:val="false"/>
                <w:bCs w:val="false"/>
                <w:i w:val="false"/>
                <w:iCs w:val="false"/>
                <w:color w:val="000000"/>
                <w:sz w:val="20"/>
                <w:szCs w:val="20"/>
              </w:rPr>
              <w:t xml:space="preserve">CO informado del resultado de la revisión — aprobación del After Action Report firmada</w:t>
            </w:r>
          </w:p>
        </w:tc>
      </w:tr>
    </w:tbl>
    <w:p>
      <w:pPr>
        <w:spacing w:after="60" w:before="0"/>
        <w:jc w:val="left"/>
      </w:pPr>
      <w:r>
        <w:rPr>
          <w:rFonts w:ascii="Arial" w:cs="Arial" w:eastAsia="Arial" w:hAnsi="Arial"/>
          <w:b w:val="false"/>
          <w:bCs w:val="false"/>
          <w:i w:val="false"/>
          <w:iCs w:val="false"/>
          <w:color w:val="000000"/>
          <w:sz w:val="22"/>
          <w:szCs w:val="22"/>
        </w:rPr>
        <w:t xml:space="preserve"/>
      </w:r>
    </w:p>
    <w:p>
      <w:pPr>
        <w:spacing w:after="60" w:before="0"/>
        <w:jc w:val="left"/>
      </w:pPr>
      <w:r>
        <w:rPr>
          <w:rFonts w:ascii="Arial" w:cs="Arial" w:eastAsia="Arial" w:hAnsi="Arial"/>
          <w:b w:val="false"/>
          <w:bCs w:val="false"/>
          <w:i w:val="false"/>
          <w:iCs w:val="false"/>
          <w:color w:val="000000"/>
          <w:sz w:val="22"/>
          <w:szCs w:val="22"/>
        </w:rP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Borders>
              <w:top w:val="single" w:color="1B3A6B" w:sz="6"/>
              <w:left w:val="single" w:color="1B3A6B" w:sz="6"/>
              <w:bottom w:val="single" w:color="1B3A6B" w:sz="6"/>
              <w:right w:val="single" w:color="1B3A6B" w:sz="6"/>
            </w:tcBorders>
            <w:shd w:fill="FDF3D8" w:val="clear"/>
            <w:tcMar>
              <w:top w:type="dxa" w:w="100"/>
              <w:left w:type="dxa" w:w="200"/>
              <w:bottom w:type="dxa" w:w="100"/>
              <w:right w:type="dxa" w:w="200"/>
            </w:tcMar>
          </w:tcPr>
          <w:p>
            <w:pPr>
              <w:spacing w:after="30" w:before="30"/>
              <w:jc w:val="left"/>
            </w:pPr>
            <w:r>
              <w:rPr>
                <w:rFonts w:ascii="Arial" w:cs="Arial" w:eastAsia="Arial" w:hAnsi="Arial"/>
                <w:b/>
                <w:bCs/>
                <w:i w:val="false"/>
                <w:iCs w:val="false"/>
                <w:color w:val="1B3A6B"/>
                <w:sz w:val="22"/>
                <w:szCs w:val="22"/>
              </w:rPr>
              <w:t xml:space="preserve">⚓  PRINCIPIO RECTOR (NATO MTP 1 Vol I)</w:t>
            </w:r>
          </w:p>
          <w:p>
            <w:pPr>
              <w:spacing w:after="30" w:before="30"/>
              <w:jc w:val="left"/>
            </w:pPr>
            <w:r>
              <w:rPr>
                <w:rFonts w:ascii="Arial" w:cs="Arial" w:eastAsia="Arial" w:hAnsi="Arial"/>
                <w:b w:val="false"/>
                <w:bCs w:val="false"/>
                <w:i w:val="false"/>
                <w:iCs w:val="false"/>
                <w:color w:val="000000"/>
                <w:sz w:val="10"/>
                <w:szCs w:val="10"/>
              </w:rPr>
              <w:t xml:space="preserve"> </w:t>
            </w:r>
          </w:p>
          <w:p>
            <w:pPr>
              <w:spacing w:after="30" w:before="30"/>
              <w:jc w:val="left"/>
            </w:pPr>
            <w:r>
              <w:rPr>
                <w:rFonts w:ascii="Arial" w:cs="Arial" w:eastAsia="Arial" w:hAnsi="Arial"/>
                <w:b/>
                <w:bCs/>
                <w:i w:val="false"/>
                <w:iCs w:val="false"/>
                <w:color w:val="1B3A6B"/>
                <w:sz w:val="22"/>
                <w:szCs w:val="22"/>
              </w:rPr>
              <w:t xml:space="preserve">En caso de duda sobre quién tiene autoridad sobre un contacto, el CO DECIDE.</w:t>
            </w:r>
          </w:p>
          <w:p>
            <w:pPr>
              <w:spacing w:after="30" w:before="30"/>
              <w:jc w:val="left"/>
            </w:pPr>
            <w:r>
              <w:rPr>
                <w:rFonts w:ascii="Arial" w:cs="Arial" w:eastAsia="Arial" w:hAnsi="Arial"/>
                <w:b w:val="false"/>
                <w:bCs w:val="false"/>
                <w:i w:val="false"/>
                <w:iCs w:val="false"/>
                <w:color w:val="000000"/>
                <w:sz w:val="10"/>
                <w:szCs w:val="10"/>
              </w:rPr>
              <w:t xml:space="preserve"> </w:t>
            </w:r>
          </w:p>
          <w:p>
            <w:pPr>
              <w:spacing w:after="30" w:before="30"/>
              <w:jc w:val="left"/>
            </w:pPr>
            <w:r>
              <w:rPr>
                <w:rFonts w:ascii="Arial" w:cs="Arial" w:eastAsia="Arial" w:hAnsi="Arial"/>
                <w:b w:val="false"/>
                <w:bCs w:val="false"/>
                <w:i w:val="false"/>
                <w:iCs w:val="false"/>
                <w:color w:val="444444"/>
                <w:sz w:val="21"/>
                <w:szCs w:val="21"/>
              </w:rPr>
              <w:t xml:space="preserve">Los PWC y el FPO NO deben disputar autoridad en tiempo real. Todo conflicto de autoridad se resuelve durante la planificación, no durante el contacto. Si no está escrito en las Standing Orders antes de zarpar, no existe.</w:t>
            </w:r>
          </w:p>
        </w:tc>
      </w:tr>
    </w:tbl>
    <w:p>
      <w:pPr>
        <w:spacing w:after="60" w:before="0"/>
        <w:jc w:val="left"/>
      </w:pPr>
      <w:r>
        <w:rPr>
          <w:rFonts w:ascii="Arial" w:cs="Arial" w:eastAsia="Arial" w:hAnsi="Arial"/>
          <w:b w:val="false"/>
          <w:bCs w:val="false"/>
          <w:i w:val="false"/>
          <w:iCs w:val="false"/>
          <w:color w:val="000000"/>
          <w:sz w:val="22"/>
          <w:szCs w:val="22"/>
        </w:rPr>
        <w:t xml:space="preserve"/>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4" w:space="1"/>
      </w:pBdr>
      <w:spacing w:after="0" w:before="0"/>
      <w:jc w:val="center"/>
    </w:pPr>
    <w:r>
      <w:rPr>
        <w:rFonts w:ascii="Arial" w:cs="Arial" w:eastAsia="Arial" w:hAnsi="Arial"/>
        <w:b w:val="false"/>
        <w:bCs w:val="false"/>
        <w:i w:val="false"/>
        <w:iCs w:val="false"/>
        <w:color w:val="888888"/>
        <w:sz w:val="18"/>
        <w:szCs w:val="18"/>
      </w:rPr>
      <w:t xml:space="preserve">OFFICIAL – SENSITIVE   |   Prepared by Force Protection Staff   |   Page </w:t>
    </w:r>
    <w:r>
      <w:rPr>
        <w:rFonts w:ascii="Arial" w:cs="Arial" w:eastAsia="Arial" w:hAnsi="Arial"/>
        <w:color w:val="888888"/>
        <w:sz w:val="18"/>
        <w:szCs w:val="18"/>
      </w:rPr>
      <w:fldChar w:fldCharType="begin"/>
      <w:instrText xml:space="preserve">PAGE</w:instrText>
      <w:fldChar w:fldCharType="separate"/>
      <w:fldChar w:fldCharType="end"/>
    </w:r>
    <w:r>
      <w:rPr>
        <w:rFonts w:ascii="Arial" w:cs="Arial" w:eastAsia="Arial" w:hAnsi="Arial"/>
        <w:b w:val="false"/>
        <w:bCs w:val="false"/>
        <w:i w:val="false"/>
        <w:iCs w:val="false"/>
        <w:color w:val="888888"/>
        <w:sz w:val="18"/>
        <w:szCs w:val="18"/>
      </w:rPr>
      <w:t xml:space="preserve"> of </w:t>
    </w:r>
    <w:r>
      <w:rPr>
        <w:rFonts w:ascii="Arial" w:cs="Arial" w:eastAsia="Arial" w:hAnsi="Arial"/>
        <w:color w:val="888888"/>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7200"/>
      <w:gridCol w:w="2880"/>
    </w:tblGrid>
    <w:tr>
      <w:tc>
        <w:tcPr>
          <w:tcBorders>
            <w:top w:val="none" w:color="FFFFFF" w:sz="0"/>
            <w:left w:val="none" w:color="FFFFFF" w:sz="0"/>
            <w:bottom w:val="none" w:color="FFFFFF" w:sz="0"/>
            <w:right w:val="none" w:color="FFFFFF" w:sz="0"/>
          </w:tcBorders>
          <w:shd w:fill="1B3A6B" w:val="clear"/>
          <w:tcMar>
            <w:top w:type="dxa" w:w="120"/>
            <w:left w:type="dxa" w:w="200"/>
            <w:bottom w:type="dxa" w:w="120"/>
            <w:right w:type="dxa" w:w="80"/>
          </w:tcMar>
        </w:tcPr>
        <w:p>
          <w:pPr>
            <w:spacing w:after="0" w:before="0"/>
            <w:jc w:val="left"/>
          </w:pPr>
          <w:r>
            <w:rPr>
              <w:rFonts w:ascii="Arial" w:cs="Arial" w:eastAsia="Arial" w:hAnsi="Arial"/>
              <w:b/>
              <w:bCs/>
              <w:i w:val="false"/>
              <w:iCs w:val="false"/>
              <w:color w:val="FFFFFF"/>
              <w:sz w:val="18"/>
              <w:szCs w:val="18"/>
            </w:rPr>
            <w:t xml:space="preserve">ROYAL NAVY  |  FORCE PROTECTION vs PWC COORDINATION</w:t>
          </w:r>
        </w:p>
      </w:tc>
      <w:tc>
        <w:tcPr>
          <w:tcBorders>
            <w:top w:val="none" w:color="FFFFFF" w:sz="0"/>
            <w:left w:val="none" w:color="FFFFFF" w:sz="0"/>
            <w:bottom w:val="none" w:color="FFFFFF" w:sz="0"/>
            <w:right w:val="none" w:color="FFFFFF" w:sz="0"/>
          </w:tcBorders>
          <w:shd w:fill="C49A1A" w:val="clear"/>
          <w:tcMar>
            <w:top w:type="dxa" w:w="120"/>
            <w:left w:type="dxa" w:w="80"/>
            <w:bottom w:type="dxa" w:w="120"/>
            <w:right w:type="dxa" w:w="200"/>
          </w:tcMar>
        </w:tcPr>
        <w:p>
          <w:pPr>
            <w:spacing w:after="0" w:before="0"/>
            <w:jc w:val="right"/>
          </w:pPr>
          <w:r>
            <w:rPr>
              <w:rFonts w:ascii="Arial" w:cs="Arial" w:eastAsia="Arial" w:hAnsi="Arial"/>
              <w:b w:val="false"/>
              <w:bCs w:val="false"/>
              <w:i w:val="false"/>
              <w:iCs w:val="false"/>
              <w:color w:val="FFFFFF"/>
              <w:sz w:val="18"/>
              <w:szCs w:val="18"/>
            </w:rPr>
            <w:t xml:space="preserve">NATO MTP 1 Vol I Reference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Arial" w:cs="Arial" w:eastAsia="Arial" w:hAnsi="Arial"/>
      <w:b/>
      <w:bCs/>
      <w:color w:val="1B3A6B"/>
      <w:sz w:val="34"/>
      <w:szCs w:val="34"/>
    </w:rPr>
  </w:style>
  <w:style w:type="paragraph" w:styleId="Heading2">
    <w:name w:val="Heading 2"/>
    <w:basedOn w:val="Normal"/>
    <w:next w:val="Normal"/>
    <w:qFormat/>
    <w:pPr>
      <w:spacing w:after="80" w:before="200"/>
      <w:outlineLvl w:val="1"/>
    </w:pPr>
    <w:rPr>
      <w:rFonts w:ascii="Arial" w:cs="Arial" w:eastAsia="Arial" w:hAnsi="Arial"/>
      <w:b/>
      <w:bCs/>
      <w:color w:val="1B3A6B"/>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2026-04-22T16:41:56.472Z</dcterms:created>
  <dcterms:modified xsi:type="dcterms:W3CDTF">2026-04-22T16:41:56.473Z</dcterms:modified>
</cp:coreProperties>
</file>

<file path=docProps/custom.xml><?xml version="1.0" encoding="utf-8"?>
<Properties xmlns="http://schemas.openxmlformats.org/officeDocument/2006/custom-properties" xmlns:vt="http://schemas.openxmlformats.org/officeDocument/2006/docPropsVTypes"/>
</file>