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sz w:val="18"/>
          <w:szCs w:val="18"/>
        </w:rPr>
      </w:pPr>
      <w:r w:rsidDel="00000000" w:rsidR="00000000" w:rsidRPr="00000000">
        <w:rPr>
          <w:sz w:val="18"/>
          <w:szCs w:val="18"/>
          <w:rtl w:val="0"/>
        </w:rPr>
        <w:t xml:space="preserve">Por: Clemente Muirhead Escala</w:t>
      </w:r>
    </w:p>
    <w:p w:rsidR="00000000" w:rsidDel="00000000" w:rsidP="00000000" w:rsidRDefault="00000000" w:rsidRPr="00000000" w14:paraId="00000002">
      <w:pPr>
        <w:jc w:val="left"/>
        <w:rPr>
          <w:b w:val="1"/>
          <w:bCs w:val="1"/>
          <w:sz w:val="24"/>
          <w:szCs w:val="24"/>
        </w:rPr>
      </w:pPr>
      <w:r w:rsidDel="00000000" w:rsidR="00000000" w:rsidRPr="00000000">
        <w:rPr>
          <w:rtl w:val="0"/>
        </w:rPr>
      </w:r>
    </w:p>
    <w:p w:rsidR="00000000" w:rsidDel="00000000" w:rsidP="00000000" w:rsidRDefault="00000000" w:rsidRPr="00000000" w14:paraId="00000003">
      <w:pPr>
        <w:jc w:val="left"/>
        <w:rPr>
          <w:b w:val="1"/>
          <w:bCs w:val="1"/>
          <w:sz w:val="20"/>
          <w:szCs w:val="20"/>
        </w:rPr>
      </w:pPr>
      <w:r w:rsidDel="00000000" w:rsidR="00000000" w:rsidRPr="00000000">
        <w:rPr>
          <w:b w:val="1"/>
          <w:bCs w:val="1"/>
          <w:sz w:val="38"/>
          <w:szCs w:val="38"/>
          <w:rtl w:val="0"/>
        </w:rPr>
        <w:t xml:space="preserve">Optimización y Eficiencia en Unidades Navales</w:t>
      </w:r>
      <w:r w:rsidDel="00000000" w:rsidR="00000000" w:rsidRPr="00000000">
        <w:rPr>
          <w:rtl w:val="0"/>
        </w:rPr>
      </w:r>
    </w:p>
    <w:p w:rsidR="00000000" w:rsidDel="00000000" w:rsidP="00000000" w:rsidRDefault="00000000" w:rsidRPr="00000000" w14:paraId="00000004">
      <w:pPr>
        <w:rPr>
          <w:b w:val="1"/>
          <w:bCs w:val="1"/>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La eficiencia se ha convertido en uno de los pilares fundamentales en la operación de las marinas modernas. El aumento sostenido del costo del combustible, las exigencias medioambientales internacionales hacen que esto sea necesario. El artículo detalla la iniciativa </w:t>
      </w:r>
      <w:r w:rsidDel="00000000" w:rsidR="00000000" w:rsidRPr="00000000">
        <w:rPr>
          <w:rtl w:val="0"/>
        </w:rPr>
        <w:t xml:space="preserve">Optimising Fleet Fuel Usage</w:t>
      </w:r>
      <w:r w:rsidDel="00000000" w:rsidR="00000000" w:rsidRPr="00000000">
        <w:rPr>
          <w:rtl w:val="0"/>
        </w:rPr>
        <w:t xml:space="preserve">, creada en 2006 por la Marina Real Británica para mitigar los recortes presupuestarios y el alza en el precio del combustible que tomo fuerza en el 2007. El objetivo central era recuperar un 20% de actividad de la flota sin aumentar las asignaciones o consumo de combustible, mediante la mejora de la eficiencia hidrodinámica.</w:t>
      </w:r>
    </w:p>
    <w:p w:rsidR="00000000" w:rsidDel="00000000" w:rsidP="00000000" w:rsidRDefault="00000000" w:rsidRPr="00000000" w14:paraId="00000006">
      <w:pPr>
        <w:spacing w:after="240" w:before="240" w:lineRule="auto"/>
        <w:jc w:val="both"/>
        <w:rPr/>
      </w:pPr>
      <w:r w:rsidDel="00000000" w:rsidR="00000000" w:rsidRPr="00000000">
        <w:rPr>
          <w:rtl w:val="0"/>
        </w:rPr>
        <w:t xml:space="preserve">El texto describe cómo la Armada Británica ha implementado una serie de mejoras orientadas a reducir el consumo de combustible sin comprometer la capacidad de combate, osea sin sacar armamento para reducir el desplazamiento. Las medidas clave incluyeron gestión del fouling que es la implementación de pinturas de "liberación de incrustaciones", que permiten que los organismos se desprendan al navegar a velocidades de 10-15 nudos. Otra manera de mejora es mediante un monitoreo técnico que se basa en el uso de unl sistema basado en la medición del aumento de la potencia del eje y detectar cuándo la resistencia del casco supera el 18%, indicando la necesidad de limpieza o navegación a alta velocidad. Tambien se puede realizar modificaciones físicas como la instalación de flaps de espejo (Stern flaps), que reducen la resistencia hasta en un 13% a altas velocidades, y el pulido anual de hélices. Por ultimo cambios en el comportamiento de las tripulaciones respecto al trimado (asiento) y la reducción de peso muerto innecesario.</w:t>
      </w:r>
    </w:p>
    <w:p w:rsidR="00000000" w:rsidDel="00000000" w:rsidP="00000000" w:rsidRDefault="00000000" w:rsidRPr="00000000" w14:paraId="00000007">
      <w:pPr>
        <w:spacing w:after="240" w:before="240" w:lineRule="auto"/>
        <w:jc w:val="both"/>
        <w:rPr/>
      </w:pPr>
      <w:r w:rsidDel="00000000" w:rsidR="00000000" w:rsidRPr="00000000">
        <w:rPr>
          <w:rtl w:val="0"/>
        </w:rPr>
        <w:t xml:space="preserve">La principal ventaja es la sostenibilidad económica, ya que el texto dice que “en 10 años, la flota ahorraría aproximadamente 60 millones de libras en combustible, considerando un costo de combustible de 500 libras por metro cúbico”. Sin embargo una gran desventaja es el momento de inactividad del buque, momento en el que el buque queda sin movimiento por un largo periodo de tiempo las incrustaciones calcáreas pueden perforar el recubrimiento de silicona, volviéndolo ineficaz. Asimismo, existe una dependencia de la velocidad, si una unidad no puede alcanzar el umbral de limpieza (por fallas mecánicas), el ensuciamiento empeora rápidamente.</w:t>
      </w:r>
    </w:p>
    <w:p w:rsidR="00000000" w:rsidDel="00000000" w:rsidP="00000000" w:rsidRDefault="00000000" w:rsidRPr="00000000" w14:paraId="00000008">
      <w:pPr>
        <w:spacing w:after="240" w:before="240" w:lineRule="auto"/>
        <w:jc w:val="both"/>
        <w:rPr/>
      </w:pPr>
      <w:r w:rsidDel="00000000" w:rsidR="00000000" w:rsidRPr="00000000">
        <w:rPr>
          <w:rtl w:val="0"/>
        </w:rPr>
        <w:t xml:space="preserve">La presencia de Transom Flaps se podría aplicar al la armada de chile, ya que los mismos buques en los que se hicieron los test de validación son lo que hay acá en chile, como los son las fragatas tipo 23.</w:t>
      </w:r>
    </w:p>
    <w:p w:rsidR="00000000" w:rsidDel="00000000" w:rsidP="00000000" w:rsidRDefault="00000000" w:rsidRPr="00000000" w14:paraId="00000009">
      <w:pPr>
        <w:spacing w:after="240" w:before="240" w:lineRule="auto"/>
        <w:jc w:val="both"/>
        <w:rPr/>
      </w:pPr>
      <w:r w:rsidDel="00000000" w:rsidR="00000000" w:rsidRPr="00000000">
        <w:rPr>
          <w:rtl w:val="0"/>
        </w:rPr>
        <w:t xml:space="preserve">Para finalizar Chile pose un litoral con variaciones termicas de todo tipo, desde norte a sur, con despliegues internacionales en ejercicios como RIMPAC o UNITAS donde se ven mas afectados a riesgos de fouling. La adopción de pinturas </w:t>
      </w:r>
      <w:r w:rsidDel="00000000" w:rsidR="00000000" w:rsidRPr="00000000">
        <w:rPr>
          <w:i w:val="1"/>
          <w:iCs w:val="1"/>
          <w:rtl w:val="0"/>
        </w:rPr>
        <w:t xml:space="preserve">foul release</w:t>
      </w:r>
      <w:r w:rsidDel="00000000" w:rsidR="00000000" w:rsidRPr="00000000">
        <w:rPr>
          <w:rtl w:val="0"/>
        </w:rPr>
        <w:t xml:space="preserve"> permitiría que las unidades chilenas mantengan su velocidad máxima de combate y su eficiencia durante largos tránsitos transoceánicos.</w:t>
      </w:r>
    </w:p>
    <w:p w:rsidR="00000000" w:rsidDel="00000000" w:rsidP="00000000" w:rsidRDefault="00000000" w:rsidRPr="00000000" w14:paraId="0000000A">
      <w:pPr>
        <w:spacing w:after="240" w:before="240" w:lineRule="auto"/>
        <w:jc w:val="both"/>
        <w:rPr/>
      </w:pPr>
      <w:r w:rsidDel="00000000" w:rsidR="00000000" w:rsidRPr="00000000">
        <w:rPr>
          <w:rtl w:val="0"/>
        </w:rPr>
      </w:r>
    </w:p>
    <w:p w:rsidR="00000000" w:rsidDel="00000000" w:rsidP="00000000" w:rsidRDefault="00000000" w:rsidRPr="00000000" w14:paraId="0000000B">
      <w:pPr>
        <w:rPr>
          <w:b w:val="1"/>
          <w:bCs w:val="1"/>
        </w:rPr>
      </w:pPr>
      <w:r w:rsidDel="00000000" w:rsidR="00000000" w:rsidRPr="00000000">
        <w:rPr>
          <w:rtl w:val="0"/>
        </w:rPr>
      </w:r>
    </w:p>
    <w:sectPr>
      <w:headerReference r:id="rId6" w:type="default"/>
      <w:headerReference r:id="rId7" w:type="first"/>
      <w:footerReference r:id="rId8" w:type="firs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C">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wp:posOffset>
          </wp:positionH>
          <wp:positionV relativeFrom="paragraph">
            <wp:posOffset>-342899</wp:posOffset>
          </wp:positionV>
          <wp:extent cx="553415" cy="642938"/>
          <wp:effectExtent b="0" l="0" r="0" t="0"/>
          <wp:wrapNone/>
          <wp:docPr id="1" name="image1.png"/>
          <a:graphic>
            <a:graphicData uri="http://schemas.openxmlformats.org/drawingml/2006/picture">
              <pic:pic>
                <pic:nvPicPr>
                  <pic:cNvPr id="0" name="image1.png"/>
                  <pic:cNvPicPr preferRelativeResize="0"/>
                </pic:nvPicPr>
                <pic:blipFill>
                  <a:blip r:embed="rId1"/>
                  <a:srcRect b="8569" l="5654" r="3180" t="0"/>
                  <a:stretch>
                    <a:fillRect/>
                  </a:stretch>
                </pic:blipFill>
                <pic:spPr>
                  <a:xfrm>
                    <a:off x="0" y="0"/>
                    <a:ext cx="553415" cy="642938"/>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