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F2180" w:rsidRDefault="00000000">
      <w:pPr>
        <w:pStyle w:val="Ttulo1"/>
        <w:jc w:val="center"/>
      </w:pPr>
      <w:r>
        <w:t>MEMORÁNDUM DIPLOMÁTICO/N°001</w:t>
      </w:r>
      <w:r>
        <w:br/>
      </w:r>
    </w:p>
    <w:p w14:paraId="00000002" w14:textId="77777777" w:rsidR="00CF2180" w:rsidRDefault="00000000">
      <w:r>
        <w:rPr>
          <w:b/>
        </w:rPr>
        <w:t>Referencia:</w:t>
      </w:r>
      <w:r>
        <w:t xml:space="preserve"> </w:t>
      </w:r>
    </w:p>
    <w:p w14:paraId="00000003" w14:textId="77777777" w:rsidR="00CF2180" w:rsidRDefault="00000000">
      <w:pPr>
        <w:numPr>
          <w:ilvl w:val="0"/>
          <w:numId w:val="1"/>
        </w:numPr>
        <w:spacing w:after="0" w:line="240" w:lineRule="auto"/>
      </w:pPr>
      <w:r>
        <w:t>UNSC 1377</w:t>
      </w:r>
    </w:p>
    <w:p w14:paraId="00000004" w14:textId="77777777" w:rsidR="00CF2180" w:rsidRDefault="00000000">
      <w:pPr>
        <w:numPr>
          <w:ilvl w:val="0"/>
          <w:numId w:val="1"/>
        </w:numPr>
        <w:spacing w:after="0" w:line="240" w:lineRule="auto"/>
      </w:pPr>
      <w:r>
        <w:t>UNSC 1378</w:t>
      </w:r>
    </w:p>
    <w:p w14:paraId="00000005" w14:textId="77777777" w:rsidR="00CF2180" w:rsidRDefault="00CF2180">
      <w:pPr>
        <w:spacing w:after="0" w:line="240" w:lineRule="auto"/>
        <w:ind w:left="720"/>
      </w:pPr>
    </w:p>
    <w:p w14:paraId="00000006" w14:textId="77777777" w:rsidR="00CF2180" w:rsidRDefault="00000000">
      <w:pPr>
        <w:jc w:val="both"/>
      </w:pPr>
      <w:r>
        <w:rPr>
          <w:b/>
        </w:rPr>
        <w:t>Remitente:</w:t>
      </w:r>
      <w:r>
        <w:t xml:space="preserve"> Oficina del Representante Especial del Secretario General de UNSC para la Repúblicas de </w:t>
      </w:r>
      <w:proofErr w:type="spellStart"/>
      <w:r>
        <w:t>Canopus</w:t>
      </w:r>
      <w:proofErr w:type="spellEnd"/>
      <w:r>
        <w:t xml:space="preserve"> y </w:t>
      </w:r>
      <w:proofErr w:type="spellStart"/>
      <w:r>
        <w:t>Pollux</w:t>
      </w:r>
      <w:proofErr w:type="spellEnd"/>
      <w:r>
        <w:t>.</w:t>
      </w:r>
    </w:p>
    <w:p w14:paraId="00000007" w14:textId="77777777" w:rsidR="00CF2180" w:rsidRDefault="00000000">
      <w:r>
        <w:t xml:space="preserve">Destinatarios: </w:t>
      </w:r>
    </w:p>
    <w:p w14:paraId="00000008" w14:textId="77777777" w:rsidR="00CF2180" w:rsidRDefault="00000000">
      <w:pPr>
        <w:numPr>
          <w:ilvl w:val="0"/>
          <w:numId w:val="2"/>
        </w:numPr>
        <w:spacing w:after="0"/>
      </w:pPr>
      <w:r>
        <w:t>CTF 159.</w:t>
      </w:r>
    </w:p>
    <w:p w14:paraId="00000009" w14:textId="77777777" w:rsidR="00CF2180" w:rsidRDefault="00000000">
      <w:pPr>
        <w:numPr>
          <w:ilvl w:val="0"/>
          <w:numId w:val="2"/>
        </w:numPr>
        <w:spacing w:after="0"/>
      </w:pPr>
      <w:r>
        <w:t xml:space="preserve">Ministerio de Asuntos Exteriores del Reino de </w:t>
      </w:r>
      <w:proofErr w:type="spellStart"/>
      <w:r>
        <w:t>Pollux</w:t>
      </w:r>
      <w:proofErr w:type="spellEnd"/>
      <w:r>
        <w:t>.</w:t>
      </w:r>
    </w:p>
    <w:p w14:paraId="0000000A" w14:textId="77777777" w:rsidR="00CF2180" w:rsidRDefault="00000000">
      <w:pPr>
        <w:numPr>
          <w:ilvl w:val="0"/>
          <w:numId w:val="2"/>
        </w:numPr>
        <w:spacing w:after="0"/>
      </w:pPr>
      <w:r>
        <w:t xml:space="preserve">Ministerio de Defensa del Reino de </w:t>
      </w:r>
      <w:proofErr w:type="spellStart"/>
      <w:r>
        <w:t>Pollux</w:t>
      </w:r>
      <w:proofErr w:type="spellEnd"/>
      <w:r>
        <w:t>.</w:t>
      </w:r>
    </w:p>
    <w:p w14:paraId="0000000B" w14:textId="77777777" w:rsidR="00CF2180" w:rsidRDefault="00000000">
      <w:pPr>
        <w:numPr>
          <w:ilvl w:val="0"/>
          <w:numId w:val="2"/>
        </w:numPr>
        <w:spacing w:after="0"/>
      </w:pPr>
      <w:r>
        <w:t xml:space="preserve">Ministerio de Defensa de la República de </w:t>
      </w:r>
      <w:proofErr w:type="spellStart"/>
      <w:r>
        <w:t>Canopus</w:t>
      </w:r>
      <w:proofErr w:type="spellEnd"/>
      <w:r>
        <w:t>.</w:t>
      </w:r>
    </w:p>
    <w:p w14:paraId="0000000C" w14:textId="77777777" w:rsidR="00CF2180" w:rsidRDefault="00000000">
      <w:pPr>
        <w:numPr>
          <w:ilvl w:val="0"/>
          <w:numId w:val="2"/>
        </w:numPr>
        <w:spacing w:after="0"/>
      </w:pPr>
      <w:r>
        <w:t xml:space="preserve">Ministerio de Asuntos Exteriores del Reino de </w:t>
      </w:r>
      <w:proofErr w:type="spellStart"/>
      <w:r>
        <w:t>Canopus</w:t>
      </w:r>
      <w:proofErr w:type="spellEnd"/>
      <w:r>
        <w:t>.</w:t>
      </w:r>
    </w:p>
    <w:p w14:paraId="0000000D" w14:textId="77777777" w:rsidR="00CF2180" w:rsidRDefault="00000000">
      <w:pPr>
        <w:numPr>
          <w:ilvl w:val="0"/>
          <w:numId w:val="2"/>
        </w:numPr>
      </w:pPr>
      <w:r>
        <w:t>Secretario General de la Organización de Naciones Unidas.</w:t>
      </w:r>
    </w:p>
    <w:p w14:paraId="0000000E" w14:textId="03E55F63" w:rsidR="00CF2180" w:rsidRDefault="00000000">
      <w:r>
        <w:rPr>
          <w:b/>
        </w:rPr>
        <w:t>Fecha:</w:t>
      </w:r>
      <w:r>
        <w:t xml:space="preserve"> </w:t>
      </w:r>
      <w:r w:rsidR="0003717A">
        <w:t>05</w:t>
      </w:r>
      <w:r>
        <w:t xml:space="preserve"> de </w:t>
      </w:r>
      <w:r w:rsidR="0003717A">
        <w:t xml:space="preserve">noviembre </w:t>
      </w:r>
      <w:r>
        <w:t>de 2025.</w:t>
      </w:r>
    </w:p>
    <w:p w14:paraId="0000000F" w14:textId="77777777" w:rsidR="00CF2180" w:rsidRDefault="00000000">
      <w:r>
        <w:rPr>
          <w:b/>
        </w:rPr>
        <w:t>Clasificación</w:t>
      </w:r>
      <w:r>
        <w:t>: Restringido – Uso Oficial.</w:t>
      </w:r>
    </w:p>
    <w:p w14:paraId="00000010" w14:textId="77777777" w:rsidR="00CF2180" w:rsidRDefault="00000000">
      <w:pPr>
        <w:pStyle w:val="Ttulo2"/>
      </w:pPr>
      <w:r>
        <w:t>Asunto:</w:t>
      </w:r>
    </w:p>
    <w:p w14:paraId="00000011" w14:textId="27D59294" w:rsidR="00CF2180" w:rsidRDefault="00000000">
      <w:pPr>
        <w:jc w:val="both"/>
      </w:pPr>
      <w:r>
        <w:t xml:space="preserve">Notificación sobre el uso de Códigos de Señalización E.S.U.S. por parte de unidades navales de la TF 400 (TG 400.1) para advertencias progresivas ante contactos submarinos no identificados </w:t>
      </w:r>
      <w:r w:rsidR="0003717A">
        <w:t>dentro de la DMZ establecida de acuerdo a resolución 1377 de UNSC</w:t>
      </w:r>
      <w:r>
        <w:t>.</w:t>
      </w:r>
    </w:p>
    <w:p w14:paraId="00000012" w14:textId="684C2BCF" w:rsidR="00CF2180" w:rsidRDefault="00000000">
      <w:pPr>
        <w:jc w:val="both"/>
      </w:pPr>
      <w:r>
        <w:t xml:space="preserve">Notificación sobre la prohibición de ingreso a unidades combatientes de </w:t>
      </w:r>
      <w:proofErr w:type="spellStart"/>
      <w:r>
        <w:t>Pollux</w:t>
      </w:r>
      <w:proofErr w:type="spellEnd"/>
      <w:r>
        <w:t xml:space="preserve">, Aldebarán y </w:t>
      </w:r>
      <w:proofErr w:type="spellStart"/>
      <w:r w:rsidR="0003717A">
        <w:t>Canopus</w:t>
      </w:r>
      <w:proofErr w:type="spellEnd"/>
      <w:r>
        <w:t xml:space="preserve"> en </w:t>
      </w:r>
      <w:r w:rsidR="0003717A">
        <w:t>el interior de la DMZ</w:t>
      </w:r>
      <w:r>
        <w:t>.</w:t>
      </w:r>
    </w:p>
    <w:p w14:paraId="00000013" w14:textId="77777777" w:rsidR="00CF2180" w:rsidRDefault="00000000">
      <w:pPr>
        <w:pStyle w:val="Ttulo2"/>
      </w:pPr>
      <w:r>
        <w:t>1. Contexto.</w:t>
      </w:r>
    </w:p>
    <w:p w14:paraId="00000014" w14:textId="7DE08257" w:rsidR="00CF2180" w:rsidRDefault="00000000">
      <w:pPr>
        <w:jc w:val="both"/>
      </w:pPr>
      <w:r>
        <w:t xml:space="preserve">En el marco de la Operación aprobada por Resolución </w:t>
      </w:r>
      <w:r w:rsidR="0003717A">
        <w:t>1378</w:t>
      </w:r>
      <w:r>
        <w:t xml:space="preserve"> del Consejo de Seguridad de Naciones Unidas, y con base en la misión asignada a la </w:t>
      </w:r>
      <w:proofErr w:type="spellStart"/>
      <w:r>
        <w:t>Task</w:t>
      </w:r>
      <w:proofErr w:type="spellEnd"/>
      <w:r>
        <w:t xml:space="preserve"> </w:t>
      </w:r>
      <w:proofErr w:type="spellStart"/>
      <w:r>
        <w:t>Force</w:t>
      </w:r>
      <w:proofErr w:type="spellEnd"/>
      <w:r>
        <w:t xml:space="preserve"> 159, se informa oficialmente sobre los procedimientos estandarizados de advertencia que se utilizarán en las comunicaciones con unidades submarinas no identificadas o no cooperativas dentro de la DMZ marítima. Estas medidas buscan asegurar la transparencia y la proporcionalidad en la respuesta naval, priorizando la disuasión, el control de escalamiento y el respeto al Derecho Internacional Humanitario.</w:t>
      </w:r>
    </w:p>
    <w:p w14:paraId="00000015" w14:textId="1A5A8EFC" w:rsidR="00CF2180" w:rsidRDefault="00000000">
      <w:pPr>
        <w:jc w:val="both"/>
      </w:pPr>
      <w:r>
        <w:t xml:space="preserve">Ampliando estos procedimientos empleados por la ONU para ser utilizados </w:t>
      </w:r>
      <w:r w:rsidR="0003717A">
        <w:t>al interior de la DMZ</w:t>
      </w:r>
      <w:r>
        <w:t>, evitando dualidad de interpretaciones de una misma señal E.S.U.S.</w:t>
      </w:r>
    </w:p>
    <w:p w14:paraId="00000016" w14:textId="77777777" w:rsidR="00CF2180" w:rsidRDefault="00000000">
      <w:pPr>
        <w:pStyle w:val="Ttulo2"/>
      </w:pPr>
      <w:r>
        <w:t>2. Sobre los Códigos ESUS.</w:t>
      </w:r>
    </w:p>
    <w:p w14:paraId="00000017" w14:textId="6C2D8027" w:rsidR="00CF2180" w:rsidRDefault="00000000">
      <w:pPr>
        <w:jc w:val="both"/>
      </w:pPr>
      <w:r>
        <w:t xml:space="preserve">Las unidades asignadas al TG </w:t>
      </w:r>
      <w:r w:rsidR="0003717A">
        <w:t>159</w:t>
      </w:r>
      <w:r>
        <w:t>.1</w:t>
      </w:r>
      <w:r w:rsidR="0003717A">
        <w:t xml:space="preserve"> y TG 159.2</w:t>
      </w:r>
      <w:r>
        <w:t xml:space="preserve"> que se desplegará</w:t>
      </w:r>
      <w:r w:rsidR="0003717A">
        <w:t>n</w:t>
      </w:r>
      <w:r>
        <w:t xml:space="preserve"> </w:t>
      </w:r>
      <w:r w:rsidR="0003717A">
        <w:t xml:space="preserve">al interior de la DMZ, </w:t>
      </w:r>
      <w:r>
        <w:t>utilizarán E.S.U.S., que contempla una serie de mensajes progresivos con la finalidad de:</w:t>
      </w:r>
    </w:p>
    <w:p w14:paraId="00000018" w14:textId="77777777" w:rsidR="00CF2180" w:rsidRDefault="00000000">
      <w:r>
        <w:lastRenderedPageBreak/>
        <w:t>- Identificar y obtener información de submarinos detectados.</w:t>
      </w:r>
    </w:p>
    <w:p w14:paraId="00000019" w14:textId="77777777" w:rsidR="00CF2180" w:rsidRDefault="00000000">
      <w:r>
        <w:t>- Solicitar cumplimiento de protocolos de seguridad.</w:t>
      </w:r>
    </w:p>
    <w:p w14:paraId="0000001A" w14:textId="77777777" w:rsidR="00CF2180" w:rsidRDefault="00000000">
      <w:r>
        <w:t>- Disuadir acercamientos no autorizados hacia unidades propias.</w:t>
      </w:r>
    </w:p>
    <w:p w14:paraId="0000001B" w14:textId="77777777" w:rsidR="00CF2180" w:rsidRDefault="00000000">
      <w:r>
        <w:t>- Informar sobre posibles respuestas defensivas proporcionales ante amenazas inminentes.</w:t>
      </w:r>
    </w:p>
    <w:p w14:paraId="0000001C" w14:textId="77777777" w:rsidR="00CF2180" w:rsidRPr="00BE706E" w:rsidRDefault="00000000">
      <w:pPr>
        <w:rPr>
          <w:b/>
          <w:bCs/>
          <w:u w:val="single"/>
        </w:rPr>
      </w:pPr>
      <w:r w:rsidRPr="00BE706E">
        <w:rPr>
          <w:b/>
          <w:bCs/>
          <w:u w:val="single"/>
        </w:rPr>
        <w:t>Los mensajes están clasificados así:</w:t>
      </w:r>
    </w:p>
    <w:p w14:paraId="0000001D" w14:textId="7309859B" w:rsidR="00CF2180" w:rsidRPr="00BE706E" w:rsidRDefault="00000000" w:rsidP="0003717A">
      <w:proofErr w:type="spellStart"/>
      <w:r w:rsidRPr="00BE706E">
        <w:rPr>
          <w:b/>
          <w:bCs/>
        </w:rPr>
        <w:t>Code</w:t>
      </w:r>
      <w:proofErr w:type="spellEnd"/>
      <w:r w:rsidRPr="00BE706E">
        <w:rPr>
          <w:b/>
          <w:bCs/>
        </w:rPr>
        <w:t xml:space="preserve"> 1:</w:t>
      </w:r>
      <w:r w:rsidRPr="00BE706E">
        <w:t xml:space="preserve"> Identificación de submarino </w:t>
      </w:r>
      <w:r w:rsidR="0003717A" w:rsidRPr="00BE706E">
        <w:t>desconocido</w:t>
      </w:r>
      <w:r w:rsidRPr="00BE706E">
        <w:t xml:space="preserve"> en el interior DMZ. Requerimiento: aflorar y establecer comunicaciones por VHF CH-16.</w:t>
      </w:r>
      <w:r w:rsidRPr="00BE706E">
        <w:br/>
      </w:r>
      <w:proofErr w:type="spellStart"/>
      <w:r w:rsidRPr="00BE706E">
        <w:rPr>
          <w:b/>
          <w:bCs/>
        </w:rPr>
        <w:t>Code</w:t>
      </w:r>
      <w:proofErr w:type="spellEnd"/>
      <w:r w:rsidRPr="00BE706E">
        <w:rPr>
          <w:b/>
          <w:bCs/>
        </w:rPr>
        <w:t xml:space="preserve"> 2: </w:t>
      </w:r>
      <w:r w:rsidR="0003717A" w:rsidRPr="00BE706E">
        <w:t>Si Ud. No aflora será considerado un intento hostil. Aflore inmediatamente y establezca comunicaciones VHF- CH-16 / UWT / UQC</w:t>
      </w:r>
      <w:r w:rsidRPr="00BE706E">
        <w:t>.</w:t>
      </w:r>
      <w:r w:rsidRPr="00BE706E">
        <w:br/>
      </w:r>
      <w:proofErr w:type="spellStart"/>
      <w:r w:rsidRPr="00BE706E">
        <w:rPr>
          <w:b/>
          <w:bCs/>
        </w:rPr>
        <w:t>Code</w:t>
      </w:r>
      <w:proofErr w:type="spellEnd"/>
      <w:r w:rsidR="0003717A" w:rsidRPr="00BE706E">
        <w:rPr>
          <w:b/>
          <w:bCs/>
        </w:rPr>
        <w:t xml:space="preserve"> </w:t>
      </w:r>
      <w:r w:rsidRPr="00BE706E">
        <w:rPr>
          <w:b/>
          <w:bCs/>
        </w:rPr>
        <w:t xml:space="preserve">3: </w:t>
      </w:r>
      <w:r w:rsidR="0003717A" w:rsidRPr="00BE706E">
        <w:t>Ud. No cumplió con advertencias previas y su presencia constituye una amenaza inminente, por lo tanto, tomaré acciones</w:t>
      </w:r>
      <w:r w:rsidRPr="00BE706E">
        <w:t>.</w:t>
      </w:r>
      <w:r w:rsidR="0003717A" w:rsidRPr="00BE706E">
        <w:br/>
      </w:r>
      <w:proofErr w:type="spellStart"/>
      <w:r w:rsidRPr="00BE706E">
        <w:rPr>
          <w:b/>
          <w:bCs/>
        </w:rPr>
        <w:t>Code</w:t>
      </w:r>
      <w:proofErr w:type="spellEnd"/>
      <w:r w:rsidRPr="00BE706E">
        <w:rPr>
          <w:b/>
          <w:bCs/>
        </w:rPr>
        <w:t xml:space="preserve"> 4: </w:t>
      </w:r>
      <w:r w:rsidR="0003717A" w:rsidRPr="00BE706E">
        <w:t>Ud. No hizo caso a mis advertencias, ahora es considerado una amenaza para la Coalición y haré uso de la fuerza letal.</w:t>
      </w:r>
    </w:p>
    <w:p w14:paraId="0000001E" w14:textId="77777777" w:rsidR="00CF2180" w:rsidRDefault="00000000">
      <w:pPr>
        <w:pStyle w:val="Ttulo2"/>
      </w:pPr>
      <w:r>
        <w:t>3. Mensajes Estándar</w:t>
      </w:r>
    </w:p>
    <w:p w14:paraId="0000001F" w14:textId="0C4C095C" w:rsidR="00CF2180" w:rsidRDefault="00000000">
      <w:pPr>
        <w:jc w:val="both"/>
      </w:pPr>
      <w:r>
        <w:t xml:space="preserve">Cada código contiene un mensaje específico en idioma inglés y español, que será transmitido por canales abiertos (VHF CH-16) y grabado para control posterior. Se deja constancia que el incumplimiento reiterado de estas advertencias podrá ser interpretado como acto hostil, habilitando </w:t>
      </w:r>
      <w:r w:rsidR="0003717A">
        <w:t>el empleo de la fuerza letal</w:t>
      </w:r>
      <w:r>
        <w:t xml:space="preserve">, conforme a la Carta de las Naciones Unidas y las Reglas de Enfrentamiento (ROE) establecidas por el Comando de la TF </w:t>
      </w:r>
      <w:r w:rsidR="0003717A">
        <w:t>159</w:t>
      </w:r>
      <w:r>
        <w:t>.</w:t>
      </w:r>
    </w:p>
    <w:p w14:paraId="00000020" w14:textId="77777777" w:rsidR="00CF2180" w:rsidRDefault="00000000">
      <w:pPr>
        <w:pStyle w:val="Ttulo2"/>
      </w:pPr>
      <w:r>
        <w:t>4. Consideraciones Diplomáticas</w:t>
      </w:r>
    </w:p>
    <w:p w14:paraId="00000021" w14:textId="2EAF4A04" w:rsidR="00CF2180" w:rsidRDefault="00000000" w:rsidP="0003717A">
      <w:r>
        <w:t>- Este procedimiento será aplicado dentro de los límites de la Zona Desmilitarizada definida por la ONU.</w:t>
      </w:r>
      <w:r>
        <w:br/>
        <w:t xml:space="preserve">- Las unidades navales de </w:t>
      </w:r>
      <w:r w:rsidR="0003717A">
        <w:t>la Coalición</w:t>
      </w:r>
      <w:r>
        <w:t xml:space="preserve"> actuarán dentro del mandato de la TF </w:t>
      </w:r>
      <w:r w:rsidR="0003717A">
        <w:t>159</w:t>
      </w:r>
      <w:r>
        <w:t xml:space="preserve"> y bajo supervisión del MCC.</w:t>
      </w:r>
      <w:r>
        <w:br/>
        <w:t xml:space="preserve">- Se reitera el compromiso de </w:t>
      </w:r>
      <w:r w:rsidR="0003717A">
        <w:t>la Coalición</w:t>
      </w:r>
      <w:r>
        <w:t xml:space="preserve"> con el diálogo diplomático y la resolución pacífica de la crisis.</w:t>
      </w:r>
    </w:p>
    <w:p w14:paraId="00000022" w14:textId="77777777" w:rsidR="00CF2180" w:rsidRDefault="00000000">
      <w:pPr>
        <w:pStyle w:val="Ttulo2"/>
      </w:pPr>
      <w:r>
        <w:t>5. Solicitud</w:t>
      </w:r>
    </w:p>
    <w:p w14:paraId="00000023" w14:textId="77777777" w:rsidR="00CF2180" w:rsidRDefault="00000000">
      <w:pPr>
        <w:jc w:val="both"/>
      </w:pPr>
      <w:r>
        <w:t>Se solicita a los gobiernos receptores:</w:t>
      </w:r>
    </w:p>
    <w:p w14:paraId="00000024" w14:textId="77777777" w:rsidR="00CF2180" w:rsidRDefault="00000000">
      <w:pPr>
        <w:jc w:val="both"/>
      </w:pPr>
      <w:r>
        <w:t>- Informar a sus unidades navales y submarinas respecto a estos protocolos.</w:t>
      </w:r>
    </w:p>
    <w:p w14:paraId="00000025" w14:textId="76FD2F62" w:rsidR="00CF2180" w:rsidRDefault="00000000">
      <w:pPr>
        <w:jc w:val="both"/>
      </w:pPr>
      <w:r>
        <w:t xml:space="preserve">- Coordinar con </w:t>
      </w:r>
      <w:r w:rsidR="0003717A">
        <w:t>la oficina de asuntos internacionales de la U.N.</w:t>
      </w:r>
      <w:r>
        <w:t xml:space="preserve"> cualquier tránsito previsto dentro o cercano </w:t>
      </w:r>
      <w:r w:rsidR="0003717A">
        <w:t>a la DMZ</w:t>
      </w:r>
      <w:r>
        <w:t>.</w:t>
      </w:r>
    </w:p>
    <w:p w14:paraId="00000026" w14:textId="77777777" w:rsidR="00CF2180" w:rsidRDefault="00000000">
      <w:pPr>
        <w:jc w:val="both"/>
      </w:pPr>
      <w:r>
        <w:t>- Evitar maniobras que puedan ser malinterpretadas o aumentar el riesgo de incidentes.</w:t>
      </w:r>
    </w:p>
    <w:p w14:paraId="7A6EE20B" w14:textId="77777777" w:rsidR="0003717A" w:rsidRDefault="0003717A">
      <w:pPr>
        <w:pStyle w:val="Ttulo2"/>
      </w:pPr>
    </w:p>
    <w:p w14:paraId="00000027" w14:textId="6A0FC7BF" w:rsidR="00CF2180" w:rsidRDefault="00000000">
      <w:pPr>
        <w:pStyle w:val="Ttulo2"/>
      </w:pPr>
      <w:r>
        <w:t>6. Contacto</w:t>
      </w:r>
    </w:p>
    <w:p w14:paraId="00000028" w14:textId="06981DC3" w:rsidR="00CF2180" w:rsidRDefault="00000000" w:rsidP="0003717A">
      <w:r>
        <w:t>Para mayor información o coordinación operacional, se dispone el siguiente canal diplomático y militar:</w:t>
      </w:r>
      <w:r>
        <w:br/>
        <w:t>- Misión de Naciones Unidas en Valparaíso.</w:t>
      </w:r>
      <w:r>
        <w:br/>
        <w:t xml:space="preserve">- Oficial de Enlace Naval de </w:t>
      </w:r>
      <w:r w:rsidR="007441F4">
        <w:t>la Coalición</w:t>
      </w:r>
      <w:r>
        <w:t xml:space="preserve"> – CTF </w:t>
      </w:r>
      <w:r w:rsidR="007441F4">
        <w:t>159</w:t>
      </w:r>
      <w:r>
        <w:t xml:space="preserve"> (Valparaíso): </w:t>
      </w:r>
      <w:proofErr w:type="spellStart"/>
      <w:r>
        <w:t>Lt.Cmdr</w:t>
      </w:r>
      <w:proofErr w:type="spellEnd"/>
      <w:r>
        <w:t xml:space="preserve">. Osvaldo </w:t>
      </w:r>
      <w:proofErr w:type="spellStart"/>
      <w:r>
        <w:t>Gomez</w:t>
      </w:r>
      <w:proofErr w:type="spellEnd"/>
      <w:r>
        <w:t xml:space="preserve"> Vergara / Tel: +56956894609 / Email: ogomezv@cs.onu.com</w:t>
      </w:r>
    </w:p>
    <w:p w14:paraId="00000029" w14:textId="77777777" w:rsidR="00CF2180" w:rsidRDefault="00000000">
      <w:pPr>
        <w:jc w:val="both"/>
      </w:pPr>
      <w:r>
        <w:t xml:space="preserve">                                                          </w:t>
      </w:r>
    </w:p>
    <w:p w14:paraId="0000002A" w14:textId="77777777" w:rsidR="00CF2180" w:rsidRDefault="00000000">
      <w:r>
        <w:t xml:space="preserve">                                                               </w:t>
      </w:r>
      <w:r>
        <w:rPr>
          <w:b/>
        </w:rPr>
        <w:t>Firmado</w:t>
      </w:r>
    </w:p>
    <w:sectPr w:rsidR="00CF2180">
      <w:pgSz w:w="12240" w:h="15840"/>
      <w:pgMar w:top="708" w:right="1800" w:bottom="1440" w:left="180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21D2B750-FCC5-4E4B-A231-AE6B76A5A2E8}"/>
    <w:embedBold r:id="rId2" w:fontKey="{589728EA-CBA0-D14E-BE25-B64085FBC561}"/>
    <w:embedItalic r:id="rId3" w:fontKey="{BBB46BF0-B306-D24F-9A0A-245D5A753246}"/>
    <w:embedBoldItalic r:id="rId4" w:fontKey="{E58C732F-CD3C-CD45-BF2B-908EC0C0A8FE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5" w:fontKey="{E36978C4-DC94-2E4D-8856-762688C8A131}"/>
    <w:embedBold r:id="rId6" w:fontKey="{93635CAF-9E06-FB4F-B048-490516F9D802}"/>
    <w:embedItalic r:id="rId7" w:fontKey="{B9C7FA63-01E3-FF4B-872C-3898CC7ED866}"/>
    <w:embedBoldItalic r:id="rId8" w:fontKey="{C8D1D1A5-2871-854C-9754-E10FC8FF65C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C61A6164-5AE0-EF46-A85D-95E799974B9A}"/>
    <w:embedBold r:id="rId10" w:fontKey="{3C98CC39-0225-BD45-88A9-10CC1C520BB9}"/>
    <w:embedItalic r:id="rId11" w:fontKey="{9F841993-810B-C84E-A2E0-D0CFE18BA453}"/>
    <w:embedBoldItalic r:id="rId12" w:fontKey="{5833C918-54F9-B346-9030-3FCC6A5F818A}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13" w:fontKey="{5A87328C-7EBE-744A-A491-2BBDE656381D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4" w:fontKey="{8DFDF0A8-2C85-A242-A029-29EE6658E5B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012C4D"/>
    <w:multiLevelType w:val="multilevel"/>
    <w:tmpl w:val="79B47EE4"/>
    <w:lvl w:ilvl="0">
      <w:start w:val="1"/>
      <w:numFmt w:val="bullet"/>
      <w:pStyle w:val="Listaconvietas2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D420219"/>
    <w:multiLevelType w:val="multilevel"/>
    <w:tmpl w:val="3A5C3C70"/>
    <w:lvl w:ilvl="0">
      <w:start w:val="1"/>
      <w:numFmt w:val="bullet"/>
      <w:pStyle w:val="Listaconvietas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BB8173C"/>
    <w:multiLevelType w:val="multilevel"/>
    <w:tmpl w:val="0BA2A744"/>
    <w:lvl w:ilvl="0">
      <w:start w:val="1"/>
      <w:numFmt w:val="decimal"/>
      <w:pStyle w:val="Listaconvietas3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17554593">
    <w:abstractNumId w:val="1"/>
  </w:num>
  <w:num w:numId="2" w16cid:durableId="1487473020">
    <w:abstractNumId w:val="0"/>
  </w:num>
  <w:num w:numId="3" w16cid:durableId="831524653">
    <w:abstractNumId w:val="2"/>
  </w:num>
  <w:num w:numId="4" w16cid:durableId="16879050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971907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51866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180"/>
    <w:rsid w:val="0003717A"/>
    <w:rsid w:val="007441F4"/>
    <w:rsid w:val="00BE706E"/>
    <w:rsid w:val="00CF2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0941073"/>
  <w15:docId w15:val="{45EDBDC7-D8EC-5C43-92BD-EA27C022F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CL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Calibri" w:eastAsia="Calibri" w:hAnsi="Calibri" w:cs="Calibri"/>
      <w:b/>
      <w:color w:val="366091"/>
      <w:sz w:val="28"/>
      <w:szCs w:val="2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="Calibri" w:eastAsia="Calibri" w:hAnsi="Calibri" w:cs="Calibri"/>
      <w:b/>
      <w:color w:val="4F81BD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Calibri" w:hAnsi="Calibri" w:cs="Calibri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Calibri" w:hAnsi="Calibri" w:cs="Calibri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Calibri" w:hAnsi="Calibri" w:cs="Calibri"/>
      <w:i/>
      <w:color w:val="243F6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Car">
    <w:name w:val="Título Car"/>
    <w:basedOn w:val="Fuentedeprrafopredeter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tuloCar">
    <w:name w:val="Subtítulo Car"/>
    <w:basedOn w:val="Fuentedeprrafopredeter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next w:val="Normal"/>
    <w:uiPriority w:val="39"/>
    <w:semiHidden/>
    <w:unhideWhenUsed/>
    <w:qFormat/>
    <w:rsid w:val="00FC693F"/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Subttulo">
    <w:name w:val="Subtitle"/>
    <w:basedOn w:val="Normal"/>
    <w:next w:val="Normal"/>
    <w:uiPriority w:val="11"/>
    <w:qFormat/>
    <w:rPr>
      <w:rFonts w:ascii="Calibri" w:eastAsia="Calibri" w:hAnsi="Calibri" w:cs="Calibri"/>
      <w:i/>
      <w:color w:val="4F81B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PnrsFB8pbRHOCOi5WremMoydRQ==">CgMxLjA4AHIhMXJodlAwemlBdmJET1pweVVGNUxLb0t2Uy12aE1JeGpV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658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Carlos Chandía Schuffeneger</cp:lastModifiedBy>
  <cp:revision>3</cp:revision>
  <dcterms:created xsi:type="dcterms:W3CDTF">2025-08-07T22:20:00Z</dcterms:created>
  <dcterms:modified xsi:type="dcterms:W3CDTF">2025-11-07T15:33:00Z</dcterms:modified>
</cp:coreProperties>
</file>