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Contribución de un Buque de Combate a la Maniobra Conjunta</w:t>
      </w:r>
    </w:p>
    <w:p>
      <w:pPr>
        <w:pStyle w:val="Heading1"/>
      </w:pPr>
      <w:r>
        <w:t>1. Control y negación del espacio aéreo (A2AD marítimo)</w:t>
      </w:r>
    </w:p>
    <w:p>
      <w:r>
        <w:t>El buque proyecta una burbuja de defensa aérea de área (SM-2) que protege bases, puertos y fuerzas, extendiendo la defensa hacia el mar y generando zonas de exclusión aérea.</w:t>
      </w:r>
    </w:p>
    <w:p>
      <w:pPr>
        <w:pStyle w:val="Heading1"/>
      </w:pPr>
      <w:r>
        <w:t>2. Integración al combate aire-aire</w:t>
      </w:r>
    </w:p>
    <w:p>
      <w:r>
        <w:t>Actúa como sensor adelantado, alimentando mediante Link 16 a cazas y centros de mando, permitiendo detección temprana y mejorando la eficiencia de interceptaciones.</w:t>
      </w:r>
    </w:p>
    <w:p>
      <w:pPr>
        <w:pStyle w:val="Heading1"/>
      </w:pPr>
      <w:r>
        <w:t>3. Picture compilation y C2 distribuido</w:t>
      </w:r>
    </w:p>
    <w:p>
      <w:r>
        <w:t>Construye y distribuye el panorama operacional (RAP/RMP), permitiendo mejor toma de decisiones y control del combate conjunto.</w:t>
      </w:r>
    </w:p>
    <w:p>
      <w:pPr>
        <w:pStyle w:val="Heading1"/>
      </w:pPr>
      <w:r>
        <w:t>4. Defensa de la fuerza conjunta</w:t>
      </w:r>
    </w:p>
    <w:p>
      <w:r>
        <w:t>Protege fuerzas anfibias, convoyes y unidades cercanas al litoral, permitiendo libertad de acción en operaciones conjuntas.</w:t>
      </w:r>
    </w:p>
    <w:p>
      <w:pPr>
        <w:pStyle w:val="Heading1"/>
      </w:pPr>
      <w:r>
        <w:t>5. Control del mar (Sea Control ofensivo)</w:t>
      </w:r>
    </w:p>
    <w:p>
      <w:r>
        <w:t>Mediante misiles Harpoon, niega el uso del mar al adversario y complementa operaciones con aviación y submarinos.</w:t>
      </w:r>
    </w:p>
    <w:p>
      <w:pPr>
        <w:pStyle w:val="Heading1"/>
      </w:pPr>
      <w:r>
        <w:t>6. Guerra antisubmarina</w:t>
      </w:r>
    </w:p>
    <w:p>
      <w:r>
        <w:t>Protege líneas logísticas y grupos de tarea, asegurando libertad de maniobra en el dominio marítimo.</w:t>
      </w:r>
    </w:p>
    <w:p>
      <w:pPr>
        <w:pStyle w:val="Heading1"/>
      </w:pPr>
      <w:r>
        <w:t>7. Apoyo de fuegos navales (NGFS)</w:t>
      </w:r>
    </w:p>
    <w:p>
      <w:r>
        <w:t>Apoya fuerzas terrestres y operaciones anfibias con fuego naval, especialmente en escenarios litorales.</w:t>
      </w:r>
    </w:p>
    <w:p>
      <w:pPr>
        <w:pStyle w:val="Heading1"/>
      </w:pPr>
      <w:r>
        <w:t>8. Disuasión estratégica</w:t>
      </w:r>
    </w:p>
    <w:p>
      <w:r>
        <w:t>Incrementa el costo para el adversario mediante su capacidad AAW y presencia operativa.</w:t>
      </w:r>
    </w:p>
    <w:p>
      <w:pPr>
        <w:pStyle w:val="Heading1"/>
      </w:pPr>
      <w:r>
        <w:t>9. Plataforma de mando</w:t>
      </w:r>
    </w:p>
    <w:p>
      <w:r>
        <w:t>Puede actuar como nodo de mando táctico, coordinando la defensa aérea local.</w:t>
      </w:r>
    </w:p>
    <w:p>
      <w:pPr>
        <w:pStyle w:val="Heading1"/>
      </w:pPr>
      <w:r>
        <w:t>Resumen tipo PWO</w:t>
      </w:r>
    </w:p>
    <w:p>
      <w:r>
        <w:t>1. Extiende la defensa aérea hacia el mar.</w:t>
        <w:br/>
        <w:t>2. Mejora el combate aire-aire.</w:t>
        <w:br/>
        <w:t>3. Construye el panorama operacional.</w:t>
        <w:br/>
        <w:t>4. Protege fuerzas conjuntas.</w:t>
        <w:br/>
        <w:t>5. Niega el uso del mar al adversario.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