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A2AE8" w:rsidRDefault="008A2AE8">
      <w:pPr>
        <w:spacing w:after="0" w:line="276" w:lineRule="auto"/>
        <w:jc w:val="center"/>
        <w:rPr>
          <w:rFonts w:ascii="Arial" w:eastAsia="Arial" w:hAnsi="Arial" w:cs="Arial"/>
          <w:b/>
          <w:sz w:val="36"/>
          <w:szCs w:val="36"/>
        </w:rPr>
      </w:pPr>
    </w:p>
    <w:p w14:paraId="00000002" w14:textId="77777777" w:rsidR="008A2AE8" w:rsidRDefault="008A2AE8">
      <w:pPr>
        <w:spacing w:after="0" w:line="276" w:lineRule="auto"/>
        <w:jc w:val="center"/>
        <w:rPr>
          <w:rFonts w:ascii="Arial" w:eastAsia="Arial" w:hAnsi="Arial" w:cs="Arial"/>
          <w:b/>
          <w:sz w:val="36"/>
          <w:szCs w:val="36"/>
        </w:rPr>
      </w:pPr>
    </w:p>
    <w:p w14:paraId="00000003" w14:textId="77777777" w:rsidR="008A2AE8" w:rsidRDefault="008A2AE8">
      <w:pPr>
        <w:spacing w:after="0" w:line="276" w:lineRule="auto"/>
        <w:jc w:val="center"/>
        <w:rPr>
          <w:rFonts w:ascii="Arial" w:eastAsia="Arial" w:hAnsi="Arial" w:cs="Arial"/>
          <w:b/>
          <w:sz w:val="36"/>
          <w:szCs w:val="36"/>
        </w:rPr>
      </w:pPr>
    </w:p>
    <w:p w14:paraId="00000004" w14:textId="77777777" w:rsidR="008A2AE8" w:rsidRDefault="008A2AE8">
      <w:pPr>
        <w:spacing w:after="0" w:line="276" w:lineRule="auto"/>
        <w:jc w:val="center"/>
        <w:rPr>
          <w:rFonts w:ascii="Arial" w:eastAsia="Arial" w:hAnsi="Arial" w:cs="Arial"/>
          <w:b/>
          <w:sz w:val="36"/>
          <w:szCs w:val="36"/>
        </w:rPr>
      </w:pPr>
    </w:p>
    <w:p w14:paraId="00000005" w14:textId="77777777" w:rsidR="008A2AE8" w:rsidRDefault="008A2AE8">
      <w:pPr>
        <w:spacing w:after="0" w:line="276" w:lineRule="auto"/>
        <w:jc w:val="center"/>
        <w:rPr>
          <w:rFonts w:ascii="Arial" w:eastAsia="Arial" w:hAnsi="Arial" w:cs="Arial"/>
          <w:b/>
          <w:sz w:val="36"/>
          <w:szCs w:val="36"/>
        </w:rPr>
      </w:pPr>
    </w:p>
    <w:p w14:paraId="00000006" w14:textId="77777777" w:rsidR="008A2AE8" w:rsidRDefault="008A2AE8">
      <w:pPr>
        <w:spacing w:after="0" w:line="276" w:lineRule="auto"/>
        <w:jc w:val="center"/>
        <w:rPr>
          <w:rFonts w:ascii="Arial" w:eastAsia="Arial" w:hAnsi="Arial" w:cs="Arial"/>
          <w:b/>
          <w:sz w:val="36"/>
          <w:szCs w:val="36"/>
        </w:rPr>
      </w:pPr>
    </w:p>
    <w:p w14:paraId="00000007" w14:textId="77777777" w:rsidR="008A2AE8" w:rsidRDefault="008A2AE8">
      <w:pPr>
        <w:spacing w:after="0" w:line="276" w:lineRule="auto"/>
        <w:jc w:val="center"/>
        <w:rPr>
          <w:rFonts w:ascii="Arial" w:eastAsia="Arial" w:hAnsi="Arial" w:cs="Arial"/>
          <w:b/>
          <w:sz w:val="36"/>
          <w:szCs w:val="36"/>
        </w:rPr>
      </w:pPr>
    </w:p>
    <w:p w14:paraId="00000008" w14:textId="77777777" w:rsidR="008A2AE8" w:rsidRDefault="008A2AE8">
      <w:pPr>
        <w:spacing w:after="0" w:line="276" w:lineRule="auto"/>
        <w:jc w:val="center"/>
        <w:rPr>
          <w:rFonts w:ascii="Arial" w:eastAsia="Arial" w:hAnsi="Arial" w:cs="Arial"/>
          <w:b/>
          <w:sz w:val="36"/>
          <w:szCs w:val="36"/>
        </w:rPr>
      </w:pPr>
    </w:p>
    <w:p w14:paraId="00000009" w14:textId="77777777" w:rsidR="008A2AE8" w:rsidRDefault="008A2AE8">
      <w:pPr>
        <w:spacing w:after="0" w:line="276" w:lineRule="auto"/>
        <w:jc w:val="center"/>
        <w:rPr>
          <w:rFonts w:ascii="Arial" w:eastAsia="Arial" w:hAnsi="Arial" w:cs="Arial"/>
          <w:b/>
          <w:sz w:val="36"/>
          <w:szCs w:val="36"/>
        </w:rPr>
      </w:pPr>
    </w:p>
    <w:p w14:paraId="0000000A" w14:textId="77777777" w:rsidR="008A2AE8" w:rsidRDefault="00000000">
      <w:pPr>
        <w:spacing w:after="0" w:line="276" w:lineRule="auto"/>
        <w:jc w:val="center"/>
        <w:rPr>
          <w:rFonts w:ascii="Arial" w:eastAsia="Arial" w:hAnsi="Arial" w:cs="Arial"/>
          <w:b/>
          <w:sz w:val="36"/>
          <w:szCs w:val="36"/>
        </w:rPr>
      </w:pPr>
      <w:r>
        <w:rPr>
          <w:rFonts w:ascii="Arial" w:eastAsia="Arial" w:hAnsi="Arial" w:cs="Arial"/>
          <w:b/>
          <w:sz w:val="36"/>
          <w:szCs w:val="36"/>
        </w:rPr>
        <w:t>TRABAJO DE HISTORIA NAVAL APLICADA II°</w:t>
      </w:r>
    </w:p>
    <w:p w14:paraId="2E0FAB33" w14:textId="47F328B0" w:rsidR="00B75137" w:rsidRDefault="00B75137">
      <w:pPr>
        <w:spacing w:after="0" w:line="276" w:lineRule="auto"/>
        <w:jc w:val="center"/>
        <w:rPr>
          <w:rFonts w:ascii="Arial" w:eastAsia="Arial" w:hAnsi="Arial" w:cs="Arial"/>
          <w:b/>
          <w:sz w:val="36"/>
          <w:szCs w:val="36"/>
        </w:rPr>
      </w:pPr>
    </w:p>
    <w:p w14:paraId="22ECC573" w14:textId="1C926C45" w:rsidR="00B75137" w:rsidRDefault="00B75137">
      <w:pPr>
        <w:spacing w:after="0" w:line="276" w:lineRule="auto"/>
        <w:jc w:val="center"/>
        <w:rPr>
          <w:rFonts w:ascii="Arial" w:eastAsia="Arial" w:hAnsi="Arial" w:cs="Arial"/>
          <w:b/>
          <w:sz w:val="36"/>
          <w:szCs w:val="36"/>
        </w:rPr>
      </w:pPr>
      <w:r>
        <w:rPr>
          <w:rFonts w:ascii="Arial" w:eastAsia="Arial" w:hAnsi="Arial" w:cs="Arial"/>
          <w:sz w:val="28"/>
          <w:szCs w:val="28"/>
        </w:rPr>
        <w:t>2ª</w:t>
      </w:r>
      <w:r>
        <w:rPr>
          <w:rFonts w:ascii="Arial" w:eastAsia="Arial" w:hAnsi="Arial" w:cs="Arial"/>
          <w:sz w:val="28"/>
          <w:szCs w:val="28"/>
        </w:rPr>
        <w:t xml:space="preserve"> GUERRA MUNDIAL. EMPLEO DE PODER NAVAL EN TEATRO DEL MEDITERRÁNEO</w:t>
      </w:r>
    </w:p>
    <w:p w14:paraId="0000000F" w14:textId="77777777" w:rsidR="008A2AE8" w:rsidRDefault="008A2AE8">
      <w:pPr>
        <w:spacing w:after="0" w:line="240" w:lineRule="auto"/>
        <w:jc w:val="both"/>
        <w:rPr>
          <w:rFonts w:ascii="Arial" w:eastAsia="Arial" w:hAnsi="Arial" w:cs="Arial"/>
          <w:sz w:val="28"/>
          <w:szCs w:val="28"/>
        </w:rPr>
      </w:pPr>
    </w:p>
    <w:p w14:paraId="396B3A33" w14:textId="77777777" w:rsidR="00B75137" w:rsidRDefault="00B75137">
      <w:pPr>
        <w:spacing w:after="0" w:line="240" w:lineRule="auto"/>
        <w:jc w:val="both"/>
        <w:rPr>
          <w:rFonts w:ascii="Arial" w:eastAsia="Arial" w:hAnsi="Arial" w:cs="Arial"/>
          <w:sz w:val="28"/>
          <w:szCs w:val="28"/>
        </w:rPr>
      </w:pPr>
    </w:p>
    <w:p w14:paraId="00000010" w14:textId="77777777" w:rsidR="008A2AE8" w:rsidRDefault="008A2AE8">
      <w:pPr>
        <w:spacing w:after="0" w:line="240" w:lineRule="auto"/>
        <w:jc w:val="both"/>
        <w:rPr>
          <w:rFonts w:ascii="Arial" w:eastAsia="Arial" w:hAnsi="Arial" w:cs="Arial"/>
          <w:sz w:val="28"/>
          <w:szCs w:val="28"/>
        </w:rPr>
      </w:pPr>
    </w:p>
    <w:p w14:paraId="00000011" w14:textId="77777777" w:rsidR="008A2AE8" w:rsidRDefault="008A2AE8">
      <w:pPr>
        <w:spacing w:after="0" w:line="240" w:lineRule="auto"/>
        <w:jc w:val="both"/>
        <w:rPr>
          <w:rFonts w:ascii="Arial" w:eastAsia="Arial" w:hAnsi="Arial" w:cs="Arial"/>
          <w:sz w:val="28"/>
          <w:szCs w:val="28"/>
        </w:rPr>
      </w:pPr>
    </w:p>
    <w:p w14:paraId="00000012" w14:textId="77777777" w:rsidR="008A2AE8" w:rsidRDefault="008A2AE8">
      <w:pPr>
        <w:spacing w:after="0" w:line="240" w:lineRule="auto"/>
        <w:jc w:val="both"/>
        <w:rPr>
          <w:rFonts w:ascii="Arial" w:eastAsia="Arial" w:hAnsi="Arial" w:cs="Arial"/>
          <w:sz w:val="28"/>
          <w:szCs w:val="28"/>
        </w:rPr>
      </w:pPr>
    </w:p>
    <w:p w14:paraId="00000013" w14:textId="77777777" w:rsidR="008A2AE8" w:rsidRDefault="008A2AE8">
      <w:pPr>
        <w:spacing w:after="0" w:line="240" w:lineRule="auto"/>
        <w:jc w:val="both"/>
        <w:rPr>
          <w:rFonts w:ascii="Arial" w:eastAsia="Arial" w:hAnsi="Arial" w:cs="Arial"/>
          <w:sz w:val="28"/>
          <w:szCs w:val="28"/>
        </w:rPr>
      </w:pPr>
    </w:p>
    <w:p w14:paraId="00000014" w14:textId="77777777" w:rsidR="008A2AE8" w:rsidRDefault="008A2AE8">
      <w:pPr>
        <w:spacing w:after="0" w:line="240" w:lineRule="auto"/>
        <w:jc w:val="both"/>
        <w:rPr>
          <w:rFonts w:ascii="Arial" w:eastAsia="Arial" w:hAnsi="Arial" w:cs="Arial"/>
          <w:sz w:val="28"/>
          <w:szCs w:val="28"/>
        </w:rPr>
      </w:pPr>
    </w:p>
    <w:p w14:paraId="00000015" w14:textId="77777777" w:rsidR="008A2AE8" w:rsidRDefault="008A2AE8">
      <w:pPr>
        <w:spacing w:after="0" w:line="240" w:lineRule="auto"/>
        <w:jc w:val="both"/>
        <w:rPr>
          <w:rFonts w:ascii="Arial" w:eastAsia="Arial" w:hAnsi="Arial" w:cs="Arial"/>
          <w:sz w:val="28"/>
          <w:szCs w:val="28"/>
        </w:rPr>
      </w:pPr>
    </w:p>
    <w:p w14:paraId="00000016" w14:textId="77777777" w:rsidR="008A2AE8" w:rsidRDefault="008A2AE8">
      <w:pPr>
        <w:spacing w:after="0" w:line="240" w:lineRule="auto"/>
        <w:jc w:val="both"/>
        <w:rPr>
          <w:rFonts w:ascii="Arial" w:eastAsia="Arial" w:hAnsi="Arial" w:cs="Arial"/>
          <w:sz w:val="28"/>
          <w:szCs w:val="28"/>
        </w:rPr>
      </w:pPr>
    </w:p>
    <w:p w14:paraId="00000017" w14:textId="77777777" w:rsidR="008A2AE8" w:rsidRDefault="008A2AE8">
      <w:pPr>
        <w:spacing w:after="0" w:line="240" w:lineRule="auto"/>
        <w:jc w:val="both"/>
        <w:rPr>
          <w:rFonts w:ascii="Arial" w:eastAsia="Arial" w:hAnsi="Arial" w:cs="Arial"/>
          <w:sz w:val="28"/>
          <w:szCs w:val="28"/>
        </w:rPr>
      </w:pPr>
    </w:p>
    <w:p w14:paraId="00000018" w14:textId="77777777" w:rsidR="008A2AE8" w:rsidRDefault="008A2AE8">
      <w:pPr>
        <w:spacing w:after="0" w:line="240" w:lineRule="auto"/>
        <w:jc w:val="both"/>
        <w:rPr>
          <w:rFonts w:ascii="Arial" w:eastAsia="Arial" w:hAnsi="Arial" w:cs="Arial"/>
          <w:sz w:val="28"/>
          <w:szCs w:val="28"/>
        </w:rPr>
      </w:pPr>
    </w:p>
    <w:p w14:paraId="00000019" w14:textId="77777777" w:rsidR="008A2AE8" w:rsidRDefault="008A2AE8">
      <w:pPr>
        <w:spacing w:after="0" w:line="240" w:lineRule="auto"/>
        <w:jc w:val="both"/>
        <w:rPr>
          <w:rFonts w:ascii="Arial" w:eastAsia="Arial" w:hAnsi="Arial" w:cs="Arial"/>
          <w:sz w:val="26"/>
          <w:szCs w:val="26"/>
        </w:rPr>
      </w:pPr>
    </w:p>
    <w:p w14:paraId="0000001A" w14:textId="77777777" w:rsidR="008A2AE8" w:rsidRDefault="008A2AE8">
      <w:pPr>
        <w:spacing w:after="0" w:line="240" w:lineRule="auto"/>
        <w:jc w:val="both"/>
        <w:rPr>
          <w:rFonts w:ascii="Arial" w:eastAsia="Arial" w:hAnsi="Arial" w:cs="Arial"/>
          <w:b/>
          <w:sz w:val="24"/>
          <w:szCs w:val="24"/>
        </w:rPr>
      </w:pPr>
    </w:p>
    <w:p w14:paraId="0000001B" w14:textId="77777777" w:rsidR="008A2AE8" w:rsidRDefault="00000000">
      <w:pPr>
        <w:spacing w:after="0" w:line="240" w:lineRule="auto"/>
        <w:jc w:val="right"/>
        <w:rPr>
          <w:rFonts w:ascii="Arial" w:eastAsia="Arial" w:hAnsi="Arial" w:cs="Arial"/>
          <w:b/>
          <w:sz w:val="24"/>
          <w:szCs w:val="24"/>
        </w:rPr>
      </w:pPr>
      <w:r>
        <w:rPr>
          <w:rFonts w:ascii="Arial" w:eastAsia="Arial" w:hAnsi="Arial" w:cs="Arial"/>
          <w:b/>
          <w:sz w:val="24"/>
          <w:szCs w:val="24"/>
        </w:rPr>
        <w:t>Cadetes:</w:t>
      </w:r>
    </w:p>
    <w:p w14:paraId="0000001C" w14:textId="77777777" w:rsidR="008A2AE8" w:rsidRDefault="00000000">
      <w:pPr>
        <w:spacing w:after="0" w:line="240" w:lineRule="auto"/>
        <w:jc w:val="right"/>
        <w:rPr>
          <w:rFonts w:ascii="Arial" w:eastAsia="Arial" w:hAnsi="Arial" w:cs="Arial"/>
          <w:sz w:val="24"/>
          <w:szCs w:val="24"/>
        </w:rPr>
      </w:pPr>
      <w:r>
        <w:rPr>
          <w:rFonts w:ascii="Arial" w:eastAsia="Arial" w:hAnsi="Arial" w:cs="Arial"/>
          <w:sz w:val="24"/>
          <w:szCs w:val="24"/>
        </w:rPr>
        <w:t>Eduardo Domínguez Campos</w:t>
      </w:r>
    </w:p>
    <w:p w14:paraId="0000001D" w14:textId="61A483B4" w:rsidR="008A2AE8" w:rsidRDefault="00000000">
      <w:pPr>
        <w:spacing w:after="0" w:line="240" w:lineRule="auto"/>
        <w:jc w:val="right"/>
        <w:rPr>
          <w:rFonts w:ascii="Arial" w:eastAsia="Arial" w:hAnsi="Arial" w:cs="Arial"/>
          <w:sz w:val="24"/>
          <w:szCs w:val="24"/>
        </w:rPr>
      </w:pPr>
      <w:r>
        <w:rPr>
          <w:rFonts w:ascii="Arial" w:eastAsia="Arial" w:hAnsi="Arial" w:cs="Arial"/>
          <w:sz w:val="24"/>
          <w:szCs w:val="24"/>
        </w:rPr>
        <w:t>Nicolás González Bichet</w:t>
      </w:r>
      <w:r w:rsidR="00904AE9">
        <w:rPr>
          <w:rFonts w:ascii="Arial" w:eastAsia="Arial" w:hAnsi="Arial" w:cs="Arial"/>
          <w:sz w:val="24"/>
          <w:szCs w:val="24"/>
        </w:rPr>
        <w:t>t</w:t>
      </w:r>
    </w:p>
    <w:p w14:paraId="0000001E" w14:textId="71C7C05F" w:rsidR="008A2AE8" w:rsidRDefault="00000000">
      <w:pPr>
        <w:spacing w:after="0" w:line="240" w:lineRule="auto"/>
        <w:jc w:val="right"/>
        <w:rPr>
          <w:rFonts w:ascii="Arial" w:eastAsia="Arial" w:hAnsi="Arial" w:cs="Arial"/>
          <w:sz w:val="24"/>
          <w:szCs w:val="24"/>
        </w:rPr>
      </w:pPr>
      <w:r>
        <w:rPr>
          <w:rFonts w:ascii="Arial" w:eastAsia="Arial" w:hAnsi="Arial" w:cs="Arial"/>
          <w:sz w:val="24"/>
          <w:szCs w:val="24"/>
        </w:rPr>
        <w:t>Sofía</w:t>
      </w:r>
      <w:r w:rsidR="00674F50">
        <w:rPr>
          <w:rFonts w:ascii="Arial" w:eastAsia="Arial" w:hAnsi="Arial" w:cs="Arial"/>
          <w:sz w:val="24"/>
          <w:szCs w:val="24"/>
        </w:rPr>
        <w:t xml:space="preserve"> </w:t>
      </w:r>
      <w:r>
        <w:rPr>
          <w:rFonts w:ascii="Arial" w:eastAsia="Arial" w:hAnsi="Arial" w:cs="Arial"/>
          <w:sz w:val="24"/>
          <w:szCs w:val="24"/>
        </w:rPr>
        <w:t>Meza Palacios</w:t>
      </w:r>
    </w:p>
    <w:p w14:paraId="0000001F" w14:textId="77777777" w:rsidR="008A2AE8" w:rsidRDefault="008A2AE8">
      <w:pPr>
        <w:spacing w:after="0" w:line="240" w:lineRule="auto"/>
        <w:jc w:val="right"/>
        <w:rPr>
          <w:rFonts w:ascii="Arial" w:eastAsia="Arial" w:hAnsi="Arial" w:cs="Arial"/>
          <w:sz w:val="24"/>
          <w:szCs w:val="24"/>
        </w:rPr>
      </w:pPr>
    </w:p>
    <w:p w14:paraId="00000020" w14:textId="77777777" w:rsidR="008A2AE8" w:rsidRDefault="00000000">
      <w:pPr>
        <w:spacing w:after="0" w:line="240" w:lineRule="auto"/>
        <w:jc w:val="right"/>
        <w:rPr>
          <w:rFonts w:ascii="Arial" w:eastAsia="Arial" w:hAnsi="Arial" w:cs="Arial"/>
          <w:b/>
          <w:sz w:val="24"/>
          <w:szCs w:val="24"/>
        </w:rPr>
      </w:pPr>
      <w:r>
        <w:rPr>
          <w:rFonts w:ascii="Arial" w:eastAsia="Arial" w:hAnsi="Arial" w:cs="Arial"/>
          <w:b/>
          <w:sz w:val="24"/>
          <w:szCs w:val="24"/>
        </w:rPr>
        <w:t>Curso:</w:t>
      </w:r>
    </w:p>
    <w:p w14:paraId="00000021" w14:textId="77777777" w:rsidR="008A2AE8" w:rsidRDefault="00000000">
      <w:pPr>
        <w:spacing w:after="0" w:line="240" w:lineRule="auto"/>
        <w:jc w:val="right"/>
        <w:rPr>
          <w:rFonts w:ascii="Arial" w:eastAsia="Arial" w:hAnsi="Arial" w:cs="Arial"/>
          <w:sz w:val="24"/>
          <w:szCs w:val="24"/>
        </w:rPr>
      </w:pPr>
      <w:r>
        <w:rPr>
          <w:rFonts w:ascii="Arial" w:eastAsia="Arial" w:hAnsi="Arial" w:cs="Arial"/>
          <w:sz w:val="24"/>
          <w:szCs w:val="24"/>
        </w:rPr>
        <w:t>3°B</w:t>
      </w:r>
    </w:p>
    <w:p w14:paraId="00000022" w14:textId="77777777" w:rsidR="008A2AE8" w:rsidRDefault="008A2AE8">
      <w:pPr>
        <w:spacing w:after="0" w:line="240" w:lineRule="auto"/>
        <w:jc w:val="right"/>
        <w:rPr>
          <w:rFonts w:ascii="Arial" w:eastAsia="Arial" w:hAnsi="Arial" w:cs="Arial"/>
          <w:sz w:val="24"/>
          <w:szCs w:val="24"/>
        </w:rPr>
      </w:pPr>
    </w:p>
    <w:p w14:paraId="00000023" w14:textId="77777777" w:rsidR="008A2AE8" w:rsidRDefault="00000000">
      <w:pPr>
        <w:spacing w:after="0" w:line="240" w:lineRule="auto"/>
        <w:jc w:val="right"/>
        <w:rPr>
          <w:rFonts w:ascii="Arial" w:eastAsia="Arial" w:hAnsi="Arial" w:cs="Arial"/>
          <w:b/>
          <w:sz w:val="24"/>
          <w:szCs w:val="24"/>
        </w:rPr>
      </w:pPr>
      <w:r>
        <w:rPr>
          <w:rFonts w:ascii="Arial" w:eastAsia="Arial" w:hAnsi="Arial" w:cs="Arial"/>
          <w:b/>
          <w:sz w:val="24"/>
          <w:szCs w:val="24"/>
        </w:rPr>
        <w:t>Año:</w:t>
      </w:r>
    </w:p>
    <w:p w14:paraId="00000025" w14:textId="172BF333" w:rsidR="008A2AE8" w:rsidRPr="00674F50" w:rsidRDefault="00000000" w:rsidP="00674F50">
      <w:pPr>
        <w:spacing w:after="0" w:line="240" w:lineRule="auto"/>
        <w:jc w:val="right"/>
        <w:rPr>
          <w:rFonts w:ascii="Arial" w:eastAsia="Arial" w:hAnsi="Arial" w:cs="Arial"/>
          <w:sz w:val="24"/>
          <w:szCs w:val="24"/>
        </w:rPr>
      </w:pPr>
      <w:r>
        <w:rPr>
          <w:rFonts w:ascii="Arial" w:eastAsia="Arial" w:hAnsi="Arial" w:cs="Arial"/>
          <w:sz w:val="24"/>
          <w:szCs w:val="24"/>
        </w:rPr>
        <w:t>2025</w:t>
      </w:r>
    </w:p>
    <w:p w14:paraId="00000026" w14:textId="4B52D971" w:rsidR="008A2AE8" w:rsidRPr="00EF2554" w:rsidRDefault="00EF2554">
      <w:pPr>
        <w:spacing w:after="0" w:line="240" w:lineRule="auto"/>
        <w:jc w:val="center"/>
        <w:rPr>
          <w:rFonts w:ascii="Arial" w:eastAsia="Arial" w:hAnsi="Arial" w:cs="Arial"/>
          <w:b/>
          <w:bCs/>
          <w:iCs/>
          <w:sz w:val="28"/>
          <w:szCs w:val="28"/>
        </w:rPr>
      </w:pPr>
      <w:r w:rsidRPr="00EF2554">
        <w:rPr>
          <w:rFonts w:ascii="Arial" w:eastAsia="Arial" w:hAnsi="Arial" w:cs="Arial"/>
          <w:b/>
          <w:bCs/>
          <w:iCs/>
          <w:sz w:val="28"/>
          <w:szCs w:val="28"/>
        </w:rPr>
        <w:lastRenderedPageBreak/>
        <w:t>2ª GUERRA</w:t>
      </w:r>
      <w:r w:rsidR="00FA6475" w:rsidRPr="00EF2554">
        <w:rPr>
          <w:rFonts w:ascii="Arial" w:eastAsia="Arial" w:hAnsi="Arial" w:cs="Arial"/>
          <w:b/>
          <w:bCs/>
          <w:iCs/>
          <w:sz w:val="28"/>
          <w:szCs w:val="28"/>
        </w:rPr>
        <w:t xml:space="preserve"> MUNDIAL. EMPLEO DE PODER</w:t>
      </w:r>
      <w:r w:rsidRPr="00EF2554">
        <w:rPr>
          <w:rFonts w:ascii="Arial" w:eastAsia="Arial" w:hAnsi="Arial" w:cs="Arial"/>
          <w:b/>
          <w:bCs/>
          <w:iCs/>
          <w:sz w:val="28"/>
          <w:szCs w:val="28"/>
        </w:rPr>
        <w:t xml:space="preserve"> NAVAL EN TEATRO DEL MEDITERRANEO</w:t>
      </w:r>
      <w:r w:rsidR="00000000" w:rsidRPr="00EF2554">
        <w:rPr>
          <w:rFonts w:ascii="Arial" w:eastAsia="Arial" w:hAnsi="Arial" w:cs="Arial"/>
          <w:b/>
          <w:bCs/>
          <w:iCs/>
          <w:sz w:val="28"/>
          <w:szCs w:val="28"/>
        </w:rPr>
        <w:t>.</w:t>
      </w:r>
    </w:p>
    <w:p w14:paraId="00000027" w14:textId="77777777" w:rsidR="008A2AE8" w:rsidRPr="00FA6475" w:rsidRDefault="008A2AE8">
      <w:pPr>
        <w:spacing w:after="0" w:line="240" w:lineRule="auto"/>
        <w:jc w:val="both"/>
        <w:rPr>
          <w:rFonts w:ascii="Arial" w:eastAsia="Arial" w:hAnsi="Arial" w:cs="Arial"/>
          <w:b/>
          <w:bCs/>
          <w:iCs/>
          <w:sz w:val="24"/>
          <w:szCs w:val="24"/>
        </w:rPr>
      </w:pPr>
    </w:p>
    <w:p w14:paraId="00000028" w14:textId="77777777" w:rsidR="008A2AE8" w:rsidRDefault="00000000">
      <w:pPr>
        <w:spacing w:after="0" w:line="240" w:lineRule="auto"/>
        <w:jc w:val="both"/>
        <w:rPr>
          <w:rFonts w:ascii="Arial" w:eastAsia="Arial" w:hAnsi="Arial" w:cs="Arial"/>
          <w:b/>
          <w:sz w:val="24"/>
          <w:szCs w:val="24"/>
        </w:rPr>
      </w:pPr>
      <w:r>
        <w:rPr>
          <w:rFonts w:ascii="Arial" w:eastAsia="Arial" w:hAnsi="Arial" w:cs="Arial"/>
          <w:b/>
          <w:sz w:val="24"/>
          <w:szCs w:val="24"/>
        </w:rPr>
        <w:t>1-. SITUACIÓN HISTÓRICA.</w:t>
      </w:r>
    </w:p>
    <w:p w14:paraId="00000029" w14:textId="77777777" w:rsidR="008A2AE8" w:rsidRDefault="008A2AE8">
      <w:pPr>
        <w:spacing w:after="0" w:line="240" w:lineRule="auto"/>
        <w:jc w:val="both"/>
        <w:rPr>
          <w:rFonts w:ascii="Arial" w:eastAsia="Arial" w:hAnsi="Arial" w:cs="Arial"/>
          <w:b/>
          <w:sz w:val="24"/>
          <w:szCs w:val="24"/>
        </w:rPr>
      </w:pPr>
    </w:p>
    <w:p w14:paraId="0000002A" w14:textId="28B86408" w:rsidR="008A2AE8" w:rsidRDefault="00000000">
      <w:pPr>
        <w:spacing w:after="0" w:line="240" w:lineRule="auto"/>
        <w:jc w:val="both"/>
        <w:rPr>
          <w:rFonts w:ascii="Arial" w:eastAsia="Arial" w:hAnsi="Arial" w:cs="Arial"/>
        </w:rPr>
      </w:pPr>
      <w:r>
        <w:rPr>
          <w:rFonts w:ascii="Arial" w:eastAsia="Arial" w:hAnsi="Arial" w:cs="Arial"/>
          <w:sz w:val="24"/>
          <w:szCs w:val="24"/>
        </w:rPr>
        <w:t>Mientras se vivía la Segunda Guerra Mundial</w:t>
      </w:r>
      <w:r w:rsidR="00A4532F">
        <w:rPr>
          <w:rFonts w:ascii="Arial" w:eastAsia="Arial" w:hAnsi="Arial" w:cs="Arial"/>
          <w:sz w:val="24"/>
          <w:szCs w:val="24"/>
        </w:rPr>
        <w:t xml:space="preserve"> </w:t>
      </w:r>
      <w:r>
        <w:rPr>
          <w:rFonts w:ascii="Arial" w:eastAsia="Arial" w:hAnsi="Arial" w:cs="Arial"/>
          <w:sz w:val="24"/>
          <w:szCs w:val="24"/>
        </w:rPr>
        <w:t xml:space="preserve">(1939-1945), el Mediterráneo fue clave debido a su importancia estratégica. Su dominio aseguraba el acceso a rutas comerciales y de suministro vitales entre África, Asia y Europa. La Royal Navy, con apoyo estadounidense, se enfrentó a la Regia Marina </w:t>
      </w:r>
      <w:r w:rsidR="00197E61">
        <w:rPr>
          <w:rFonts w:ascii="Arial" w:eastAsia="Arial" w:hAnsi="Arial" w:cs="Arial"/>
          <w:sz w:val="24"/>
          <w:szCs w:val="24"/>
        </w:rPr>
        <w:t>I</w:t>
      </w:r>
      <w:r>
        <w:rPr>
          <w:rFonts w:ascii="Arial" w:eastAsia="Arial" w:hAnsi="Arial" w:cs="Arial"/>
          <w:sz w:val="24"/>
          <w:szCs w:val="24"/>
        </w:rPr>
        <w:t>taliana y otras fuerzas del Eje. El conflicto se centró en el norte de África, donde ambos bandos dependían de suministros externos. Mantener abiertas las rutas marítimas era fundamental para abastecer a sus tropas. Esto implicaba defender sus propias líneas de comunicación y atacar las del enemigo para debilitarlo. Los objetivos principales eran: asegurar sus propias líneas de suministro, interrumpir las del enemigo y reducir su capacidad naval. Además, los Aliados lucharon por mantener Malta, una base clave en la región. La campaña naval en el Mediterráneo comenzó en 1940 con la entrada de Italia en la guerra. La Regia Marina intentó dominar la zona con una flota poderosa, pero la Royal Navy se opuso firmemente para garantizar el abastecimiento de sus fuerzas en África.</w:t>
      </w:r>
      <w:r>
        <w:rPr>
          <w:rFonts w:ascii="Times New Roman" w:eastAsia="Times New Roman" w:hAnsi="Times New Roman" w:cs="Times New Roman"/>
          <w:sz w:val="24"/>
          <w:szCs w:val="24"/>
        </w:rPr>
        <w:t xml:space="preserve"> </w:t>
      </w:r>
      <w:r>
        <w:rPr>
          <w:rFonts w:ascii="Arial" w:eastAsia="Arial" w:hAnsi="Arial" w:cs="Arial"/>
          <w:sz w:val="24"/>
          <w:szCs w:val="24"/>
        </w:rPr>
        <w:t>A pesar del poderío naval del Eje, la superioridad estratégica y tecnológica de los Aliados permitió asegurar el control del Mediterráneo, contribuyendo al éxito de sus campañas en África y Europa.</w:t>
      </w:r>
    </w:p>
    <w:p w14:paraId="0000002B" w14:textId="77777777" w:rsidR="008A2AE8" w:rsidRDefault="008A2AE8">
      <w:pPr>
        <w:spacing w:after="0" w:line="240" w:lineRule="auto"/>
        <w:jc w:val="both"/>
        <w:rPr>
          <w:rFonts w:ascii="Arial" w:eastAsia="Arial" w:hAnsi="Arial" w:cs="Arial"/>
          <w:sz w:val="24"/>
          <w:szCs w:val="24"/>
        </w:rPr>
      </w:pPr>
    </w:p>
    <w:p w14:paraId="0000002C" w14:textId="77777777" w:rsidR="008A2AE8" w:rsidRDefault="00000000">
      <w:pPr>
        <w:spacing w:after="0" w:line="240" w:lineRule="auto"/>
        <w:jc w:val="both"/>
        <w:rPr>
          <w:rFonts w:ascii="Arial" w:eastAsia="Arial" w:hAnsi="Arial" w:cs="Arial"/>
          <w:b/>
          <w:sz w:val="24"/>
          <w:szCs w:val="24"/>
        </w:rPr>
      </w:pPr>
      <w:r>
        <w:rPr>
          <w:rFonts w:ascii="Arial" w:eastAsia="Arial" w:hAnsi="Arial" w:cs="Arial"/>
          <w:b/>
          <w:sz w:val="24"/>
          <w:szCs w:val="24"/>
        </w:rPr>
        <w:t xml:space="preserve">2-. DESARROLLO. </w:t>
      </w:r>
    </w:p>
    <w:p w14:paraId="0000002E" w14:textId="720940D8" w:rsidR="008A2AE8" w:rsidRPr="00EF2554" w:rsidRDefault="008A2AE8" w:rsidP="00EF2554">
      <w:pPr>
        <w:pBdr>
          <w:top w:val="nil"/>
          <w:left w:val="nil"/>
          <w:bottom w:val="nil"/>
          <w:right w:val="nil"/>
          <w:between w:val="nil"/>
        </w:pBdr>
        <w:spacing w:after="0" w:line="240" w:lineRule="auto"/>
        <w:jc w:val="both"/>
        <w:rPr>
          <w:b/>
          <w:sz w:val="24"/>
          <w:szCs w:val="24"/>
        </w:rPr>
      </w:pPr>
    </w:p>
    <w:p w14:paraId="3A2616C4" w14:textId="382CA5B3" w:rsidR="00EF2554" w:rsidRDefault="00EF2554">
      <w:pPr>
        <w:numPr>
          <w:ilvl w:val="0"/>
          <w:numId w:val="2"/>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INICIO DE LAS HOSTILIDADES</w:t>
      </w:r>
    </w:p>
    <w:p w14:paraId="0000002F" w14:textId="77777777" w:rsidR="008A2AE8" w:rsidRDefault="008A2AE8">
      <w:pPr>
        <w:spacing w:after="0" w:line="240" w:lineRule="auto"/>
        <w:jc w:val="both"/>
        <w:rPr>
          <w:rFonts w:ascii="Arial" w:eastAsia="Arial" w:hAnsi="Arial" w:cs="Arial"/>
          <w:b/>
          <w:sz w:val="24"/>
          <w:szCs w:val="24"/>
        </w:rPr>
      </w:pPr>
    </w:p>
    <w:p w14:paraId="00000032" w14:textId="7799337F" w:rsidR="008A2AE8" w:rsidRDefault="00000000" w:rsidP="004A4333">
      <w:pPr>
        <w:spacing w:after="0" w:line="240" w:lineRule="auto"/>
        <w:jc w:val="both"/>
        <w:rPr>
          <w:rFonts w:ascii="Arial" w:eastAsia="Arial" w:hAnsi="Arial" w:cs="Arial"/>
          <w:sz w:val="24"/>
          <w:szCs w:val="24"/>
        </w:rPr>
      </w:pPr>
      <w:r>
        <w:rPr>
          <w:rFonts w:ascii="Arial" w:eastAsia="Arial" w:hAnsi="Arial" w:cs="Arial"/>
          <w:sz w:val="24"/>
          <w:szCs w:val="24"/>
        </w:rPr>
        <w:t>La Campaña del Mediterráneo se extendió desde el 10 de junio de 1940 hasta el 2 de mayo de 1945. El conflicto se inició cuando la "Regia Marina</w:t>
      </w:r>
      <w:r w:rsidR="00197E61">
        <w:rPr>
          <w:rFonts w:ascii="Arial" w:eastAsia="Arial" w:hAnsi="Arial" w:cs="Arial"/>
          <w:sz w:val="24"/>
          <w:szCs w:val="24"/>
        </w:rPr>
        <w:t xml:space="preserve"> Italiana</w:t>
      </w:r>
      <w:r>
        <w:rPr>
          <w:rFonts w:ascii="Arial" w:eastAsia="Arial" w:hAnsi="Arial" w:cs="Arial"/>
          <w:sz w:val="24"/>
          <w:szCs w:val="24"/>
        </w:rPr>
        <w:t>" entró en acción tras la declaración de guerra de Benito Mussolini contra Gran Bretaña y Francia; sin embargo, olvidó alertar a su propia flota mercante para que retornara a puertos italianos. Debido a esto, los buques mercantes italianos fueron interceptados por los británicos en alta mar. Durante las primeras 24 horas de la participación italiana en la Segunda Guerra Mundial, aproximadamente 1.200.000 toneladas de pertrechos para las tropas, equivalentes al 35% del tonelaje mercante italiano, cayeron en manos aliada</w:t>
      </w:r>
      <w:r w:rsidR="00CD614A">
        <w:rPr>
          <w:rFonts w:ascii="Arial" w:eastAsia="Arial" w:hAnsi="Arial" w:cs="Arial"/>
          <w:sz w:val="24"/>
          <w:szCs w:val="24"/>
        </w:rPr>
        <w:t>s</w:t>
      </w:r>
      <w:r>
        <w:rPr>
          <w:rFonts w:ascii="Arial" w:eastAsia="Arial" w:hAnsi="Arial" w:cs="Arial"/>
          <w:sz w:val="24"/>
          <w:szCs w:val="24"/>
        </w:rPr>
        <w:t>. La acción en el Canal de Suez sobre transportes italianos permitió evidenciar la debilidad del Imperio Italiano, que sufrió un golpe significativo desde el comienzo del conflicto, comprometiendo seriamente sus perspectivas de victoria, aun considerando el potencial respaldo de su principal aliado, Alemania.</w:t>
      </w:r>
    </w:p>
    <w:p w14:paraId="42F44FC6" w14:textId="77777777" w:rsidR="004A4333" w:rsidRPr="00EF2554" w:rsidRDefault="004A4333" w:rsidP="004A4333">
      <w:pPr>
        <w:spacing w:after="0" w:line="240" w:lineRule="auto"/>
        <w:jc w:val="both"/>
        <w:rPr>
          <w:b/>
          <w:sz w:val="24"/>
          <w:szCs w:val="24"/>
        </w:rPr>
      </w:pPr>
    </w:p>
    <w:p w14:paraId="61B08EDF" w14:textId="0EBA52A7" w:rsidR="00EF2554" w:rsidRDefault="00EF2554">
      <w:pPr>
        <w:numPr>
          <w:ilvl w:val="0"/>
          <w:numId w:val="2"/>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OBJETIVOS ESTRATÉGICOS Y AVANCES EN EL CONFLICTO</w:t>
      </w:r>
    </w:p>
    <w:p w14:paraId="00000033" w14:textId="77777777" w:rsidR="008A2AE8" w:rsidRDefault="008A2AE8">
      <w:pPr>
        <w:spacing w:after="0" w:line="240" w:lineRule="auto"/>
        <w:jc w:val="both"/>
        <w:rPr>
          <w:rFonts w:ascii="Arial" w:eastAsia="Arial" w:hAnsi="Arial" w:cs="Arial"/>
          <w:b/>
          <w:sz w:val="24"/>
          <w:szCs w:val="24"/>
        </w:rPr>
      </w:pPr>
    </w:p>
    <w:p w14:paraId="00000035" w14:textId="199C7C64" w:rsidR="008A2AE8"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La Italia fascista aspiraba a restablecer un nuevo Imperio Romano, mientras los aliados pretendían preservar el </w:t>
      </w:r>
      <w:r w:rsidR="00EF2554">
        <w:rPr>
          <w:rFonts w:ascii="Arial" w:eastAsia="Arial" w:hAnsi="Arial" w:cs="Arial"/>
          <w:sz w:val="24"/>
          <w:szCs w:val="24"/>
        </w:rPr>
        <w:t>“</w:t>
      </w:r>
      <w:r>
        <w:rPr>
          <w:rFonts w:ascii="Arial" w:eastAsia="Arial" w:hAnsi="Arial" w:cs="Arial"/>
          <w:sz w:val="24"/>
          <w:szCs w:val="24"/>
        </w:rPr>
        <w:t>status quo</w:t>
      </w:r>
      <w:r w:rsidR="00EF2554">
        <w:rPr>
          <w:rFonts w:ascii="Arial" w:eastAsia="Arial" w:hAnsi="Arial" w:cs="Arial"/>
          <w:sz w:val="24"/>
          <w:szCs w:val="24"/>
        </w:rPr>
        <w:t>”</w:t>
      </w:r>
      <w:r>
        <w:rPr>
          <w:rFonts w:ascii="Arial" w:eastAsia="Arial" w:hAnsi="Arial" w:cs="Arial"/>
          <w:sz w:val="24"/>
          <w:szCs w:val="24"/>
        </w:rPr>
        <w:t xml:space="preserve"> existente. Al declarar la guerra, Italia procedió inmediatamente a invadir Francia y a bombardear Malta. Luego, las fuerzas italianas ocuparon Grecia y Yugoslavia, con el apoyo de los alemanes. En el norte de África las fuerzas del Eje, tras las derrotas sufridas en el Magreb, Egipto y Túnez, fueron neutralizadas por los aliados, en mayo de 1943. Posteriormente, los aliados iniciaron la invasión de Italia, lo que precipitó </w:t>
      </w:r>
      <w:r>
        <w:rPr>
          <w:rFonts w:ascii="Arial" w:eastAsia="Arial" w:hAnsi="Arial" w:cs="Arial"/>
          <w:sz w:val="24"/>
          <w:szCs w:val="24"/>
        </w:rPr>
        <w:lastRenderedPageBreak/>
        <w:t>un armisticio respaldado por el gobierno monárquico y desencadenó un conflicto civil interno. Se desarrolló entonces una prolongada contienda en territorio italiano, donde el Reino de Italia, ahora alineado con los aliados en el sur, se enfrentó a la República Social Italiana, adherida al Eje en el norte. Este enfrentamiento se prolongó hasta el 2 de mayo de 1945, cuando se formalizó la rendición en Caserta.</w:t>
      </w:r>
    </w:p>
    <w:p w14:paraId="39AE87B6" w14:textId="77777777" w:rsidR="004A4333" w:rsidRDefault="004A4333">
      <w:pPr>
        <w:spacing w:after="0" w:line="240" w:lineRule="auto"/>
        <w:jc w:val="both"/>
        <w:rPr>
          <w:rFonts w:ascii="Arial" w:eastAsia="Arial" w:hAnsi="Arial" w:cs="Arial"/>
          <w:b/>
          <w:sz w:val="24"/>
          <w:szCs w:val="24"/>
        </w:rPr>
      </w:pPr>
    </w:p>
    <w:p w14:paraId="00000036" w14:textId="6EE4DC7F" w:rsidR="008A2AE8" w:rsidRDefault="00EF2554">
      <w:pPr>
        <w:numPr>
          <w:ilvl w:val="0"/>
          <w:numId w:val="2"/>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SITIO DE MALTA: CLAVE ESTRATÉGICA EN EL MEDITERRÁNEO</w:t>
      </w:r>
    </w:p>
    <w:p w14:paraId="00000037" w14:textId="77777777" w:rsidR="008A2AE8" w:rsidRDefault="008A2AE8">
      <w:pPr>
        <w:spacing w:after="0" w:line="240" w:lineRule="auto"/>
        <w:jc w:val="both"/>
        <w:rPr>
          <w:rFonts w:ascii="Arial" w:eastAsia="Arial" w:hAnsi="Arial" w:cs="Arial"/>
          <w:b/>
          <w:sz w:val="24"/>
          <w:szCs w:val="24"/>
        </w:rPr>
      </w:pPr>
    </w:p>
    <w:p w14:paraId="0000003A" w14:textId="2C0C5223" w:rsidR="008A2AE8" w:rsidRDefault="00000000" w:rsidP="004A4333">
      <w:pPr>
        <w:spacing w:after="0" w:line="240" w:lineRule="auto"/>
        <w:jc w:val="both"/>
        <w:rPr>
          <w:rFonts w:ascii="Arial" w:eastAsia="Arial" w:hAnsi="Arial" w:cs="Arial"/>
          <w:sz w:val="24"/>
          <w:szCs w:val="24"/>
        </w:rPr>
      </w:pPr>
      <w:r>
        <w:rPr>
          <w:rFonts w:ascii="Arial" w:eastAsia="Arial" w:hAnsi="Arial" w:cs="Arial"/>
          <w:sz w:val="24"/>
          <w:szCs w:val="24"/>
        </w:rPr>
        <w:t>Entre 1940 y 1943, la isla de Malta, bajo dominio británico, fue sometida a un prolongado asedio. Las hostilidades se iniciaron el 12 de junio de 1940 con un ataque italiano contra las posiciones británicas. Durante este período, las fuerzas aéreas y navales de Italia y Alemania mantuvieron operaciones continuas contra la isla. Malta se convirtió en uno de los territorios más intensamente bombardeados de la Segunda Guerra Mundial, registrando aproximadamente 3.000 incursiones aéreas durante los dos años que duró el sitio. La importancia estratégica de la isla residía en su ubicación privilegiada, que permitía la interceptación de fuerzas enemigas en tránsito por la región, evidenciando la crucial relevancia del control de las Líneas de Comunicación Marítimas (LCM). La posición geográfica de Malta facilitaba la intercepción de los convoyes que abastecen a las fuerzas del Eje en el norte de África. Estas operaciones debilitaron significativamente la presencia del Eje en el teatro africano y fortalecieron la posición aliada contra Italia. En respuesta a esta amenaza, las potencias del Eje intensificaron los bombardeos aéreos y establecieron un bloqueo de suministros con el objetivo de neutralizar las capacidades defensivas y ofensivas de Malta. La situación de asedio persiste hasta la expulsión definitiva de las fuerzas del Eje del Norte de África. Tras este acontecimiento decisivo, Malta pudo restablecer sus líneas regulares de abastecimiento y recuperó plenamente su valor como posición estratégica en el Mediterráneo.</w:t>
      </w:r>
    </w:p>
    <w:p w14:paraId="7BAC3C91" w14:textId="77777777" w:rsidR="004A4333" w:rsidRPr="00EF2554" w:rsidRDefault="004A4333" w:rsidP="004A4333">
      <w:pPr>
        <w:spacing w:after="0" w:line="240" w:lineRule="auto"/>
        <w:jc w:val="both"/>
        <w:rPr>
          <w:b/>
          <w:sz w:val="24"/>
          <w:szCs w:val="24"/>
        </w:rPr>
      </w:pPr>
    </w:p>
    <w:p w14:paraId="51501E4E" w14:textId="2713AF81" w:rsidR="00EF2554" w:rsidRDefault="00EF2554">
      <w:pPr>
        <w:numPr>
          <w:ilvl w:val="0"/>
          <w:numId w:val="2"/>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VICTORIA DECISIVA DE LA ROYAL NAVY: TARENTO Y CABO MATAPÁN</w:t>
      </w:r>
    </w:p>
    <w:p w14:paraId="0000003B" w14:textId="77777777" w:rsidR="008A2AE8" w:rsidRDefault="008A2AE8">
      <w:pPr>
        <w:spacing w:after="0" w:line="240" w:lineRule="auto"/>
        <w:jc w:val="both"/>
        <w:rPr>
          <w:rFonts w:ascii="Arial" w:eastAsia="Arial" w:hAnsi="Arial" w:cs="Arial"/>
          <w:b/>
          <w:sz w:val="24"/>
          <w:szCs w:val="24"/>
        </w:rPr>
      </w:pPr>
    </w:p>
    <w:p w14:paraId="0000003C" w14:textId="77777777" w:rsidR="008A2AE8" w:rsidRDefault="00000000">
      <w:pPr>
        <w:spacing w:after="0" w:line="240" w:lineRule="auto"/>
        <w:jc w:val="both"/>
        <w:rPr>
          <w:rFonts w:ascii="Arial" w:eastAsia="Arial" w:hAnsi="Arial" w:cs="Arial"/>
          <w:sz w:val="24"/>
          <w:szCs w:val="24"/>
        </w:rPr>
      </w:pPr>
      <w:r>
        <w:rPr>
          <w:rFonts w:ascii="Arial" w:eastAsia="Arial" w:hAnsi="Arial" w:cs="Arial"/>
          <w:sz w:val="24"/>
          <w:szCs w:val="24"/>
        </w:rPr>
        <w:t>En el marco de la campaña mediterránea, el 11 de noviembre de 1940 marca un hito significativo cuando la Marina Real Británica del Mediterráneo, bajo el comando del almirante Andrew Cunningham, obtuvo su primera victoria decisiva contra Italia. Aeronaves torpederas Swordfish, lanzadas desde el portaaviones HMS Illustrious, ejecutaron un ataque preciso contra la base naval de Tarento, logrando hundir el acorazado italiano Conte di Cavour e infligiendo daños de menor consideración a otras embarcaciones militares y mercantes. Posteriormente se llevó a cabo la Batalla del Cabo Matapán, el 28 de marzo de 1941. Ambas batallas demostraron lo importante del uso del arma aérea embarcada en portaaviones y el uso del radar que permitió realizar las incursiones en forma nocturna, permitiendo a las fuerzas aliadas, encabezadas por la flota británica, obtener el dominio del Mediterráneo en beneficio propio, para la realización de las operaciones terrestres en Europa y África.</w:t>
      </w:r>
    </w:p>
    <w:p w14:paraId="0000003D" w14:textId="77777777" w:rsidR="008A2AE8" w:rsidRDefault="008A2AE8">
      <w:pPr>
        <w:spacing w:after="0" w:line="240" w:lineRule="auto"/>
        <w:jc w:val="both"/>
        <w:rPr>
          <w:rFonts w:ascii="Arial" w:eastAsia="Arial" w:hAnsi="Arial" w:cs="Arial"/>
          <w:b/>
          <w:sz w:val="24"/>
          <w:szCs w:val="24"/>
        </w:rPr>
      </w:pPr>
    </w:p>
    <w:p w14:paraId="366DAD32" w14:textId="77777777" w:rsidR="00197E61" w:rsidRDefault="00197E61">
      <w:pPr>
        <w:spacing w:after="0" w:line="240" w:lineRule="auto"/>
        <w:jc w:val="both"/>
        <w:rPr>
          <w:rFonts w:ascii="Arial" w:eastAsia="Arial" w:hAnsi="Arial" w:cs="Arial"/>
          <w:b/>
          <w:sz w:val="24"/>
          <w:szCs w:val="24"/>
        </w:rPr>
      </w:pPr>
    </w:p>
    <w:p w14:paraId="3DFDA90B" w14:textId="77777777" w:rsidR="00197E61" w:rsidRDefault="00197E61">
      <w:pPr>
        <w:spacing w:after="0" w:line="240" w:lineRule="auto"/>
        <w:jc w:val="both"/>
        <w:rPr>
          <w:rFonts w:ascii="Arial" w:eastAsia="Arial" w:hAnsi="Arial" w:cs="Arial"/>
          <w:b/>
          <w:sz w:val="24"/>
          <w:szCs w:val="24"/>
        </w:rPr>
      </w:pPr>
    </w:p>
    <w:p w14:paraId="7B63F4D4" w14:textId="77777777" w:rsidR="00197E61" w:rsidRDefault="00197E61">
      <w:pPr>
        <w:spacing w:after="0" w:line="240" w:lineRule="auto"/>
        <w:jc w:val="both"/>
        <w:rPr>
          <w:rFonts w:ascii="Arial" w:eastAsia="Arial" w:hAnsi="Arial" w:cs="Arial"/>
          <w:b/>
          <w:sz w:val="24"/>
          <w:szCs w:val="24"/>
        </w:rPr>
      </w:pPr>
    </w:p>
    <w:p w14:paraId="564F9105" w14:textId="77777777" w:rsidR="00197E61" w:rsidRDefault="00197E61">
      <w:pPr>
        <w:spacing w:after="0" w:line="240" w:lineRule="auto"/>
        <w:jc w:val="both"/>
        <w:rPr>
          <w:rFonts w:ascii="Arial" w:eastAsia="Arial" w:hAnsi="Arial" w:cs="Arial"/>
          <w:b/>
          <w:sz w:val="24"/>
          <w:szCs w:val="24"/>
        </w:rPr>
      </w:pPr>
    </w:p>
    <w:p w14:paraId="0000003E" w14:textId="77777777" w:rsidR="008A2AE8" w:rsidRDefault="008A2AE8">
      <w:pPr>
        <w:spacing w:after="0" w:line="240" w:lineRule="auto"/>
        <w:jc w:val="both"/>
        <w:rPr>
          <w:rFonts w:ascii="Arial" w:eastAsia="Arial" w:hAnsi="Arial" w:cs="Arial"/>
          <w:b/>
          <w:sz w:val="24"/>
          <w:szCs w:val="24"/>
        </w:rPr>
      </w:pPr>
    </w:p>
    <w:p w14:paraId="2968DBC9" w14:textId="77777777" w:rsidR="004A4333" w:rsidRDefault="004A4333">
      <w:pPr>
        <w:spacing w:after="0" w:line="240" w:lineRule="auto"/>
        <w:jc w:val="both"/>
        <w:rPr>
          <w:rFonts w:ascii="Arial" w:eastAsia="Arial" w:hAnsi="Arial" w:cs="Arial"/>
          <w:b/>
          <w:sz w:val="24"/>
          <w:szCs w:val="24"/>
        </w:rPr>
      </w:pPr>
    </w:p>
    <w:p w14:paraId="0000003F" w14:textId="31A53180" w:rsidR="008A2AE8" w:rsidRDefault="00000000">
      <w:pPr>
        <w:spacing w:after="0" w:line="240" w:lineRule="auto"/>
        <w:jc w:val="both"/>
        <w:rPr>
          <w:rFonts w:ascii="Arial" w:eastAsia="Arial" w:hAnsi="Arial" w:cs="Arial"/>
          <w:b/>
          <w:sz w:val="24"/>
          <w:szCs w:val="24"/>
        </w:rPr>
      </w:pPr>
      <w:r>
        <w:rPr>
          <w:rFonts w:ascii="Arial" w:eastAsia="Arial" w:hAnsi="Arial" w:cs="Arial"/>
          <w:b/>
          <w:sz w:val="24"/>
          <w:szCs w:val="24"/>
        </w:rPr>
        <w:lastRenderedPageBreak/>
        <w:t>3-. COMENTARIO PERSONAL.</w:t>
      </w:r>
    </w:p>
    <w:p w14:paraId="00000040" w14:textId="77777777" w:rsidR="008A2AE8" w:rsidRDefault="008A2AE8">
      <w:pPr>
        <w:spacing w:after="0" w:line="240" w:lineRule="auto"/>
        <w:jc w:val="both"/>
        <w:rPr>
          <w:rFonts w:ascii="Arial" w:eastAsia="Arial" w:hAnsi="Arial" w:cs="Arial"/>
          <w:b/>
          <w:sz w:val="24"/>
          <w:szCs w:val="24"/>
        </w:rPr>
      </w:pPr>
    </w:p>
    <w:p w14:paraId="00000041" w14:textId="77777777" w:rsidR="008A2AE8" w:rsidRDefault="00000000">
      <w:pPr>
        <w:spacing w:before="240" w:after="240" w:line="276" w:lineRule="auto"/>
        <w:jc w:val="both"/>
        <w:rPr>
          <w:rFonts w:ascii="Arial" w:eastAsia="Arial" w:hAnsi="Arial" w:cs="Arial"/>
          <w:sz w:val="24"/>
          <w:szCs w:val="24"/>
        </w:rPr>
      </w:pPr>
      <w:r>
        <w:rPr>
          <w:rFonts w:ascii="Arial" w:eastAsia="Arial" w:hAnsi="Arial" w:cs="Arial"/>
          <w:sz w:val="24"/>
          <w:szCs w:val="24"/>
        </w:rPr>
        <w:t>Durante la Segunda Guerra Mundial, el Mediterráneo fue una región estratégica clave, no solo por las batallas libradas en sus aguas, sino por su ubicación central en Europa, que permitía a las naciones involucradas proyectar poder y coordinar operaciones militares a lo largo del continente. Las Líneas de Comunicación Marítima (LCM), fundamentales para el abastecimiento y el movimiento de las fuerzas navales, debían mantenerse libres de amenazas para asegurar el éxito de las operaciones aliadas.</w:t>
      </w:r>
    </w:p>
    <w:p w14:paraId="00000042" w14:textId="77777777" w:rsidR="008A2AE8" w:rsidRDefault="00000000">
      <w:pPr>
        <w:spacing w:before="240" w:after="240" w:line="276" w:lineRule="auto"/>
        <w:jc w:val="both"/>
        <w:rPr>
          <w:rFonts w:ascii="Arial" w:eastAsia="Arial" w:hAnsi="Arial" w:cs="Arial"/>
          <w:sz w:val="24"/>
          <w:szCs w:val="24"/>
        </w:rPr>
      </w:pPr>
      <w:r>
        <w:rPr>
          <w:rFonts w:ascii="Arial" w:eastAsia="Arial" w:hAnsi="Arial" w:cs="Arial"/>
          <w:sz w:val="24"/>
          <w:szCs w:val="24"/>
        </w:rPr>
        <w:t>El Teatro del Mediterráneo también mostró cómo la tecnología cambió el curso de la guerra. El radar, que permitió realizar ataques nocturnos, fue esencial para los aliados, quienes sorprendieron a la Regia Marina italiana en la “Noche de Tarento”. Este ataque, llevado a cabo por aviones torpederos británicos, ejemplifica cómo la rapidez, el factor sorpresa y la innovación tecnológica influenciaron directamente el resultado del conflicto. Como dijo el almirante británico Andrew Cunningham: “El factor sorpresa es la ventaja más poderosa que puede tener un comandante”.</w:t>
      </w:r>
    </w:p>
    <w:p w14:paraId="00000043" w14:textId="77777777" w:rsidR="008A2AE8" w:rsidRDefault="00000000">
      <w:pPr>
        <w:spacing w:before="240" w:after="240" w:line="276" w:lineRule="auto"/>
        <w:jc w:val="both"/>
        <w:rPr>
          <w:rFonts w:ascii="Arial" w:eastAsia="Arial" w:hAnsi="Arial" w:cs="Arial"/>
          <w:sz w:val="24"/>
          <w:szCs w:val="24"/>
        </w:rPr>
      </w:pPr>
      <w:r>
        <w:rPr>
          <w:rFonts w:ascii="Arial" w:eastAsia="Arial" w:hAnsi="Arial" w:cs="Arial"/>
          <w:sz w:val="24"/>
          <w:szCs w:val="24"/>
        </w:rPr>
        <w:t>La cooperación entre las fuerzas británicas y sus aliados, junto con la organización y estrategia ofensiva de la Royal Navy, fue esencial para consolidar el control aliado de la región. Las operaciones conjuntas, que incluían ataques sorpresivos y misiones nocturnas, fueron clave para mantener el control de las LCM. Sir Dudley Pound, comandante de la Royal Navy, afirmó: “El control de los mares es el cimiento sobre el cual se construye la victoria en tierra”.</w:t>
      </w:r>
    </w:p>
    <w:p w14:paraId="00000044" w14:textId="77777777" w:rsidR="008A2AE8" w:rsidRDefault="00000000">
      <w:pPr>
        <w:spacing w:before="240" w:after="240" w:line="276" w:lineRule="auto"/>
        <w:jc w:val="both"/>
        <w:rPr>
          <w:rFonts w:ascii="Arial" w:eastAsia="Arial" w:hAnsi="Arial" w:cs="Arial"/>
          <w:sz w:val="24"/>
          <w:szCs w:val="24"/>
        </w:rPr>
      </w:pPr>
      <w:r>
        <w:rPr>
          <w:rFonts w:ascii="Arial" w:eastAsia="Arial" w:hAnsi="Arial" w:cs="Arial"/>
          <w:sz w:val="24"/>
          <w:szCs w:val="24"/>
        </w:rPr>
        <w:t>Un factor fundamental para los aliados fue la defensa de Malta, una isla estratégica en el centro del Mediterráneo. Malta no solo sirvió como centro de abastecimiento para las fuerzas aliadas en África del Norte, sino también como base para operaciones aéreas y navales. El general italiano Enrico Frattini destacó que “Malta ha sido la piedra angular que ha determinado el equilibrio del Mediterráneo”.</w:t>
      </w:r>
    </w:p>
    <w:p w14:paraId="00000045" w14:textId="7917B0FF" w:rsidR="008A2AE8" w:rsidRDefault="00000000">
      <w:pPr>
        <w:spacing w:before="240" w:after="240" w:line="276" w:lineRule="auto"/>
        <w:jc w:val="both"/>
        <w:rPr>
          <w:rFonts w:ascii="Arial" w:eastAsia="Arial" w:hAnsi="Arial" w:cs="Arial"/>
          <w:sz w:val="24"/>
          <w:szCs w:val="24"/>
        </w:rPr>
      </w:pPr>
      <w:r>
        <w:rPr>
          <w:rFonts w:ascii="Arial" w:eastAsia="Arial" w:hAnsi="Arial" w:cs="Arial"/>
          <w:sz w:val="24"/>
          <w:szCs w:val="24"/>
        </w:rPr>
        <w:t xml:space="preserve">El fin del Teatro del Mediterráneo subraya la importancia del dominio marítimo para la victoria en cualquier conflicto global. Controlar las LCM no solo fue esencial para asegurar victorias tácticas en el Mediterráneo, sino que también permitió proyectar poder en otros frentes. </w:t>
      </w:r>
      <w:r w:rsidR="00EB4F86">
        <w:rPr>
          <w:rFonts w:ascii="Arial" w:eastAsia="Arial" w:hAnsi="Arial" w:cs="Arial"/>
          <w:sz w:val="24"/>
          <w:szCs w:val="24"/>
        </w:rPr>
        <w:t>Según afirmo el</w:t>
      </w:r>
      <w:r>
        <w:rPr>
          <w:rFonts w:ascii="Arial" w:eastAsia="Arial" w:hAnsi="Arial" w:cs="Arial"/>
          <w:sz w:val="24"/>
          <w:szCs w:val="24"/>
        </w:rPr>
        <w:t xml:space="preserve"> almirante John Jellicoe: “El control del mar es el principal pilar de una victoria duradera, porque el dominio de los mares permite el despliegue total de las fuerzas terrestres”. Además, Winston Churchill destacó la importancia de esta supremacía, afirmando: “El mar es nuestra salvación. Lo que hacemos sobre el mar, decidiremos sobre el destino del mundo”. Este conflicto demostró que una guerra exitosa depende no solo de las fuerzas terrestres, sino también de la capacidad para dominar los mares, coordinarse entre aliados y adaptarse a nuevas tecnologías.</w:t>
      </w:r>
    </w:p>
    <w:p w14:paraId="2935DBC8" w14:textId="77777777" w:rsidR="004A4333" w:rsidRDefault="004A4333">
      <w:pPr>
        <w:spacing w:before="240" w:after="240" w:line="276" w:lineRule="auto"/>
        <w:jc w:val="both"/>
        <w:rPr>
          <w:rFonts w:ascii="Arial" w:eastAsia="Arial" w:hAnsi="Arial" w:cs="Arial"/>
          <w:b/>
          <w:sz w:val="24"/>
          <w:szCs w:val="24"/>
        </w:rPr>
      </w:pPr>
    </w:p>
    <w:p w14:paraId="00000046" w14:textId="36C47128" w:rsidR="008A2AE8" w:rsidRDefault="00000000">
      <w:pPr>
        <w:spacing w:before="240" w:after="240" w:line="276" w:lineRule="auto"/>
        <w:jc w:val="both"/>
        <w:rPr>
          <w:rFonts w:ascii="Arial" w:eastAsia="Arial" w:hAnsi="Arial" w:cs="Arial"/>
          <w:b/>
          <w:sz w:val="24"/>
          <w:szCs w:val="24"/>
        </w:rPr>
      </w:pPr>
      <w:r>
        <w:rPr>
          <w:rFonts w:ascii="Arial" w:eastAsia="Arial" w:hAnsi="Arial" w:cs="Arial"/>
          <w:b/>
          <w:sz w:val="24"/>
          <w:szCs w:val="24"/>
        </w:rPr>
        <w:lastRenderedPageBreak/>
        <w:t>4.- ANEXOS</w:t>
      </w:r>
    </w:p>
    <w:p w14:paraId="00000047" w14:textId="77777777" w:rsidR="008A2AE8" w:rsidRDefault="008A2AE8">
      <w:pPr>
        <w:spacing w:after="0" w:line="276" w:lineRule="auto"/>
        <w:jc w:val="both"/>
        <w:rPr>
          <w:rFonts w:ascii="Arial" w:eastAsia="Arial" w:hAnsi="Arial" w:cs="Arial"/>
          <w:b/>
          <w:sz w:val="24"/>
          <w:szCs w:val="24"/>
        </w:rPr>
      </w:pPr>
    </w:p>
    <w:p w14:paraId="00000048" w14:textId="77777777" w:rsidR="008A2AE8" w:rsidRDefault="00000000">
      <w:pPr>
        <w:numPr>
          <w:ilvl w:val="0"/>
          <w:numId w:val="1"/>
        </w:numPr>
        <w:spacing w:after="0" w:line="276" w:lineRule="auto"/>
        <w:jc w:val="both"/>
        <w:rPr>
          <w:rFonts w:ascii="Arial" w:eastAsia="Arial" w:hAnsi="Arial" w:cs="Arial"/>
          <w:b/>
          <w:sz w:val="24"/>
          <w:szCs w:val="24"/>
        </w:rPr>
      </w:pPr>
      <w:r>
        <w:rPr>
          <w:rFonts w:ascii="Arial" w:eastAsia="Arial" w:hAnsi="Arial" w:cs="Arial"/>
          <w:b/>
          <w:sz w:val="24"/>
          <w:szCs w:val="24"/>
        </w:rPr>
        <w:t>Bibliografía.</w:t>
      </w:r>
    </w:p>
    <w:p w14:paraId="00000049" w14:textId="77777777" w:rsidR="008A2AE8" w:rsidRDefault="008A2AE8">
      <w:pPr>
        <w:spacing w:after="0" w:line="276" w:lineRule="auto"/>
        <w:ind w:left="720"/>
        <w:jc w:val="both"/>
        <w:rPr>
          <w:rFonts w:ascii="Arial" w:eastAsia="Arial" w:hAnsi="Arial" w:cs="Arial"/>
          <w:b/>
          <w:sz w:val="24"/>
          <w:szCs w:val="24"/>
        </w:rPr>
      </w:pPr>
    </w:p>
    <w:p w14:paraId="0000004A" w14:textId="77777777" w:rsidR="008A2AE8" w:rsidRDefault="00000000">
      <w:pPr>
        <w:spacing w:after="0" w:line="276" w:lineRule="auto"/>
        <w:jc w:val="both"/>
        <w:rPr>
          <w:rFonts w:ascii="Arial" w:eastAsia="Arial" w:hAnsi="Arial" w:cs="Arial"/>
          <w:sz w:val="24"/>
          <w:szCs w:val="24"/>
        </w:rPr>
      </w:pPr>
      <w:r>
        <w:rPr>
          <w:rFonts w:ascii="Arial" w:eastAsia="Arial" w:hAnsi="Arial" w:cs="Arial"/>
          <w:sz w:val="24"/>
          <w:szCs w:val="24"/>
        </w:rPr>
        <w:t>APUNTES DE HISTORIA NAVAL TOMO III H. NAVAL MUNDIAL (2025), p.117-158</w:t>
      </w:r>
    </w:p>
    <w:p w14:paraId="0000004B" w14:textId="77777777" w:rsidR="008A2AE8" w:rsidRDefault="008A2AE8">
      <w:pPr>
        <w:spacing w:line="360" w:lineRule="auto"/>
        <w:ind w:right="850"/>
        <w:jc w:val="both"/>
        <w:rPr>
          <w:rFonts w:ascii="Arial" w:eastAsia="Arial" w:hAnsi="Arial" w:cs="Arial"/>
          <w:color w:val="0000FF"/>
          <w:u w:val="single"/>
        </w:rPr>
      </w:pPr>
    </w:p>
    <w:p w14:paraId="0000004C" w14:textId="77777777" w:rsidR="008A2AE8" w:rsidRDefault="00000000">
      <w:pPr>
        <w:spacing w:line="360" w:lineRule="auto"/>
        <w:ind w:right="850"/>
        <w:jc w:val="both"/>
        <w:rPr>
          <w:rFonts w:ascii="Arial" w:eastAsia="Arial" w:hAnsi="Arial" w:cs="Arial"/>
          <w:color w:val="0000FF"/>
          <w:u w:val="single"/>
        </w:rPr>
      </w:pPr>
      <w:hyperlink r:id="rId7">
        <w:r>
          <w:rPr>
            <w:rFonts w:ascii="Arial" w:eastAsia="Arial" w:hAnsi="Arial" w:cs="Arial"/>
            <w:color w:val="0000FF"/>
            <w:u w:val="single"/>
          </w:rPr>
          <w:t>https://historia.nationalgeographic.com.es/a/segunda-guerra-mundial-completo-historia-conflicto-que-cambio-mundo_18193</w:t>
        </w:r>
      </w:hyperlink>
    </w:p>
    <w:p w14:paraId="0000004D" w14:textId="77777777" w:rsidR="008A2AE8" w:rsidRDefault="00000000">
      <w:pPr>
        <w:spacing w:line="360" w:lineRule="auto"/>
        <w:ind w:right="850"/>
        <w:jc w:val="both"/>
        <w:rPr>
          <w:rFonts w:ascii="Arial" w:eastAsia="Arial" w:hAnsi="Arial" w:cs="Arial"/>
          <w:color w:val="0000FF"/>
          <w:u w:val="single"/>
        </w:rPr>
      </w:pPr>
      <w:hyperlink r:id="rId8">
        <w:r>
          <w:rPr>
            <w:rFonts w:ascii="Arial" w:eastAsia="Arial" w:hAnsi="Arial" w:cs="Arial"/>
            <w:color w:val="0000FF"/>
            <w:u w:val="single"/>
          </w:rPr>
          <w:t>https://www.abc.es/cultura/20140726/abci-batalla-mediterraneo-201407221343.html</w:t>
        </w:r>
      </w:hyperlink>
    </w:p>
    <w:p w14:paraId="0000004E" w14:textId="77777777" w:rsidR="008A2AE8" w:rsidRDefault="00000000">
      <w:pPr>
        <w:spacing w:line="360" w:lineRule="auto"/>
        <w:ind w:right="850"/>
        <w:jc w:val="both"/>
        <w:rPr>
          <w:rFonts w:ascii="Arial" w:eastAsia="Arial" w:hAnsi="Arial" w:cs="Arial"/>
          <w:color w:val="0000FF"/>
          <w:u w:val="single"/>
        </w:rPr>
      </w:pPr>
      <w:r>
        <w:rPr>
          <w:rFonts w:ascii="Arial" w:eastAsia="Arial" w:hAnsi="Arial" w:cs="Arial"/>
          <w:color w:val="0000FF"/>
          <w:u w:val="single"/>
        </w:rPr>
        <w:t>https://revistamarina.cl/revistas/1995/5/fghisolfoa.pdf</w:t>
      </w:r>
    </w:p>
    <w:p w14:paraId="0000004F" w14:textId="77777777" w:rsidR="008A2AE8" w:rsidRDefault="00000000">
      <w:pPr>
        <w:rPr>
          <w:rFonts w:ascii="Arial" w:eastAsia="Arial" w:hAnsi="Arial" w:cs="Arial"/>
          <w:color w:val="0000FF"/>
        </w:rPr>
      </w:pPr>
      <w:hyperlink r:id="rId9">
        <w:r>
          <w:rPr>
            <w:rFonts w:ascii="Arial" w:eastAsia="Arial" w:hAnsi="Arial" w:cs="Arial"/>
            <w:color w:val="0000FF"/>
            <w:u w:val="single"/>
          </w:rPr>
          <w:t>https://winstonchurchill.org/resources/speeches/</w:t>
        </w:r>
      </w:hyperlink>
    </w:p>
    <w:p w14:paraId="00000050" w14:textId="77777777" w:rsidR="008A2AE8" w:rsidRDefault="008A2AE8">
      <w:pPr>
        <w:rPr>
          <w:rFonts w:ascii="Arial" w:eastAsia="Arial" w:hAnsi="Arial" w:cs="Arial"/>
          <w:color w:val="0000FF"/>
        </w:rPr>
      </w:pPr>
    </w:p>
    <w:p w14:paraId="00000051" w14:textId="77777777" w:rsidR="008A2AE8" w:rsidRDefault="008A2AE8">
      <w:pPr>
        <w:spacing w:line="360" w:lineRule="auto"/>
        <w:ind w:right="850"/>
        <w:jc w:val="both"/>
        <w:rPr>
          <w:rFonts w:ascii="Arial" w:eastAsia="Arial" w:hAnsi="Arial" w:cs="Arial"/>
        </w:rPr>
      </w:pPr>
    </w:p>
    <w:p w14:paraId="00000052" w14:textId="77777777" w:rsidR="008A2AE8" w:rsidRDefault="008A2AE8">
      <w:pPr>
        <w:jc w:val="both"/>
        <w:rPr>
          <w:rFonts w:ascii="Arial" w:eastAsia="Arial" w:hAnsi="Arial" w:cs="Arial"/>
          <w:color w:val="000000"/>
          <w:sz w:val="24"/>
          <w:szCs w:val="24"/>
        </w:rPr>
      </w:pPr>
    </w:p>
    <w:sectPr w:rsidR="008A2AE8" w:rsidSect="00FA6475">
      <w:footerReference w:type="even" r:id="rId10"/>
      <w:footerReference w:type="default" r:id="rId11"/>
      <w:pgSz w:w="12240" w:h="15840" w:code="1"/>
      <w:pgMar w:top="1411" w:right="850" w:bottom="1411" w:left="1699"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80D1F" w14:textId="77777777" w:rsidR="00F22BF1" w:rsidRDefault="00F22BF1">
      <w:pPr>
        <w:spacing w:after="0" w:line="240" w:lineRule="auto"/>
      </w:pPr>
      <w:r>
        <w:separator/>
      </w:r>
    </w:p>
  </w:endnote>
  <w:endnote w:type="continuationSeparator" w:id="0">
    <w:p w14:paraId="480523CF" w14:textId="77777777" w:rsidR="00F22BF1" w:rsidRDefault="00F22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78E6B016-A835-4866-A3B3-9407C00FAF4A}"/>
  </w:font>
  <w:font w:name="Aptos">
    <w:charset w:val="00"/>
    <w:family w:val="swiss"/>
    <w:pitch w:val="variable"/>
    <w:sig w:usb0="20000287" w:usb1="00000003" w:usb2="00000000" w:usb3="00000000" w:csb0="0000019F" w:csb1="00000000"/>
    <w:embedRegular r:id="rId2" w:fontKey="{52B5445B-34EF-4DAF-B794-7666AE7F06B6}"/>
    <w:embedBold r:id="rId3" w:fontKey="{556AE90E-6992-4133-BD96-1C42606372DE}"/>
    <w:embedItalic r:id="rId4" w:fontKey="{3A484DD2-C361-4168-A4A4-6B0D8F5F9A41}"/>
  </w:font>
  <w:font w:name="Play">
    <w:charset w:val="00"/>
    <w:family w:val="auto"/>
    <w:pitch w:val="default"/>
    <w:embedRegular r:id="rId5" w:fontKey="{FF6289BD-7C54-41B3-8103-7756FD95E74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F84AE220-AEC2-4498-8C38-FD5D15556FD3}"/>
  </w:font>
  <w:font w:name="Cambria">
    <w:panose1 w:val="02040503050406030204"/>
    <w:charset w:val="00"/>
    <w:family w:val="roman"/>
    <w:pitch w:val="variable"/>
    <w:sig w:usb0="E00006FF" w:usb1="420024FF" w:usb2="02000000" w:usb3="00000000" w:csb0="0000019F" w:csb1="00000000"/>
    <w:embedRegular r:id="rId7" w:fontKey="{AA3AF8E7-5CB6-4062-99CB-D34124FE69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3" w14:textId="204DC239" w:rsidR="008A2AE8"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04AE9">
      <w:rPr>
        <w:noProof/>
        <w:color w:val="000000"/>
      </w:rPr>
      <w:t>2</w:t>
    </w:r>
    <w:r>
      <w:rPr>
        <w:color w:val="000000"/>
      </w:rPr>
      <w:fldChar w:fldCharType="end"/>
    </w:r>
  </w:p>
  <w:p w14:paraId="00000054" w14:textId="77777777" w:rsidR="008A2AE8" w:rsidRDefault="008A2AE8">
    <w:pPr>
      <w:pBdr>
        <w:top w:val="nil"/>
        <w:left w:val="nil"/>
        <w:bottom w:val="nil"/>
        <w:right w:val="nil"/>
        <w:between w:val="nil"/>
      </w:pBdr>
      <w:tabs>
        <w:tab w:val="center" w:pos="4419"/>
        <w:tab w:val="right" w:pos="8838"/>
      </w:tabs>
      <w:spacing w:after="0" w:line="240" w:lineRule="auto"/>
      <w:ind w:right="360" w:firstLine="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5" w14:textId="357134AF" w:rsidR="008A2AE8"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04AE9">
      <w:rPr>
        <w:noProof/>
        <w:color w:val="000000"/>
      </w:rPr>
      <w:t>3</w:t>
    </w:r>
    <w:r>
      <w:rPr>
        <w:color w:val="000000"/>
      </w:rPr>
      <w:fldChar w:fldCharType="end"/>
    </w:r>
  </w:p>
  <w:p w14:paraId="00000056" w14:textId="77777777" w:rsidR="008A2AE8" w:rsidRDefault="008A2AE8">
    <w:pPr>
      <w:pBdr>
        <w:top w:val="nil"/>
        <w:left w:val="nil"/>
        <w:bottom w:val="nil"/>
        <w:right w:val="nil"/>
        <w:between w:val="nil"/>
      </w:pBdr>
      <w:tabs>
        <w:tab w:val="center" w:pos="4419"/>
        <w:tab w:val="right" w:pos="8838"/>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84822" w14:textId="77777777" w:rsidR="00F22BF1" w:rsidRDefault="00F22BF1">
      <w:pPr>
        <w:spacing w:after="0" w:line="240" w:lineRule="auto"/>
      </w:pPr>
      <w:r>
        <w:separator/>
      </w:r>
    </w:p>
  </w:footnote>
  <w:footnote w:type="continuationSeparator" w:id="0">
    <w:p w14:paraId="35A5EE78" w14:textId="77777777" w:rsidR="00F22BF1" w:rsidRDefault="00F22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6D64"/>
    <w:multiLevelType w:val="multilevel"/>
    <w:tmpl w:val="B330E1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644F78B6"/>
    <w:multiLevelType w:val="multilevel"/>
    <w:tmpl w:val="652494B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8018687">
    <w:abstractNumId w:val="0"/>
  </w:num>
  <w:num w:numId="2" w16cid:durableId="1385638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defaultTabStop w:val="720"/>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AE8"/>
    <w:rsid w:val="00197E61"/>
    <w:rsid w:val="004A4333"/>
    <w:rsid w:val="00670410"/>
    <w:rsid w:val="00674F50"/>
    <w:rsid w:val="008A2AE8"/>
    <w:rsid w:val="00904AE9"/>
    <w:rsid w:val="00A4532F"/>
    <w:rsid w:val="00B75137"/>
    <w:rsid w:val="00CD614A"/>
    <w:rsid w:val="00EB4F86"/>
    <w:rsid w:val="00EF2554"/>
    <w:rsid w:val="00F22BF1"/>
    <w:rsid w:val="00FA64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E162"/>
  <w15:docId w15:val="{BC199F4C-9719-4300-8F75-82BF794E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bc.es/cultura/20140726/abci-batalla-mediterraneo-201407221343.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istoria.nationalgeographic.com.es/a/segunda-guerra-mundial-completo-historia-conflicto-que-cambio-mundo_1819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instonchurchill.org/resources/speech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1512</Words>
  <Characters>8318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eduardo nicolas dominguez campos</cp:lastModifiedBy>
  <cp:revision>6</cp:revision>
  <dcterms:created xsi:type="dcterms:W3CDTF">2025-03-10T23:12:00Z</dcterms:created>
  <dcterms:modified xsi:type="dcterms:W3CDTF">2025-03-11T00:17:00Z</dcterms:modified>
</cp:coreProperties>
</file>