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D94" w:rsidRPr="00722D94" w:rsidRDefault="00722D94" w:rsidP="00722D94">
      <w:pPr>
        <w:shd w:val="clear" w:color="auto" w:fill="FFFFFF"/>
        <w:spacing w:before="75" w:after="75" w:line="240" w:lineRule="auto"/>
        <w:outlineLvl w:val="1"/>
        <w:rPr>
          <w:rFonts w:ascii="Times New Roman" w:eastAsia="Times New Roman" w:hAnsi="Times New Roman" w:cs="Times New Roman"/>
          <w:color w:val="CC0000"/>
          <w:sz w:val="28"/>
          <w:szCs w:val="28"/>
          <w:lang w:eastAsia="es-CL"/>
        </w:rPr>
      </w:pPr>
      <w:r w:rsidRPr="00722D94">
        <w:rPr>
          <w:rFonts w:ascii="Times New Roman" w:eastAsia="Times New Roman" w:hAnsi="Times New Roman" w:cs="Times New Roman"/>
          <w:color w:val="CC0000"/>
          <w:sz w:val="28"/>
          <w:szCs w:val="28"/>
          <w:lang w:eastAsia="es-CL"/>
        </w:rPr>
        <w:t>Periodo 1973-1990</w:t>
      </w:r>
    </w:p>
    <w:p w:rsidR="00722D94" w:rsidRPr="00722D94" w:rsidRDefault="00722D94" w:rsidP="00722D94">
      <w:pPr>
        <w:shd w:val="clear" w:color="auto" w:fill="FFFFFF"/>
        <w:spacing w:before="75" w:after="75" w:line="240" w:lineRule="auto"/>
        <w:outlineLvl w:val="2"/>
        <w:rPr>
          <w:rFonts w:ascii="Times New Roman" w:eastAsia="Times New Roman" w:hAnsi="Times New Roman" w:cs="Times New Roman"/>
          <w:b/>
          <w:bCs/>
          <w:color w:val="3D4449"/>
          <w:sz w:val="28"/>
          <w:szCs w:val="28"/>
          <w:lang w:eastAsia="es-CL"/>
        </w:rPr>
      </w:pPr>
      <w:r w:rsidRPr="00722D94">
        <w:rPr>
          <w:rFonts w:ascii="Times New Roman" w:eastAsia="Times New Roman" w:hAnsi="Times New Roman" w:cs="Times New Roman"/>
          <w:b/>
          <w:bCs/>
          <w:color w:val="3D4449"/>
          <w:sz w:val="28"/>
          <w:szCs w:val="28"/>
          <w:lang w:eastAsia="es-CL"/>
        </w:rPr>
        <w:t>Régimen militar</w:t>
      </w:r>
    </w:p>
    <w:p w:rsidR="00722D94" w:rsidRPr="00722D94" w:rsidRDefault="00722D94" w:rsidP="00722D94">
      <w:pPr>
        <w:shd w:val="clear" w:color="auto" w:fill="FFFFFF"/>
        <w:spacing w:before="225" w:after="225" w:line="240" w:lineRule="auto"/>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pict>
          <v:rect id="_x0000_i1025" style="width:0;height:0" o:hralign="center" o:hrstd="t" o:hr="t" fillcolor="#a0a0a0" stroked="f"/>
        </w:pic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Este período abarca desde el golpe militar del 11 de septiembre de 1973, hasta el 11 de marzo de 1990, fecha en que asume </w:t>
      </w:r>
      <w:r w:rsidRPr="003A3B14">
        <w:rPr>
          <w:rFonts w:ascii="Arial" w:eastAsia="Times New Roman" w:hAnsi="Arial" w:cs="Arial"/>
          <w:color w:val="7F888F"/>
          <w:sz w:val="24"/>
          <w:szCs w:val="24"/>
          <w:lang w:eastAsia="es-CL"/>
        </w:rPr>
        <w:t>Patricio Aylwin Azócar</w:t>
      </w:r>
      <w:r w:rsidRPr="00722D94">
        <w:rPr>
          <w:rFonts w:ascii="Arial" w:eastAsia="Times New Roman" w:hAnsi="Arial" w:cs="Arial"/>
          <w:color w:val="7F888F"/>
          <w:sz w:val="24"/>
          <w:szCs w:val="24"/>
          <w:lang w:eastAsia="es-CL"/>
        </w:rPr>
        <w:t>, presidente que inaugura la transición democrática.</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Derrocado el gobierno el 11 de septiembre de 1973, una Junta Militar toma el poder político, estableciendo un gobierno autoritario. Entre otras medidas inmediatas, decreta la clausura el Congreso Nacional, el receso a los partidos políticos e instaura el Estado de Sitio en todo el país. La Junta Militar gobernó el país hasta el 11 de marzo de 1990 y en sus comienzos estuvo integrada por el general </w:t>
      </w:r>
      <w:r w:rsidRPr="003A3B14">
        <w:rPr>
          <w:rFonts w:ascii="Arial" w:eastAsia="Times New Roman" w:hAnsi="Arial" w:cs="Arial"/>
          <w:color w:val="7F888F"/>
          <w:sz w:val="24"/>
          <w:szCs w:val="24"/>
          <w:lang w:eastAsia="es-CL"/>
        </w:rPr>
        <w:t>Augusto Pinochet Ugarte</w:t>
      </w:r>
      <w:r w:rsidRPr="00722D94">
        <w:rPr>
          <w:rFonts w:ascii="Arial" w:eastAsia="Times New Roman" w:hAnsi="Arial" w:cs="Arial"/>
          <w:color w:val="7F888F"/>
          <w:sz w:val="24"/>
          <w:szCs w:val="24"/>
          <w:lang w:eastAsia="es-CL"/>
        </w:rPr>
        <w:t>, Comandante en Jefe del Ejército, general Gustavo Leigh Guzmán, Comandante en Jefe de la Fuerza Aérea, almirante José Toribio Merino Castro, Comandante en Jefe de la Armada, y por el general César Mendoza Durán, General Director de Carabineros.</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Entre 1973 y 1978, el general Pinochet consolida su poder por sobre los demás miembros de la Junta Militar, asumiendo de manera consecutiva los cargos de “Jefe Supremo de la Nación”, “Presidente de la República” y “Capitán General”, al tiempo que conserva el cargo de Comandante en Jefe del Ejército. A su vez, la Junta Militar reemplaza al Congreso en el ejercicio de la función legislativa, quedando investida de los poderes Legislativo y Constituyente, potestad que ejerce mediante la dictación de Decretos Leyes.</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El régimen militar se caracterizó por practicar una amplia represión política, labor que estuvo en manos de la Dirección de Inteligencia Nacional (DINA), desde 1973 hasta 1978. Esto derivó en abusos y atropellos a los Derechos Humanos: Miles de ciudadanos son detenidos, se producen allanamientos masivos y se cometen torturas, asesinatos y desapariciones de personas, que afectan principalmente a los militantes y simpatizantes de la depuesta </w:t>
      </w:r>
      <w:r w:rsidRPr="003A3B14">
        <w:rPr>
          <w:rFonts w:ascii="Arial" w:eastAsia="Times New Roman" w:hAnsi="Arial" w:cs="Arial"/>
          <w:color w:val="7F888F"/>
          <w:sz w:val="24"/>
          <w:szCs w:val="24"/>
          <w:lang w:eastAsia="es-CL"/>
        </w:rPr>
        <w:t>Unidad Popular</w:t>
      </w:r>
      <w:r w:rsidRPr="00722D94">
        <w:rPr>
          <w:rFonts w:ascii="Arial" w:eastAsia="Times New Roman" w:hAnsi="Arial" w:cs="Arial"/>
          <w:color w:val="7F888F"/>
          <w:sz w:val="24"/>
          <w:szCs w:val="24"/>
          <w:lang w:eastAsia="es-CL"/>
        </w:rPr>
        <w:t>. En este contexto, un número considerable de chilenos se refugia en embajadas extranjeras o sale del país.</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Económicamente, se produce una pugna entre los partidarios de un proyecto nacionalista y desarrollista y aquellos que sustentan la implementación de un esquema económico neoliberal, con énfasis en el protagonismo del sector privado y en el desarrollo de una estrategia de apertura del comercio exterior, la rebaja de los aranceles a la importación y la reducción del Estado con la venta o privatización de sus empresas, dejando a éste en un rol subsidiario.</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 xml:space="preserve">Son éstos últimos quienes, desde 1975, logran imponer su proyecto económico, el que se aplica en Chile de manera extensiva y sin contrapesos, en vista de la desaparición de toda oposición. Asimismo, se instaura una legislación acorde, destacando la promulgación del Plan Laboral, conjunto de textos legales que establecen el nuevo modelo normativo de las relaciones laborales, restringiendo </w:t>
      </w:r>
      <w:r w:rsidRPr="00722D94">
        <w:rPr>
          <w:rFonts w:ascii="Arial" w:eastAsia="Times New Roman" w:hAnsi="Arial" w:cs="Arial"/>
          <w:color w:val="7F888F"/>
          <w:sz w:val="24"/>
          <w:szCs w:val="24"/>
          <w:lang w:eastAsia="es-CL"/>
        </w:rPr>
        <w:lastRenderedPageBreak/>
        <w:t>fuertemente el poder de los sindicatos y las materias de negociación. La implementación de la política económica de los denominados “Chicago boys” logra frenar la inflación y da un importante impulso a las exportaciones de productos primarios, permitiendo asimismo el acceso a una variada gama de productos importados. Por otro lado, significa un duro golpe a la industria nacional, la que se ve sumergida en una aguda crisis desde la segunda mitad de la década de 1970.</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A nivel político, la situación interna dentro del régimen atravesó su primera crisis de importancia. El 24 de julio de 1978, la Junta de Gobierno destituye a uno de sus miembros, el general Gustavo Leigh Guzmán, debido principalmente a conflictos de poder con el general Pinochet. En su reemplazo, asumió como miembro de la Junta el general Fernando Matthei Aubel, quien se mantuvo hasta el final del régimen militar.</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Luego de un largo proceso de elaboración, se implementa una de las mayores obras del régimen militar, la Constitución Política de 1980, dando inicio a la institucionalización del régimen. En ella se establece un régimen presidencialista marcadamente autoritario, con una Presidencia de 8 años, un Congreso de poderes limitados y con un tercio de senadores designados, y una serie de mecanismos institucionales que garantizan la influencia militar en los futuros gobiernos. Por ejemplo, la inamovilidad de los comandantes en jefes de las Fuerzas Armadas, el carácter de "garante de la institucionalidad" otorgado a estas mismas instituciones, y la existencia del Consejo de Seguridad Nacional (COSENA), son manifestaciones de la influencia militar en la Constitución de 1980. Además, el texto se complementó con veintinueve artículos transitorios que le otorgaban amplias atribuciones al general Pinochet. Por ejemplo, su elección en el cargo de Presidente de la República por ocho años más, al cabo del cual se realizaría un plebiscito para ratificarlo para un segundo mandato hasta el año 1997.</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Llamada a su aprobación mediante un plebiscito efectuado el 11 de septiembre de 1980, éste no cuenta con las garantías necesarias para garantizar su legitimidad, en vista de la proscripción de la oposición, la censura de prensa y la inexistencia de registros electorales. El resultado arroja una aprobación del 67%. Seis meses más tarde, el 11 de marzo de 1981, comienza a regir la Constitución Política y el general Pinochet asume su mandato presidencial por ocho años. Por ello deja de pertenecer a la Junta Militar, cargo que fue ocupado por el general de mayor antigüedad. De este modo, formaron parte de dicha Junta los Tenientes Generales César Benavides (1981-1985), Julio Canessa Robert (1985-1986), Humberto Gordon (1986-1988), Santiago Sinclair (1988-1990) y Jorge Lucar Figueroa (1990). En 1990, pocos días antes del retorno a la democracia, José Toribio Merino fue sucedido por Jorge Martínez Busch, como comandante en jefe de la Armada y, por ende, como miembro de la Junta.</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 xml:space="preserve">En el plano económico, y acorde con la política de reducción del Estado, a partir de la década de los ochenta se desarrolla una profunda reforma a los sistemas de salud, educación y previsión estatales. En enero de 1980 se promulga la ley de municipalización de la educación, entregando la administración fiscal de la </w:t>
      </w:r>
      <w:r w:rsidRPr="00722D94">
        <w:rPr>
          <w:rFonts w:ascii="Arial" w:eastAsia="Times New Roman" w:hAnsi="Arial" w:cs="Arial"/>
          <w:color w:val="7F888F"/>
          <w:sz w:val="24"/>
          <w:szCs w:val="24"/>
          <w:lang w:eastAsia="es-CL"/>
        </w:rPr>
        <w:lastRenderedPageBreak/>
        <w:t>educación pública a las municipalidades. En noviembre del mismo año se promulga la ley que reemplaza el sistema de pensiones basado en un fondo común aportado por los trabajadores, por otro derivado de la capitalización individual en entes privados, las denominadas Administradoras de Fondos de Pensiones (AFP). En marzo de 1981 se promulga la ley que faculta a las personas a depositar sus cotizaciones de salud en entes privados, las denominadas Instituciones de Salud Previsional (ISAPRES).</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La década de 1980 se inaugura con positivas cifras de crecimiento, expansión del crédito y del comercio, especialmente de artículos importados y por la formación de una nueva clase empresarial. Sin embargo, esta bonanza económica tiene un abrupto final en el año 1982. El aumento del precio del petróleo, la caída en las exportaciones y la quiebra masiva de bancos e industrias sumen al país en una severa recesión. El explosivo aumento del desempleo y del endeudamiento provoca una ola de malestar que se traduce en las primeras protestas nacionales en contra de la dictadura. Estas manifestaciones de descontento se expresan a través de huelgas, marchas callejeras, enfrentamientos con la policía, barricadas en poblaciones marginales y bocinazos y golpeteo de cacerolas en los barrios de clase media. Las protestas, impulsadas por sectores gremiales y sindicales, se expanden hacia el estudiantado, los pobladores y los partidos políticos, quienes resurgen tras un largo receso. Organizada la oposición bajo el alero de los partidos políticos de centro e izquierda, éstos demandan la renuncia de Pinochet, la derogación de la Constitución de 1980 y la realización de elecciones libres y democráticas.</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Estas demandas son respondidas con una dura represión, lo que provoca una agudización del conflicto y la violencia. Entre 1983 y 1986 se suceden más de veinte jornadas nacionales de protesta, al tiempo que el </w:t>
      </w:r>
      <w:hyperlink r:id="rId7" w:tooltip="Partido Comunista de Chile" w:history="1">
        <w:r w:rsidRPr="00722D94">
          <w:rPr>
            <w:rFonts w:ascii="Arial" w:eastAsia="Times New Roman" w:hAnsi="Arial" w:cs="Arial"/>
            <w:color w:val="6173A3"/>
            <w:sz w:val="24"/>
            <w:szCs w:val="24"/>
            <w:lang w:eastAsia="es-CL"/>
          </w:rPr>
          <w:t>Partido Comunista</w:t>
        </w:r>
      </w:hyperlink>
      <w:r w:rsidRPr="00722D94">
        <w:rPr>
          <w:rFonts w:ascii="Arial" w:eastAsia="Times New Roman" w:hAnsi="Arial" w:cs="Arial"/>
          <w:color w:val="7F888F"/>
          <w:sz w:val="24"/>
          <w:szCs w:val="24"/>
          <w:lang w:eastAsia="es-CL"/>
        </w:rPr>
        <w:t> impulsa una política insurreccional que se traduce en el accionar de su brazo armado, el Frente Patriótico Manuel Rodríguez, el que efectúa en el año 1986 un fallido atentado contra Pinochet. Debido en parte a las responsabilidades de carabineros en la represión política, el 2 de agosto de 1985 el general César Mendoza Durán renunciaba a la Dirección de Carabineros, siendo reemplazado por el general Rodolfo Stange, que en consecuencia pasó a ser miembro de la Junta Militar.</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t>El fracaso de las protestas y de la lucha armada para derrocar al régimen provoca que la oposición, excepto el Partido Comunista y otros grupos de izquierda como el Frente Patriótico Manuel Rodríguez y el Movimiento de Izquierda Revolucionaria, acepte insertarse dentro de la institucionalidad existente en la Constitución de 1980. Esto significa participar en el plebiscito que la Carta estipula para el año 1988 y derrotar a Pinochet en las urnas. Agrupados en la denominada “Concertación de Partidos por el No” </w:t>
      </w:r>
      <w:r w:rsidRPr="003A3B14">
        <w:rPr>
          <w:rFonts w:ascii="Arial" w:eastAsia="Times New Roman" w:hAnsi="Arial" w:cs="Arial"/>
          <w:color w:val="7F888F"/>
          <w:sz w:val="24"/>
          <w:szCs w:val="24"/>
          <w:lang w:eastAsia="es-CL"/>
        </w:rPr>
        <w:t>demócrata cristianos</w:t>
      </w:r>
      <w:r w:rsidRPr="00722D94">
        <w:rPr>
          <w:rFonts w:ascii="Arial" w:eastAsia="Times New Roman" w:hAnsi="Arial" w:cs="Arial"/>
          <w:color w:val="7F888F"/>
          <w:sz w:val="24"/>
          <w:szCs w:val="24"/>
          <w:lang w:eastAsia="es-CL"/>
        </w:rPr>
        <w:t>, </w:t>
      </w:r>
      <w:r w:rsidRPr="003A3B14">
        <w:rPr>
          <w:rFonts w:ascii="Arial" w:eastAsia="Times New Roman" w:hAnsi="Arial" w:cs="Arial"/>
          <w:color w:val="7F888F"/>
          <w:sz w:val="24"/>
          <w:szCs w:val="24"/>
          <w:lang w:eastAsia="es-CL"/>
        </w:rPr>
        <w:t>socialistas</w:t>
      </w:r>
      <w:r w:rsidRPr="00722D94">
        <w:rPr>
          <w:rFonts w:ascii="Arial" w:eastAsia="Times New Roman" w:hAnsi="Arial" w:cs="Arial"/>
          <w:color w:val="7F888F"/>
          <w:sz w:val="24"/>
          <w:szCs w:val="24"/>
          <w:lang w:eastAsia="es-CL"/>
        </w:rPr>
        <w:t>, </w:t>
      </w:r>
      <w:r w:rsidRPr="003A3B14">
        <w:rPr>
          <w:rFonts w:ascii="Arial" w:eastAsia="Times New Roman" w:hAnsi="Arial" w:cs="Arial"/>
          <w:color w:val="7F888F"/>
          <w:sz w:val="24"/>
          <w:szCs w:val="24"/>
          <w:lang w:eastAsia="es-CL"/>
        </w:rPr>
        <w:t>radicales</w:t>
      </w:r>
      <w:r w:rsidRPr="00722D94">
        <w:rPr>
          <w:rFonts w:ascii="Arial" w:eastAsia="Times New Roman" w:hAnsi="Arial" w:cs="Arial"/>
          <w:color w:val="7F888F"/>
          <w:sz w:val="24"/>
          <w:szCs w:val="24"/>
          <w:lang w:eastAsia="es-CL"/>
        </w:rPr>
        <w:t>, </w:t>
      </w:r>
      <w:r w:rsidRPr="003A3B14">
        <w:rPr>
          <w:rFonts w:ascii="Arial" w:eastAsia="Times New Roman" w:hAnsi="Arial" w:cs="Arial"/>
          <w:color w:val="7F888F"/>
          <w:sz w:val="24"/>
          <w:szCs w:val="24"/>
          <w:lang w:eastAsia="es-CL"/>
        </w:rPr>
        <w:t>humanistas</w:t>
      </w:r>
      <w:r w:rsidRPr="00722D94">
        <w:rPr>
          <w:rFonts w:ascii="Arial" w:eastAsia="Times New Roman" w:hAnsi="Arial" w:cs="Arial"/>
          <w:color w:val="7F888F"/>
          <w:sz w:val="24"/>
          <w:szCs w:val="24"/>
          <w:lang w:eastAsia="es-CL"/>
        </w:rPr>
        <w:t> y sectores de derecha liberales se lanzan en una campaña que culmina el 5 de octubre de 1988, con la victoria de la opción “No” en el plebiscito, con un 54% de los votos. Esto significa el llamado a elecciones presidenciales y parlamentarias para el año siguiente.</w:t>
      </w:r>
    </w:p>
    <w:p w:rsidR="00722D94" w:rsidRPr="00722D94" w:rsidRDefault="00722D94" w:rsidP="00722D94">
      <w:pPr>
        <w:shd w:val="clear" w:color="auto" w:fill="FFFFFF"/>
        <w:spacing w:after="150" w:line="240" w:lineRule="auto"/>
        <w:jc w:val="both"/>
        <w:rPr>
          <w:rFonts w:ascii="Arial" w:eastAsia="Times New Roman" w:hAnsi="Arial" w:cs="Arial"/>
          <w:color w:val="7F888F"/>
          <w:sz w:val="24"/>
          <w:szCs w:val="24"/>
          <w:lang w:eastAsia="es-CL"/>
        </w:rPr>
      </w:pPr>
      <w:r w:rsidRPr="00722D94">
        <w:rPr>
          <w:rFonts w:ascii="Arial" w:eastAsia="Times New Roman" w:hAnsi="Arial" w:cs="Arial"/>
          <w:color w:val="7F888F"/>
          <w:sz w:val="24"/>
          <w:szCs w:val="24"/>
          <w:lang w:eastAsia="es-CL"/>
        </w:rPr>
        <w:lastRenderedPageBreak/>
        <w:t>De esta forma, en las elecciones del 14 de diciembre de 1989, </w:t>
      </w:r>
      <w:hyperlink r:id="rId8" w:tooltip="Patricio Aylwin Azócar" w:history="1">
        <w:r w:rsidRPr="00722D94">
          <w:rPr>
            <w:rFonts w:ascii="Arial" w:eastAsia="Times New Roman" w:hAnsi="Arial" w:cs="Arial"/>
            <w:color w:val="6173A3"/>
            <w:sz w:val="24"/>
            <w:szCs w:val="24"/>
            <w:lang w:eastAsia="es-CL"/>
          </w:rPr>
          <w:t>Patricio Aylwin</w:t>
        </w:r>
      </w:hyperlink>
      <w:r w:rsidRPr="00722D94">
        <w:rPr>
          <w:rFonts w:ascii="Arial" w:eastAsia="Times New Roman" w:hAnsi="Arial" w:cs="Arial"/>
          <w:color w:val="7F888F"/>
          <w:sz w:val="24"/>
          <w:szCs w:val="24"/>
          <w:lang w:eastAsia="es-CL"/>
        </w:rPr>
        <w:t>, demócrata cristiano y candidato de la ahora denominada </w:t>
      </w:r>
      <w:r w:rsidRPr="003A3B14">
        <w:rPr>
          <w:rFonts w:ascii="Arial" w:eastAsia="Times New Roman" w:hAnsi="Arial" w:cs="Arial"/>
          <w:color w:val="7F888F"/>
          <w:sz w:val="24"/>
          <w:szCs w:val="24"/>
          <w:lang w:eastAsia="es-CL"/>
        </w:rPr>
        <w:t>Concertación de Partidos por la Democracia</w:t>
      </w:r>
      <w:r w:rsidRPr="00722D94">
        <w:rPr>
          <w:rFonts w:ascii="Arial" w:eastAsia="Times New Roman" w:hAnsi="Arial" w:cs="Arial"/>
          <w:color w:val="7F888F"/>
          <w:sz w:val="24"/>
          <w:szCs w:val="24"/>
          <w:lang w:eastAsia="es-CL"/>
        </w:rPr>
        <w:t>, gana las elecciones con un 55% de los votos, sobre Hernán Buchi y Francisco Javier Errázuriz, marcando el fin del régimen militar.</w:t>
      </w:r>
    </w:p>
    <w:p w:rsidR="00722D94" w:rsidRDefault="00722D94" w:rsidP="00722D94">
      <w:pPr>
        <w:jc w:val="both"/>
        <w:rPr>
          <w:sz w:val="20"/>
          <w:szCs w:val="20"/>
        </w:rPr>
      </w:pPr>
      <w:r w:rsidRPr="00722D94">
        <w:rPr>
          <w:sz w:val="20"/>
          <w:szCs w:val="20"/>
        </w:rPr>
        <w:t xml:space="preserve">FUENTE: </w:t>
      </w:r>
      <w:hyperlink r:id="rId9" w:history="1">
        <w:r w:rsidRPr="00387159">
          <w:rPr>
            <w:rStyle w:val="Hipervnculo"/>
            <w:sz w:val="20"/>
            <w:szCs w:val="20"/>
          </w:rPr>
          <w:t>https://www.bcn.cl/historiapolitica/hitos_periodo/detalle_periodo.html?per=1973-1990</w:t>
        </w:r>
      </w:hyperlink>
    </w:p>
    <w:p w:rsidR="003A3B14" w:rsidRDefault="003A3B14" w:rsidP="00722D94">
      <w:pPr>
        <w:jc w:val="both"/>
        <w:rPr>
          <w:sz w:val="20"/>
          <w:szCs w:val="20"/>
        </w:rPr>
      </w:pPr>
    </w:p>
    <w:p w:rsidR="00722D94" w:rsidRPr="003A3B14" w:rsidRDefault="00722D94" w:rsidP="003A3B14">
      <w:pPr>
        <w:pStyle w:val="Ttulo3"/>
        <w:shd w:val="clear" w:color="auto" w:fill="F5F6F7"/>
        <w:spacing w:before="143" w:beforeAutospacing="0" w:after="71" w:afterAutospacing="0"/>
        <w:jc w:val="center"/>
        <w:rPr>
          <w:color w:val="3D4449"/>
          <w:sz w:val="22"/>
          <w:szCs w:val="22"/>
        </w:rPr>
      </w:pPr>
      <w:r w:rsidRPr="003A3B14">
        <w:rPr>
          <w:caps/>
          <w:color w:val="3D4449"/>
          <w:sz w:val="22"/>
          <w:szCs w:val="22"/>
        </w:rPr>
        <w:t>Hitos del Periodo</w:t>
      </w:r>
      <w:r w:rsidRPr="003A3B14">
        <w:rPr>
          <w:color w:val="3D4449"/>
          <w:sz w:val="22"/>
          <w:szCs w:val="22"/>
        </w:rPr>
        <w:t xml:space="preserve"> 1973-1990</w:t>
      </w:r>
    </w:p>
    <w:p w:rsidR="003A3B14" w:rsidRDefault="003A3B14" w:rsidP="003A3B14">
      <w:pPr>
        <w:pStyle w:val="Ttulo4"/>
        <w:shd w:val="clear" w:color="auto" w:fill="F5F6F7"/>
        <w:spacing w:before="0" w:after="36"/>
        <w:jc w:val="both"/>
        <w:textAlignment w:val="top"/>
        <w:rPr>
          <w:color w:val="3D4449"/>
        </w:rPr>
      </w:pP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Junta Militar disuelve el Congreso Nacional</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24-09-1973</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 xml:space="preserve">Trece días después de ocurrido el </w:t>
      </w:r>
      <w:r w:rsidR="003A3B14" w:rsidRPr="003A3B14">
        <w:rPr>
          <w:rFonts w:ascii="Arial" w:hAnsi="Arial" w:cs="Arial"/>
          <w:color w:val="666666"/>
          <w:sz w:val="20"/>
          <w:szCs w:val="20"/>
        </w:rPr>
        <w:t xml:space="preserve">Pronunciamiento </w:t>
      </w:r>
      <w:r w:rsidRPr="003A3B14">
        <w:rPr>
          <w:rFonts w:ascii="Arial" w:hAnsi="Arial" w:cs="Arial"/>
          <w:color w:val="666666"/>
          <w:sz w:val="20"/>
          <w:szCs w:val="20"/>
        </w:rPr>
        <w:t>Militar del 11</w:t>
      </w:r>
      <w:r w:rsidR="003A3B14" w:rsidRPr="003A3B14">
        <w:rPr>
          <w:rFonts w:ascii="Arial" w:hAnsi="Arial" w:cs="Arial"/>
          <w:color w:val="666666"/>
          <w:sz w:val="20"/>
          <w:szCs w:val="20"/>
        </w:rPr>
        <w:t>/9/</w:t>
      </w:r>
      <w:r w:rsidRPr="003A3B14">
        <w:rPr>
          <w:rFonts w:ascii="Arial" w:hAnsi="Arial" w:cs="Arial"/>
          <w:color w:val="666666"/>
          <w:sz w:val="20"/>
          <w:szCs w:val="20"/>
        </w:rPr>
        <w:t>1973 se publica en el Diario Oficial el Decreto Ley Nº27 que disuelve el Congreso Nacional, pone fin a sus funciones y declara vacantes los cargos de los parlamentarios que invisten tal calidad. La labor legislativa deja su organización administrativa bajo la autoridad del Secretario del Senado y es asumida por la Junta Militar que justifica tal decisión en la necesidad de acelerar el cumplimiento de sus funciones. Tras 16 años sin Congreso, el 14</w:t>
      </w:r>
      <w:r w:rsidR="003A3B14" w:rsidRPr="003A3B14">
        <w:rPr>
          <w:rFonts w:ascii="Arial" w:hAnsi="Arial" w:cs="Arial"/>
          <w:color w:val="666666"/>
          <w:sz w:val="20"/>
          <w:szCs w:val="20"/>
        </w:rPr>
        <w:t>/12/</w:t>
      </w:r>
      <w:r w:rsidRPr="003A3B14">
        <w:rPr>
          <w:rFonts w:ascii="Arial" w:hAnsi="Arial" w:cs="Arial"/>
          <w:color w:val="666666"/>
          <w:sz w:val="20"/>
          <w:szCs w:val="20"/>
        </w:rPr>
        <w:t>1989, se producen nuevas elecciones de Diputados y Senadores.</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26"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Declaración de caducidad de todos los registros electorales del país</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13-11-1973</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A través del Ministerio del Interior la Junta de Gobierno que encabeza el mando de la Nación desde el 11</w:t>
      </w:r>
      <w:r w:rsidR="003A3B14" w:rsidRPr="003A3B14">
        <w:rPr>
          <w:rFonts w:ascii="Arial" w:hAnsi="Arial" w:cs="Arial"/>
          <w:color w:val="666666"/>
          <w:sz w:val="20"/>
          <w:szCs w:val="20"/>
        </w:rPr>
        <w:t>/9/</w:t>
      </w:r>
      <w:r w:rsidRPr="003A3B14">
        <w:rPr>
          <w:rFonts w:ascii="Arial" w:hAnsi="Arial" w:cs="Arial"/>
          <w:color w:val="666666"/>
          <w:sz w:val="20"/>
          <w:szCs w:val="20"/>
        </w:rPr>
        <w:t>1973 declara la caducidad de todos los registros electorales del país mediante el Decreto Ley Nº130. Tal medida aduce a la comprobada existencia de graves y extendidos fraudes electorales por lo que la Dirección del Registro Electoral procede a inutilizar los registros, suspender el proceso de inscripción y prohibir cualquier nueva inscripción de parte de las Juntas Inscriptoras. Mientras subsista la suspensión dispuesta quedan sin aplicación todas las disposiciones legales y reglamentarias que exijan acreditar la inscripción en los Registros Electorales.</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27"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Decretan el Estatuto de la Junta de Gobierno</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17-06-1974</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A partir de esta fecha la Junta de Gobierno que encabeza el mando de la Nación desde el 11</w:t>
      </w:r>
      <w:r w:rsidR="003A3B14" w:rsidRPr="003A3B14">
        <w:rPr>
          <w:rFonts w:ascii="Arial" w:hAnsi="Arial" w:cs="Arial"/>
          <w:color w:val="666666"/>
          <w:sz w:val="20"/>
          <w:szCs w:val="20"/>
        </w:rPr>
        <w:t>/9/</w:t>
      </w:r>
      <w:r w:rsidRPr="003A3B14">
        <w:rPr>
          <w:rFonts w:ascii="Arial" w:hAnsi="Arial" w:cs="Arial"/>
          <w:color w:val="666666"/>
          <w:sz w:val="20"/>
          <w:szCs w:val="20"/>
        </w:rPr>
        <w:t>1973 asume los Poderes Constituyente, Legislativo y Ejecutivo por Decreto Ley N°527. La aplicación de los poderes Constituyente y Legislativo los realizará mediante decretos leyes. Mientras que el Poder Ejecutivo lo ejercerá el presidente de la Junta de Gobierno como jefe Supremo de la Nación quien será responsable de la administración y gobierno del Estado. El Poder Judicial quedará constituido y ejercerá sus funciones en la forma y con la independencia y facultades que señalan la Constitución Política y las leyes.</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28"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Ley de Regionalización del país.</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13-07-1974</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Decreto Ley N° 575, de 13</w:t>
      </w:r>
      <w:r w:rsidR="003A3B14" w:rsidRPr="003A3B14">
        <w:rPr>
          <w:rFonts w:ascii="Arial" w:hAnsi="Arial" w:cs="Arial"/>
          <w:color w:val="666666"/>
          <w:sz w:val="20"/>
          <w:szCs w:val="20"/>
        </w:rPr>
        <w:t>/7/</w:t>
      </w:r>
      <w:r w:rsidRPr="003A3B14">
        <w:rPr>
          <w:rFonts w:ascii="Arial" w:hAnsi="Arial" w:cs="Arial"/>
          <w:color w:val="666666"/>
          <w:sz w:val="20"/>
          <w:szCs w:val="20"/>
        </w:rPr>
        <w:t>1974, establece la regionalización del país, reemplazando la división administrativa del país en provincias y dividiendo el territorio en 13 regiones.</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29"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lastRenderedPageBreak/>
        <w:t>Dictación de normas sobre el ejercicio del Poder Constituyente</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04-12-1974</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A partir de esta fecha, la Junta de Gobierno que encabeza el mando de la Nación desde el 11</w:t>
      </w:r>
      <w:r w:rsidR="003A3B14" w:rsidRPr="003A3B14">
        <w:rPr>
          <w:rFonts w:ascii="Arial" w:hAnsi="Arial" w:cs="Arial"/>
          <w:color w:val="666666"/>
          <w:sz w:val="20"/>
          <w:szCs w:val="20"/>
        </w:rPr>
        <w:t>/9/</w:t>
      </w:r>
      <w:r w:rsidRPr="003A3B14">
        <w:rPr>
          <w:rFonts w:ascii="Arial" w:hAnsi="Arial" w:cs="Arial"/>
          <w:color w:val="666666"/>
          <w:sz w:val="20"/>
          <w:szCs w:val="20"/>
        </w:rPr>
        <w:t>1973, se adjudica el ejercicio de los poderes constituyentes y legislativos que le dan carácter modificatorio a la Constitución del año 1925. Mediante el Decreto Ley Nº788 se especifica cuándo la Junta de Gobierno ejerce el poder constituyente y el legislativo, dado que lo hacía indistintamente mediante decretos leyes. De esta forma, se aclara que el poder constituyente se entendería ejercido únicamente cuando así se declarara expresamente y en caso contrario, se entendería que la Junta de Gobierno dictaba el respectivo decreto ley en uso de su facultad legislativa. Asimismo, se dispone que los Decretos Leyes dictados hasta esa fecha que fuesen contrarios, se opusieran o fueran distintos a la Constitución Política del Estado han tenido y tienen la calidad de normas modificatorias del correspondiente precepto de la Constitución.</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30"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Ley de Pensiones Asistenciales.</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15-01-1975</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Decreto Ley N° 869, del 15</w:t>
      </w:r>
      <w:r w:rsidR="003A3B14" w:rsidRPr="003A3B14">
        <w:rPr>
          <w:rFonts w:ascii="Arial" w:hAnsi="Arial" w:cs="Arial"/>
          <w:color w:val="666666"/>
          <w:sz w:val="20"/>
          <w:szCs w:val="20"/>
        </w:rPr>
        <w:t>/1/</w:t>
      </w:r>
      <w:r w:rsidRPr="003A3B14">
        <w:rPr>
          <w:rFonts w:ascii="Arial" w:hAnsi="Arial" w:cs="Arial"/>
          <w:color w:val="666666"/>
          <w:sz w:val="20"/>
          <w:szCs w:val="20"/>
        </w:rPr>
        <w:t>1975. Establece un régimen de pensiones asistenciales para inválidos y ancianos carentes de recursos y que por diversas razones no han podido obtener este beneficio de un régimen previsional.</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31"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Ley de CODELCO.</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01-04-1976</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Formalizada por los Decretos Ley N°1.349 y 1.350 publicado en el Diario Oficial el 1</w:t>
      </w:r>
      <w:r w:rsidR="003A3B14" w:rsidRPr="003A3B14">
        <w:rPr>
          <w:rFonts w:ascii="Arial" w:hAnsi="Arial" w:cs="Arial"/>
          <w:color w:val="666666"/>
          <w:sz w:val="20"/>
          <w:szCs w:val="20"/>
        </w:rPr>
        <w:t>/4/1</w:t>
      </w:r>
      <w:r w:rsidRPr="003A3B14">
        <w:rPr>
          <w:rFonts w:ascii="Arial" w:hAnsi="Arial" w:cs="Arial"/>
          <w:color w:val="666666"/>
          <w:sz w:val="20"/>
          <w:szCs w:val="20"/>
        </w:rPr>
        <w:t>976. Si bien la historia de Codelco comienza con la nacionalización del cobre en 1971, es en 1976 que se formaliza la creación de la empresa minera como se conoce en la actualidad, la Corporación Nacional del Cobre, Codelco.</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32"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El Gobierno de Augusto Pinochet convoca a la realización de una Plebiscito</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04-01-1978</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En esta consulta nacional que se realiza sin registros electorales y en Estado de Sitio, la ciudadanía responde si apoya al Gobierno de Augusto Pinochet y reafirma su legitimidad o apoya la resolución de condena a la violación de los derechos humanos de las Naciones Unidas. El escrutinio final dio como resultado un 75% de votos en apoyo al Gobierno Militar. A pesar que el triunfo se interpretó como una legitimación de las políticas del régimen, no logró revertir las críticas internacionales en su contra.</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33"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Ley sobre contrato de trabajo.</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01-05-1978</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Decreto Ley 2.200, promulgado el 1</w:t>
      </w:r>
      <w:r w:rsidR="003A3B14" w:rsidRPr="003A3B14">
        <w:rPr>
          <w:rFonts w:ascii="Arial" w:hAnsi="Arial" w:cs="Arial"/>
          <w:color w:val="666666"/>
          <w:sz w:val="20"/>
          <w:szCs w:val="20"/>
        </w:rPr>
        <w:t>/5/</w:t>
      </w:r>
      <w:r w:rsidRPr="003A3B14">
        <w:rPr>
          <w:rFonts w:ascii="Arial" w:hAnsi="Arial" w:cs="Arial"/>
          <w:color w:val="666666"/>
          <w:sz w:val="20"/>
          <w:szCs w:val="20"/>
        </w:rPr>
        <w:t>1978 y publicado en el Diario Oficial el 15</w:t>
      </w:r>
      <w:r w:rsidR="003A3B14" w:rsidRPr="003A3B14">
        <w:rPr>
          <w:rFonts w:ascii="Arial" w:hAnsi="Arial" w:cs="Arial"/>
          <w:color w:val="666666"/>
          <w:sz w:val="20"/>
          <w:szCs w:val="20"/>
        </w:rPr>
        <w:t>/6/</w:t>
      </w:r>
      <w:r w:rsidRPr="003A3B14">
        <w:rPr>
          <w:rFonts w:ascii="Arial" w:hAnsi="Arial" w:cs="Arial"/>
          <w:color w:val="666666"/>
          <w:sz w:val="20"/>
          <w:szCs w:val="20"/>
        </w:rPr>
        <w:t>1978. Fija normas relativas al contrato de trabajo y a la protección de los trabajadores, dejando al Estado el rol subsidiario de “amparar al trabajador en su derecho a elegir libremente su trabajo y velar por el cumplimiento de las normas que regulen la prestación de los servicios”.</w:t>
      </w:r>
    </w:p>
    <w:p w:rsidR="00722D94" w:rsidRPr="003A3B14" w:rsidRDefault="00722D94" w:rsidP="003A3B14">
      <w:pPr>
        <w:shd w:val="clear" w:color="auto" w:fill="F5F6F7"/>
        <w:spacing w:before="107" w:after="107"/>
        <w:jc w:val="both"/>
        <w:rPr>
          <w:rFonts w:ascii="Arial" w:hAnsi="Arial" w:cs="Arial"/>
          <w:color w:val="666666"/>
          <w:sz w:val="20"/>
          <w:szCs w:val="20"/>
        </w:rPr>
      </w:pPr>
      <w:r w:rsidRPr="003A3B14">
        <w:rPr>
          <w:rFonts w:ascii="Arial" w:hAnsi="Arial" w:cs="Arial"/>
          <w:color w:val="666666"/>
          <w:sz w:val="20"/>
          <w:szCs w:val="20"/>
        </w:rPr>
        <w:pict>
          <v:rect id="_x0000_i1034" style="width:0;height:0" o:hralign="center" o:hrstd="t" o:hr="t" fillcolor="#a0a0a0" stroked="f"/>
        </w:pict>
      </w:r>
    </w:p>
    <w:p w:rsidR="00722D94" w:rsidRPr="003A3B14" w:rsidRDefault="00722D94" w:rsidP="003A3B14">
      <w:pPr>
        <w:pStyle w:val="Ttulo4"/>
        <w:shd w:val="clear" w:color="auto" w:fill="F5F6F7"/>
        <w:spacing w:before="0" w:after="36"/>
        <w:jc w:val="both"/>
        <w:textAlignment w:val="top"/>
        <w:rPr>
          <w:rFonts w:ascii="Times New Roman" w:hAnsi="Times New Roman" w:cs="Times New Roman"/>
          <w:color w:val="3D4449"/>
          <w:sz w:val="20"/>
          <w:szCs w:val="20"/>
        </w:rPr>
      </w:pPr>
      <w:r w:rsidRPr="003A3B14">
        <w:rPr>
          <w:color w:val="3D4449"/>
          <w:sz w:val="20"/>
          <w:szCs w:val="20"/>
        </w:rPr>
        <w:t>Creación de la Comisión Nacional de Energía.</w:t>
      </w:r>
    </w:p>
    <w:p w:rsidR="00722D94" w:rsidRPr="003A3B14" w:rsidRDefault="00722D94" w:rsidP="003A3B14">
      <w:pPr>
        <w:pStyle w:val="NormalWeb"/>
        <w:shd w:val="clear" w:color="auto" w:fill="F5F6F7"/>
        <w:spacing w:before="0" w:beforeAutospacing="0" w:after="71" w:afterAutospacing="0"/>
        <w:jc w:val="both"/>
        <w:textAlignment w:val="top"/>
        <w:rPr>
          <w:rFonts w:ascii="Arial" w:hAnsi="Arial" w:cs="Arial"/>
          <w:color w:val="666666"/>
          <w:sz w:val="20"/>
          <w:szCs w:val="20"/>
        </w:rPr>
      </w:pPr>
      <w:r w:rsidRPr="003A3B14">
        <w:rPr>
          <w:rFonts w:ascii="Arial" w:hAnsi="Arial" w:cs="Arial"/>
          <w:color w:val="666666"/>
          <w:sz w:val="20"/>
          <w:szCs w:val="20"/>
        </w:rPr>
        <w:t>25-05-1978</w:t>
      </w:r>
    </w:p>
    <w:p w:rsidR="00722D94" w:rsidRPr="003A3B14" w:rsidRDefault="00722D94" w:rsidP="00AC7476">
      <w:pPr>
        <w:pStyle w:val="NormalWeb"/>
        <w:shd w:val="clear" w:color="auto" w:fill="F5F6F7"/>
        <w:spacing w:before="0" w:beforeAutospacing="0" w:after="71" w:afterAutospacing="0"/>
        <w:jc w:val="both"/>
        <w:textAlignment w:val="top"/>
        <w:rPr>
          <w:sz w:val="20"/>
          <w:szCs w:val="20"/>
        </w:rPr>
      </w:pPr>
      <w:r w:rsidRPr="003A3B14">
        <w:rPr>
          <w:rFonts w:ascii="Arial" w:hAnsi="Arial" w:cs="Arial"/>
          <w:color w:val="666666"/>
          <w:sz w:val="20"/>
          <w:szCs w:val="20"/>
        </w:rPr>
        <w:t>Decreto Ley N° 2224, promulgado el 25</w:t>
      </w:r>
      <w:r w:rsidR="003A3B14" w:rsidRPr="003A3B14">
        <w:rPr>
          <w:rFonts w:ascii="Arial" w:hAnsi="Arial" w:cs="Arial"/>
          <w:color w:val="666666"/>
          <w:sz w:val="20"/>
          <w:szCs w:val="20"/>
        </w:rPr>
        <w:t>/5/</w:t>
      </w:r>
      <w:r w:rsidRPr="003A3B14">
        <w:rPr>
          <w:rFonts w:ascii="Arial" w:hAnsi="Arial" w:cs="Arial"/>
          <w:color w:val="666666"/>
          <w:sz w:val="20"/>
          <w:szCs w:val="20"/>
        </w:rPr>
        <w:t>1978 y publicado en el Diario oficial el 8</w:t>
      </w:r>
      <w:r w:rsidR="003A3B14" w:rsidRPr="003A3B14">
        <w:rPr>
          <w:rFonts w:ascii="Arial" w:hAnsi="Arial" w:cs="Arial"/>
          <w:color w:val="666666"/>
          <w:sz w:val="20"/>
          <w:szCs w:val="20"/>
        </w:rPr>
        <w:t>/6/</w:t>
      </w:r>
      <w:r w:rsidRPr="003A3B14">
        <w:rPr>
          <w:rFonts w:ascii="Arial" w:hAnsi="Arial" w:cs="Arial"/>
          <w:color w:val="666666"/>
          <w:sz w:val="20"/>
          <w:szCs w:val="20"/>
        </w:rPr>
        <w:t>1978. Corresponderá al Ministerio de Energía, elaborar y coordinar los planes, políticas y normas para el buen funcionamiento y desarrollo del sector.</w:t>
      </w:r>
    </w:p>
    <w:sectPr w:rsidR="00722D94" w:rsidRPr="003A3B14" w:rsidSect="007336B5">
      <w:footerReference w:type="default" r:id="rId10"/>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A43" w:rsidRDefault="008A1A43" w:rsidP="003A3B14">
      <w:pPr>
        <w:spacing w:after="0" w:line="240" w:lineRule="auto"/>
      </w:pPr>
      <w:r>
        <w:separator/>
      </w:r>
    </w:p>
  </w:endnote>
  <w:endnote w:type="continuationSeparator" w:id="1">
    <w:p w:rsidR="008A1A43" w:rsidRDefault="008A1A43" w:rsidP="003A3B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0843"/>
      <w:docPartObj>
        <w:docPartGallery w:val="Page Numbers (Bottom of Page)"/>
        <w:docPartUnique/>
      </w:docPartObj>
    </w:sdtPr>
    <w:sdtContent>
      <w:p w:rsidR="003A3B14" w:rsidRDefault="003A3B14">
        <w:pPr>
          <w:pStyle w:val="Piedepgina"/>
          <w:jc w:val="right"/>
        </w:pPr>
        <w:fldSimple w:instr=" PAGE   \* MERGEFORMAT ">
          <w:r w:rsidR="00AC7476">
            <w:rPr>
              <w:noProof/>
            </w:rPr>
            <w:t>5</w:t>
          </w:r>
        </w:fldSimple>
      </w:p>
    </w:sdtContent>
  </w:sdt>
  <w:p w:rsidR="003A3B14" w:rsidRDefault="003A3B1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A43" w:rsidRDefault="008A1A43" w:rsidP="003A3B14">
      <w:pPr>
        <w:spacing w:after="0" w:line="240" w:lineRule="auto"/>
      </w:pPr>
      <w:r>
        <w:separator/>
      </w:r>
    </w:p>
  </w:footnote>
  <w:footnote w:type="continuationSeparator" w:id="1">
    <w:p w:rsidR="008A1A43" w:rsidRDefault="008A1A43" w:rsidP="003A3B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566DB"/>
    <w:multiLevelType w:val="multilevel"/>
    <w:tmpl w:val="7B6C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efaultTabStop w:val="708"/>
  <w:hyphenationZone w:val="425"/>
  <w:characterSpacingControl w:val="doNotCompress"/>
  <w:footnotePr>
    <w:footnote w:id="0"/>
    <w:footnote w:id="1"/>
  </w:footnotePr>
  <w:endnotePr>
    <w:endnote w:id="0"/>
    <w:endnote w:id="1"/>
  </w:endnotePr>
  <w:compat/>
  <w:rsids>
    <w:rsidRoot w:val="00722D94"/>
    <w:rsid w:val="003A3B14"/>
    <w:rsid w:val="00722D94"/>
    <w:rsid w:val="007336B5"/>
    <w:rsid w:val="008A1A43"/>
    <w:rsid w:val="00AC747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6B5"/>
  </w:style>
  <w:style w:type="paragraph" w:styleId="Ttulo2">
    <w:name w:val="heading 2"/>
    <w:basedOn w:val="Normal"/>
    <w:link w:val="Ttulo2Car"/>
    <w:uiPriority w:val="9"/>
    <w:qFormat/>
    <w:rsid w:val="00722D94"/>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paragraph" w:styleId="Ttulo3">
    <w:name w:val="heading 3"/>
    <w:basedOn w:val="Normal"/>
    <w:link w:val="Ttulo3Car"/>
    <w:uiPriority w:val="9"/>
    <w:qFormat/>
    <w:rsid w:val="00722D94"/>
    <w:pPr>
      <w:spacing w:before="100" w:beforeAutospacing="1" w:after="100" w:afterAutospacing="1" w:line="240" w:lineRule="auto"/>
      <w:outlineLvl w:val="2"/>
    </w:pPr>
    <w:rPr>
      <w:rFonts w:ascii="Times New Roman" w:eastAsia="Times New Roman" w:hAnsi="Times New Roman" w:cs="Times New Roman"/>
      <w:b/>
      <w:bCs/>
      <w:sz w:val="27"/>
      <w:szCs w:val="27"/>
      <w:lang w:eastAsia="es-CL"/>
    </w:rPr>
  </w:style>
  <w:style w:type="paragraph" w:styleId="Ttulo4">
    <w:name w:val="heading 4"/>
    <w:basedOn w:val="Normal"/>
    <w:next w:val="Normal"/>
    <w:link w:val="Ttulo4Car"/>
    <w:uiPriority w:val="9"/>
    <w:semiHidden/>
    <w:unhideWhenUsed/>
    <w:qFormat/>
    <w:rsid w:val="00722D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722D94"/>
    <w:rPr>
      <w:rFonts w:ascii="Times New Roman" w:eastAsia="Times New Roman" w:hAnsi="Times New Roman" w:cs="Times New Roman"/>
      <w:b/>
      <w:bCs/>
      <w:sz w:val="36"/>
      <w:szCs w:val="36"/>
      <w:lang w:eastAsia="es-CL"/>
    </w:rPr>
  </w:style>
  <w:style w:type="character" w:customStyle="1" w:styleId="Ttulo3Car">
    <w:name w:val="Título 3 Car"/>
    <w:basedOn w:val="Fuentedeprrafopredeter"/>
    <w:link w:val="Ttulo3"/>
    <w:uiPriority w:val="9"/>
    <w:rsid w:val="00722D94"/>
    <w:rPr>
      <w:rFonts w:ascii="Times New Roman" w:eastAsia="Times New Roman" w:hAnsi="Times New Roman" w:cs="Times New Roman"/>
      <w:b/>
      <w:bCs/>
      <w:sz w:val="27"/>
      <w:szCs w:val="27"/>
      <w:lang w:eastAsia="es-CL"/>
    </w:rPr>
  </w:style>
  <w:style w:type="character" w:styleId="Hipervnculo">
    <w:name w:val="Hyperlink"/>
    <w:basedOn w:val="Fuentedeprrafopredeter"/>
    <w:uiPriority w:val="99"/>
    <w:unhideWhenUsed/>
    <w:rsid w:val="00722D94"/>
    <w:rPr>
      <w:color w:val="0000FF"/>
      <w:u w:val="single"/>
    </w:rPr>
  </w:style>
  <w:style w:type="paragraph" w:styleId="NormalWeb">
    <w:name w:val="Normal (Web)"/>
    <w:basedOn w:val="Normal"/>
    <w:uiPriority w:val="99"/>
    <w:unhideWhenUsed/>
    <w:rsid w:val="00722D94"/>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customStyle="1" w:styleId="Ttulo4Car">
    <w:name w:val="Título 4 Car"/>
    <w:basedOn w:val="Fuentedeprrafopredeter"/>
    <w:link w:val="Ttulo4"/>
    <w:uiPriority w:val="9"/>
    <w:semiHidden/>
    <w:rsid w:val="00722D94"/>
    <w:rPr>
      <w:rFonts w:asciiTheme="majorHAnsi" w:eastAsiaTheme="majorEastAsia" w:hAnsiTheme="majorHAnsi" w:cstheme="majorBidi"/>
      <w:b/>
      <w:bCs/>
      <w:i/>
      <w:iCs/>
      <w:color w:val="4F81BD" w:themeColor="accent1"/>
    </w:rPr>
  </w:style>
  <w:style w:type="paragraph" w:styleId="Encabezado">
    <w:name w:val="header"/>
    <w:basedOn w:val="Normal"/>
    <w:link w:val="EncabezadoCar"/>
    <w:uiPriority w:val="99"/>
    <w:semiHidden/>
    <w:unhideWhenUsed/>
    <w:rsid w:val="003A3B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3A3B14"/>
  </w:style>
  <w:style w:type="paragraph" w:styleId="Piedepgina">
    <w:name w:val="footer"/>
    <w:basedOn w:val="Normal"/>
    <w:link w:val="PiedepginaCar"/>
    <w:uiPriority w:val="99"/>
    <w:unhideWhenUsed/>
    <w:rsid w:val="003A3B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3B14"/>
  </w:style>
</w:styles>
</file>

<file path=word/webSettings.xml><?xml version="1.0" encoding="utf-8"?>
<w:webSettings xmlns:r="http://schemas.openxmlformats.org/officeDocument/2006/relationships" xmlns:w="http://schemas.openxmlformats.org/wordprocessingml/2006/main">
  <w:divs>
    <w:div w:id="533233179">
      <w:bodyDiv w:val="1"/>
      <w:marLeft w:val="0"/>
      <w:marRight w:val="0"/>
      <w:marTop w:val="0"/>
      <w:marBottom w:val="0"/>
      <w:divBdr>
        <w:top w:val="none" w:sz="0" w:space="0" w:color="auto"/>
        <w:left w:val="none" w:sz="0" w:space="0" w:color="auto"/>
        <w:bottom w:val="none" w:sz="0" w:space="0" w:color="auto"/>
        <w:right w:val="none" w:sz="0" w:space="0" w:color="auto"/>
      </w:divBdr>
      <w:divsChild>
        <w:div w:id="1869223173">
          <w:marLeft w:val="0"/>
          <w:marRight w:val="0"/>
          <w:marTop w:val="0"/>
          <w:marBottom w:val="0"/>
          <w:divBdr>
            <w:top w:val="none" w:sz="0" w:space="0" w:color="auto"/>
            <w:left w:val="none" w:sz="0" w:space="0" w:color="auto"/>
            <w:bottom w:val="none" w:sz="0" w:space="0" w:color="auto"/>
            <w:right w:val="none" w:sz="0" w:space="0" w:color="auto"/>
          </w:divBdr>
          <w:divsChild>
            <w:div w:id="2071003599">
              <w:marLeft w:val="0"/>
              <w:marRight w:val="0"/>
              <w:marTop w:val="0"/>
              <w:marBottom w:val="0"/>
              <w:divBdr>
                <w:top w:val="none" w:sz="0" w:space="0" w:color="auto"/>
                <w:left w:val="none" w:sz="0" w:space="0" w:color="auto"/>
                <w:bottom w:val="none" w:sz="0" w:space="0" w:color="auto"/>
                <w:right w:val="none" w:sz="0" w:space="0" w:color="auto"/>
              </w:divBdr>
              <w:divsChild>
                <w:div w:id="904297721">
                  <w:marLeft w:val="-225"/>
                  <w:marRight w:val="-225"/>
                  <w:marTop w:val="0"/>
                  <w:marBottom w:val="0"/>
                  <w:divBdr>
                    <w:top w:val="none" w:sz="0" w:space="0" w:color="auto"/>
                    <w:left w:val="none" w:sz="0" w:space="0" w:color="auto"/>
                    <w:bottom w:val="none" w:sz="0" w:space="0" w:color="auto"/>
                    <w:right w:val="none" w:sz="0" w:space="0" w:color="auto"/>
                  </w:divBdr>
                  <w:divsChild>
                    <w:div w:id="150608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332022">
          <w:marLeft w:val="0"/>
          <w:marRight w:val="0"/>
          <w:marTop w:val="0"/>
          <w:marBottom w:val="0"/>
          <w:divBdr>
            <w:top w:val="none" w:sz="0" w:space="0" w:color="auto"/>
            <w:left w:val="none" w:sz="0" w:space="0" w:color="auto"/>
            <w:bottom w:val="none" w:sz="0" w:space="0" w:color="auto"/>
            <w:right w:val="none" w:sz="0" w:space="0" w:color="auto"/>
          </w:divBdr>
        </w:div>
      </w:divsChild>
    </w:div>
    <w:div w:id="1327057591">
      <w:bodyDiv w:val="1"/>
      <w:marLeft w:val="0"/>
      <w:marRight w:val="0"/>
      <w:marTop w:val="0"/>
      <w:marBottom w:val="0"/>
      <w:divBdr>
        <w:top w:val="none" w:sz="0" w:space="0" w:color="auto"/>
        <w:left w:val="none" w:sz="0" w:space="0" w:color="auto"/>
        <w:bottom w:val="none" w:sz="0" w:space="0" w:color="auto"/>
        <w:right w:val="none" w:sz="0" w:space="0" w:color="auto"/>
      </w:divBdr>
      <w:divsChild>
        <w:div w:id="412430158">
          <w:marLeft w:val="0"/>
          <w:marRight w:val="0"/>
          <w:marTop w:val="0"/>
          <w:marBottom w:val="0"/>
          <w:divBdr>
            <w:top w:val="none" w:sz="0" w:space="0" w:color="auto"/>
            <w:left w:val="none" w:sz="0" w:space="0" w:color="auto"/>
            <w:bottom w:val="none" w:sz="0" w:space="0" w:color="auto"/>
            <w:right w:val="none" w:sz="0" w:space="0" w:color="auto"/>
          </w:divBdr>
          <w:divsChild>
            <w:div w:id="501555245">
              <w:marLeft w:val="0"/>
              <w:marRight w:val="0"/>
              <w:marTop w:val="107"/>
              <w:marBottom w:val="107"/>
              <w:divBdr>
                <w:top w:val="none" w:sz="0" w:space="0" w:color="auto"/>
                <w:left w:val="none" w:sz="0" w:space="0" w:color="auto"/>
                <w:bottom w:val="none" w:sz="0" w:space="0" w:color="auto"/>
                <w:right w:val="none" w:sz="0" w:space="0" w:color="auto"/>
              </w:divBdr>
              <w:divsChild>
                <w:div w:id="1096755841">
                  <w:marLeft w:val="0"/>
                  <w:marRight w:val="0"/>
                  <w:marTop w:val="0"/>
                  <w:marBottom w:val="0"/>
                  <w:divBdr>
                    <w:top w:val="none" w:sz="0" w:space="0" w:color="auto"/>
                    <w:left w:val="none" w:sz="0" w:space="0" w:color="auto"/>
                    <w:bottom w:val="none" w:sz="0" w:space="0" w:color="auto"/>
                    <w:right w:val="none" w:sz="0" w:space="0" w:color="auto"/>
                  </w:divBdr>
                  <w:divsChild>
                    <w:div w:id="187434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86029">
              <w:marLeft w:val="0"/>
              <w:marRight w:val="0"/>
              <w:marTop w:val="107"/>
              <w:marBottom w:val="107"/>
              <w:divBdr>
                <w:top w:val="none" w:sz="0" w:space="0" w:color="auto"/>
                <w:left w:val="none" w:sz="0" w:space="0" w:color="auto"/>
                <w:bottom w:val="none" w:sz="0" w:space="0" w:color="auto"/>
                <w:right w:val="none" w:sz="0" w:space="0" w:color="auto"/>
              </w:divBdr>
              <w:divsChild>
                <w:div w:id="178931015">
                  <w:marLeft w:val="0"/>
                  <w:marRight w:val="0"/>
                  <w:marTop w:val="0"/>
                  <w:marBottom w:val="0"/>
                  <w:divBdr>
                    <w:top w:val="none" w:sz="0" w:space="0" w:color="auto"/>
                    <w:left w:val="none" w:sz="0" w:space="0" w:color="auto"/>
                    <w:bottom w:val="none" w:sz="0" w:space="0" w:color="auto"/>
                    <w:right w:val="none" w:sz="0" w:space="0" w:color="auto"/>
                  </w:divBdr>
                  <w:divsChild>
                    <w:div w:id="165525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872642">
              <w:marLeft w:val="0"/>
              <w:marRight w:val="0"/>
              <w:marTop w:val="107"/>
              <w:marBottom w:val="107"/>
              <w:divBdr>
                <w:top w:val="none" w:sz="0" w:space="0" w:color="auto"/>
                <w:left w:val="none" w:sz="0" w:space="0" w:color="auto"/>
                <w:bottom w:val="none" w:sz="0" w:space="0" w:color="auto"/>
                <w:right w:val="none" w:sz="0" w:space="0" w:color="auto"/>
              </w:divBdr>
              <w:divsChild>
                <w:div w:id="1485469728">
                  <w:marLeft w:val="0"/>
                  <w:marRight w:val="0"/>
                  <w:marTop w:val="0"/>
                  <w:marBottom w:val="0"/>
                  <w:divBdr>
                    <w:top w:val="none" w:sz="0" w:space="0" w:color="auto"/>
                    <w:left w:val="none" w:sz="0" w:space="0" w:color="auto"/>
                    <w:bottom w:val="none" w:sz="0" w:space="0" w:color="auto"/>
                    <w:right w:val="none" w:sz="0" w:space="0" w:color="auto"/>
                  </w:divBdr>
                  <w:divsChild>
                    <w:div w:id="176371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03241">
              <w:marLeft w:val="0"/>
              <w:marRight w:val="0"/>
              <w:marTop w:val="107"/>
              <w:marBottom w:val="107"/>
              <w:divBdr>
                <w:top w:val="none" w:sz="0" w:space="0" w:color="auto"/>
                <w:left w:val="none" w:sz="0" w:space="0" w:color="auto"/>
                <w:bottom w:val="none" w:sz="0" w:space="0" w:color="auto"/>
                <w:right w:val="none" w:sz="0" w:space="0" w:color="auto"/>
              </w:divBdr>
              <w:divsChild>
                <w:div w:id="277682107">
                  <w:marLeft w:val="0"/>
                  <w:marRight w:val="0"/>
                  <w:marTop w:val="0"/>
                  <w:marBottom w:val="0"/>
                  <w:divBdr>
                    <w:top w:val="none" w:sz="0" w:space="0" w:color="auto"/>
                    <w:left w:val="none" w:sz="0" w:space="0" w:color="auto"/>
                    <w:bottom w:val="none" w:sz="0" w:space="0" w:color="auto"/>
                    <w:right w:val="none" w:sz="0" w:space="0" w:color="auto"/>
                  </w:divBdr>
                  <w:divsChild>
                    <w:div w:id="53361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83846">
              <w:marLeft w:val="0"/>
              <w:marRight w:val="0"/>
              <w:marTop w:val="107"/>
              <w:marBottom w:val="107"/>
              <w:divBdr>
                <w:top w:val="none" w:sz="0" w:space="0" w:color="auto"/>
                <w:left w:val="none" w:sz="0" w:space="0" w:color="auto"/>
                <w:bottom w:val="none" w:sz="0" w:space="0" w:color="auto"/>
                <w:right w:val="none" w:sz="0" w:space="0" w:color="auto"/>
              </w:divBdr>
              <w:divsChild>
                <w:div w:id="1635333889">
                  <w:marLeft w:val="0"/>
                  <w:marRight w:val="0"/>
                  <w:marTop w:val="0"/>
                  <w:marBottom w:val="0"/>
                  <w:divBdr>
                    <w:top w:val="none" w:sz="0" w:space="0" w:color="auto"/>
                    <w:left w:val="none" w:sz="0" w:space="0" w:color="auto"/>
                    <w:bottom w:val="none" w:sz="0" w:space="0" w:color="auto"/>
                    <w:right w:val="none" w:sz="0" w:space="0" w:color="auto"/>
                  </w:divBdr>
                  <w:divsChild>
                    <w:div w:id="8797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88505">
              <w:marLeft w:val="0"/>
              <w:marRight w:val="0"/>
              <w:marTop w:val="107"/>
              <w:marBottom w:val="107"/>
              <w:divBdr>
                <w:top w:val="none" w:sz="0" w:space="0" w:color="auto"/>
                <w:left w:val="none" w:sz="0" w:space="0" w:color="auto"/>
                <w:bottom w:val="none" w:sz="0" w:space="0" w:color="auto"/>
                <w:right w:val="none" w:sz="0" w:space="0" w:color="auto"/>
              </w:divBdr>
              <w:divsChild>
                <w:div w:id="1948652612">
                  <w:marLeft w:val="0"/>
                  <w:marRight w:val="0"/>
                  <w:marTop w:val="0"/>
                  <w:marBottom w:val="0"/>
                  <w:divBdr>
                    <w:top w:val="none" w:sz="0" w:space="0" w:color="auto"/>
                    <w:left w:val="none" w:sz="0" w:space="0" w:color="auto"/>
                    <w:bottom w:val="none" w:sz="0" w:space="0" w:color="auto"/>
                    <w:right w:val="none" w:sz="0" w:space="0" w:color="auto"/>
                  </w:divBdr>
                  <w:divsChild>
                    <w:div w:id="170744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89151">
              <w:marLeft w:val="0"/>
              <w:marRight w:val="0"/>
              <w:marTop w:val="107"/>
              <w:marBottom w:val="107"/>
              <w:divBdr>
                <w:top w:val="none" w:sz="0" w:space="0" w:color="auto"/>
                <w:left w:val="none" w:sz="0" w:space="0" w:color="auto"/>
                <w:bottom w:val="none" w:sz="0" w:space="0" w:color="auto"/>
                <w:right w:val="none" w:sz="0" w:space="0" w:color="auto"/>
              </w:divBdr>
              <w:divsChild>
                <w:div w:id="1855653488">
                  <w:marLeft w:val="0"/>
                  <w:marRight w:val="0"/>
                  <w:marTop w:val="0"/>
                  <w:marBottom w:val="0"/>
                  <w:divBdr>
                    <w:top w:val="none" w:sz="0" w:space="0" w:color="auto"/>
                    <w:left w:val="none" w:sz="0" w:space="0" w:color="auto"/>
                    <w:bottom w:val="none" w:sz="0" w:space="0" w:color="auto"/>
                    <w:right w:val="none" w:sz="0" w:space="0" w:color="auto"/>
                  </w:divBdr>
                  <w:divsChild>
                    <w:div w:id="89223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999153">
              <w:marLeft w:val="0"/>
              <w:marRight w:val="0"/>
              <w:marTop w:val="107"/>
              <w:marBottom w:val="107"/>
              <w:divBdr>
                <w:top w:val="none" w:sz="0" w:space="0" w:color="auto"/>
                <w:left w:val="none" w:sz="0" w:space="0" w:color="auto"/>
                <w:bottom w:val="none" w:sz="0" w:space="0" w:color="auto"/>
                <w:right w:val="none" w:sz="0" w:space="0" w:color="auto"/>
              </w:divBdr>
              <w:divsChild>
                <w:div w:id="903178025">
                  <w:marLeft w:val="0"/>
                  <w:marRight w:val="0"/>
                  <w:marTop w:val="0"/>
                  <w:marBottom w:val="0"/>
                  <w:divBdr>
                    <w:top w:val="none" w:sz="0" w:space="0" w:color="auto"/>
                    <w:left w:val="none" w:sz="0" w:space="0" w:color="auto"/>
                    <w:bottom w:val="none" w:sz="0" w:space="0" w:color="auto"/>
                    <w:right w:val="none" w:sz="0" w:space="0" w:color="auto"/>
                  </w:divBdr>
                  <w:divsChild>
                    <w:div w:id="18796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77908">
              <w:marLeft w:val="0"/>
              <w:marRight w:val="0"/>
              <w:marTop w:val="107"/>
              <w:marBottom w:val="107"/>
              <w:divBdr>
                <w:top w:val="none" w:sz="0" w:space="0" w:color="auto"/>
                <w:left w:val="none" w:sz="0" w:space="0" w:color="auto"/>
                <w:bottom w:val="none" w:sz="0" w:space="0" w:color="auto"/>
                <w:right w:val="none" w:sz="0" w:space="0" w:color="auto"/>
              </w:divBdr>
              <w:divsChild>
                <w:div w:id="1478567046">
                  <w:marLeft w:val="0"/>
                  <w:marRight w:val="0"/>
                  <w:marTop w:val="0"/>
                  <w:marBottom w:val="0"/>
                  <w:divBdr>
                    <w:top w:val="none" w:sz="0" w:space="0" w:color="auto"/>
                    <w:left w:val="none" w:sz="0" w:space="0" w:color="auto"/>
                    <w:bottom w:val="none" w:sz="0" w:space="0" w:color="auto"/>
                    <w:right w:val="none" w:sz="0" w:space="0" w:color="auto"/>
                  </w:divBdr>
                  <w:divsChild>
                    <w:div w:id="329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750707">
              <w:marLeft w:val="0"/>
              <w:marRight w:val="0"/>
              <w:marTop w:val="107"/>
              <w:marBottom w:val="107"/>
              <w:divBdr>
                <w:top w:val="none" w:sz="0" w:space="0" w:color="auto"/>
                <w:left w:val="none" w:sz="0" w:space="0" w:color="auto"/>
                <w:bottom w:val="none" w:sz="0" w:space="0" w:color="auto"/>
                <w:right w:val="none" w:sz="0" w:space="0" w:color="auto"/>
              </w:divBdr>
              <w:divsChild>
                <w:div w:id="1926844871">
                  <w:marLeft w:val="0"/>
                  <w:marRight w:val="0"/>
                  <w:marTop w:val="0"/>
                  <w:marBottom w:val="0"/>
                  <w:divBdr>
                    <w:top w:val="none" w:sz="0" w:space="0" w:color="auto"/>
                    <w:left w:val="none" w:sz="0" w:space="0" w:color="auto"/>
                    <w:bottom w:val="none" w:sz="0" w:space="0" w:color="auto"/>
                    <w:right w:val="none" w:sz="0" w:space="0" w:color="auto"/>
                  </w:divBdr>
                  <w:divsChild>
                    <w:div w:id="1207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redirect?url=http://biografias.bcn.cl/wiki/Patricio_Aylwin_Az%C3%B3car" TargetMode="External"/><Relationship Id="rId3" Type="http://schemas.openxmlformats.org/officeDocument/2006/relationships/settings" Target="settings.xml"/><Relationship Id="rId7" Type="http://schemas.openxmlformats.org/officeDocument/2006/relationships/hyperlink" Target="https://www.bcn.cl/historiapolitica/redirect?url=http://biografias.bcn.cl/wiki/Partido_Comunista_de_Chi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cn.cl/historiapolitica/hitos_periodo/detalle_periodo.html?per=1973-199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2371</Words>
  <Characters>13043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9416032-4</dc:creator>
  <cp:lastModifiedBy>9416032-4</cp:lastModifiedBy>
  <cp:revision>1</cp:revision>
  <dcterms:created xsi:type="dcterms:W3CDTF">2021-09-22T10:44:00Z</dcterms:created>
  <dcterms:modified xsi:type="dcterms:W3CDTF">2021-09-22T11:06:00Z</dcterms:modified>
</cp:coreProperties>
</file>