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F3BA9D" w14:textId="77777777" w:rsidR="00DC0273" w:rsidRPr="00BF077B" w:rsidRDefault="00DC0273" w:rsidP="00BF077B">
      <w:pPr>
        <w:pStyle w:val="ATSNormal"/>
        <w:rPr>
          <w:rStyle w:val="Ttulodellibro"/>
        </w:rPr>
      </w:pPr>
    </w:p>
    <w:p w14:paraId="114AEA30" w14:textId="77777777" w:rsidR="00DC0273" w:rsidRDefault="00DC0273" w:rsidP="004B4A60">
      <w:pPr>
        <w:rPr>
          <w:b/>
          <w:u w:val="single"/>
          <w:lang w:val="es-ES_tradnl"/>
        </w:rPr>
      </w:pPr>
    </w:p>
    <w:p w14:paraId="0206DC0E" w14:textId="77777777" w:rsidR="00DC0273" w:rsidRDefault="00DC0273" w:rsidP="004B4A60">
      <w:pPr>
        <w:rPr>
          <w:b/>
          <w:u w:val="single"/>
          <w:lang w:val="es-ES_tradnl"/>
        </w:rPr>
      </w:pPr>
    </w:p>
    <w:p w14:paraId="5C34A36E" w14:textId="77777777" w:rsidR="00DC0273" w:rsidRDefault="00DC0273" w:rsidP="004B4A60">
      <w:pPr>
        <w:rPr>
          <w:b/>
          <w:u w:val="single"/>
          <w:lang w:val="es-ES_tradnl"/>
        </w:rPr>
      </w:pPr>
    </w:p>
    <w:p w14:paraId="6A6EA274" w14:textId="77777777" w:rsidR="00DC0273" w:rsidRDefault="00DC0273" w:rsidP="004B4A60">
      <w:pPr>
        <w:rPr>
          <w:b/>
          <w:u w:val="single"/>
          <w:lang w:val="es-ES_tradnl"/>
        </w:rPr>
      </w:pPr>
    </w:p>
    <w:p w14:paraId="315B37C6" w14:textId="77777777" w:rsidR="00DC0273" w:rsidRDefault="00DC0273" w:rsidP="004B4A60">
      <w:pPr>
        <w:rPr>
          <w:b/>
          <w:u w:val="single"/>
          <w:lang w:val="es-ES_tradnl"/>
        </w:rPr>
      </w:pPr>
    </w:p>
    <w:p w14:paraId="13777588" w14:textId="77777777" w:rsidR="00DC0273" w:rsidRPr="0057246E" w:rsidRDefault="00DC0273" w:rsidP="001B789F">
      <w:pPr>
        <w:pStyle w:val="ATSTitle"/>
      </w:pPr>
      <w:bookmarkStart w:id="0" w:name="name"/>
      <w:r>
        <w:t xml:space="preserve">Report on the Intersessional Contact Group (ICG) on the Development of a Comprehensive and Consistent Framework for Tourism and Other Non-governmental </w:t>
      </w:r>
    </w:p>
    <w:p w14:paraId="68E4AAA3" w14:textId="77777777" w:rsidR="00C84424" w:rsidRDefault="00DC0273" w:rsidP="001B789F">
      <w:pPr>
        <w:pStyle w:val="ATSTitle"/>
      </w:pPr>
      <w:r>
        <w:t>Activities</w:t>
      </w:r>
    </w:p>
    <w:bookmarkEnd w:id="0"/>
    <w:p w14:paraId="27730CF4" w14:textId="77777777" w:rsidR="00C84424" w:rsidRDefault="00C84424" w:rsidP="001B789F">
      <w:pPr>
        <w:pStyle w:val="ATSTitle"/>
      </w:pPr>
    </w:p>
    <w:p w14:paraId="03C4A909" w14:textId="77777777" w:rsidR="00DC0273" w:rsidRPr="0057246E" w:rsidRDefault="00DC0273" w:rsidP="00F75424">
      <w:pPr>
        <w:jc w:val="center"/>
      </w:pPr>
    </w:p>
    <w:p w14:paraId="2A95812F" w14:textId="77777777" w:rsidR="00DC0273" w:rsidRPr="002F0A13" w:rsidRDefault="00DC0273" w:rsidP="002F0A13"/>
    <w:p w14:paraId="4489A36B" w14:textId="77777777" w:rsidR="00DC0273" w:rsidRDefault="00DC0273" w:rsidP="00F75424">
      <w:pPr>
        <w:jc w:val="center"/>
      </w:pPr>
      <w:bookmarkStart w:id="1" w:name="memo"/>
      <w:bookmarkEnd w:id="1"/>
    </w:p>
    <w:p w14:paraId="6F4F1450" w14:textId="77777777" w:rsidR="00DC0273" w:rsidRDefault="00DC0273" w:rsidP="00F75424">
      <w:pPr>
        <w:jc w:val="center"/>
      </w:pPr>
    </w:p>
    <w:p w14:paraId="47CB361A" w14:textId="77777777" w:rsidR="00DC0273" w:rsidRDefault="00DC0273" w:rsidP="00F75424">
      <w:pPr>
        <w:jc w:val="center"/>
      </w:pPr>
    </w:p>
    <w:p w14:paraId="59E752CB" w14:textId="77777777" w:rsidR="00DC0273" w:rsidRDefault="00DC0273" w:rsidP="00F75424">
      <w:pPr>
        <w:jc w:val="center"/>
      </w:pPr>
    </w:p>
    <w:p w14:paraId="1A601D4D" w14:textId="77777777" w:rsidR="00DC0273" w:rsidRPr="00C26F2D" w:rsidRDefault="00DC0273" w:rsidP="00F75424">
      <w:pPr>
        <w:jc w:val="center"/>
      </w:pPr>
    </w:p>
    <w:p w14:paraId="7450C77F" w14:textId="77777777" w:rsidR="00DC0273" w:rsidRPr="0057246E" w:rsidRDefault="00DC0273" w:rsidP="004B4A60"/>
    <w:p w14:paraId="5A0239A3" w14:textId="77777777" w:rsidR="00DC0273" w:rsidRDefault="00DC0273" w:rsidP="00952E9F">
      <w:pPr>
        <w:sectPr w:rsidR="00DC0273" w:rsidSect="00D1061C"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7" w:h="16840" w:code="9"/>
          <w:pgMar w:top="1134" w:right="1701" w:bottom="1134" w:left="1701" w:header="709" w:footer="709" w:gutter="0"/>
          <w:cols w:space="708"/>
          <w:titlePg/>
          <w:docGrid w:linePitch="360"/>
        </w:sectPr>
      </w:pPr>
    </w:p>
    <w:p w14:paraId="33C24213" w14:textId="77777777" w:rsidR="00F554D6" w:rsidRPr="00DE77E5" w:rsidRDefault="00F554D6" w:rsidP="00F554D6">
      <w:pPr>
        <w:pStyle w:val="ATSHeading1"/>
      </w:pPr>
      <w:r>
        <w:lastRenderedPageBreak/>
        <w:t>Report on the Intersessional Contact Group (ICG) on the Development of a Comprehensive and Consistent Framework for Tourism and Other Non-governmental Activities</w:t>
      </w:r>
    </w:p>
    <w:p w14:paraId="3E6DAC71" w14:textId="77777777" w:rsidR="00F554D6" w:rsidRPr="00DE77E5" w:rsidRDefault="00F554D6" w:rsidP="00F554D6">
      <w:pPr>
        <w:pStyle w:val="ATSHeading2"/>
      </w:pPr>
      <w:r w:rsidRPr="00DE77E5">
        <w:t>Sum</w:t>
      </w:r>
      <w:r>
        <w:t>mary</w:t>
      </w:r>
    </w:p>
    <w:p w14:paraId="107D4737" w14:textId="77777777" w:rsidR="00F554D6" w:rsidRPr="008671C5" w:rsidRDefault="00F554D6" w:rsidP="00F554D6">
      <w:pPr>
        <w:spacing w:before="120" w:after="120"/>
        <w:jc w:val="both"/>
        <w:rPr>
          <w:lang w:val="en-US" w:eastAsia="en-GB"/>
        </w:rPr>
      </w:pPr>
      <w:r w:rsidRPr="00A34A9E">
        <w:rPr>
          <w:lang w:val="en-US" w:eastAsia="en-GB"/>
        </w:rPr>
        <w:t>This paper reports on the main out</w:t>
      </w:r>
      <w:r>
        <w:rPr>
          <w:lang w:val="en-US" w:eastAsia="en-GB"/>
        </w:rPr>
        <w:t>comes</w:t>
      </w:r>
      <w:r w:rsidRPr="00A34A9E">
        <w:rPr>
          <w:lang w:val="en-US" w:eastAsia="en-GB"/>
        </w:rPr>
        <w:t xml:space="preserve"> of the intersessional contact group (ICG) established by</w:t>
      </w:r>
      <w:r>
        <w:rPr>
          <w:lang w:val="en-US" w:eastAsia="en-GB"/>
        </w:rPr>
        <w:t xml:space="preserve"> </w:t>
      </w:r>
      <w:r w:rsidRPr="00A34A9E">
        <w:rPr>
          <w:lang w:val="en-US" w:eastAsia="en-GB"/>
        </w:rPr>
        <w:t>ATCM 47 to proceed with the work on a Framework for the Regulation of Tourism and Other</w:t>
      </w:r>
      <w:r>
        <w:rPr>
          <w:lang w:val="en-US" w:eastAsia="en-GB"/>
        </w:rPr>
        <w:t xml:space="preserve"> </w:t>
      </w:r>
      <w:r w:rsidRPr="00A34A9E">
        <w:rPr>
          <w:lang w:val="en-US" w:eastAsia="en-GB"/>
        </w:rPr>
        <w:t>Non-Governmental Activities in Antarctica, pursuant to Decision 6 (2023) and Decision 5</w:t>
      </w:r>
      <w:r>
        <w:rPr>
          <w:lang w:val="en-US" w:eastAsia="en-GB"/>
        </w:rPr>
        <w:t xml:space="preserve"> </w:t>
      </w:r>
      <w:r w:rsidRPr="00A34A9E">
        <w:rPr>
          <w:lang w:val="en-US" w:eastAsia="en-GB"/>
        </w:rPr>
        <w:t>(2024).</w:t>
      </w:r>
      <w:r>
        <w:rPr>
          <w:lang w:val="en-US" w:eastAsia="en-GB"/>
        </w:rPr>
        <w:t xml:space="preserve"> </w:t>
      </w:r>
      <w:r w:rsidRPr="00A34A9E">
        <w:rPr>
          <w:lang w:val="en-US" w:eastAsia="en-GB"/>
        </w:rPr>
        <w:t>Building on the progress achieved by the ICG and noting the issues still under discussion, the</w:t>
      </w:r>
      <w:r>
        <w:rPr>
          <w:lang w:val="en-US" w:eastAsia="en-GB"/>
        </w:rPr>
        <w:t xml:space="preserve"> </w:t>
      </w:r>
      <w:r w:rsidRPr="00A34A9E">
        <w:rPr>
          <w:lang w:val="en-US" w:eastAsia="en-GB"/>
        </w:rPr>
        <w:t xml:space="preserve">ICG </w:t>
      </w:r>
      <w:r>
        <w:rPr>
          <w:lang w:val="en-US" w:eastAsia="en-GB"/>
        </w:rPr>
        <w:t xml:space="preserve">invites </w:t>
      </w:r>
      <w:r w:rsidRPr="00A34A9E">
        <w:rPr>
          <w:lang w:val="en-US" w:eastAsia="en-GB"/>
        </w:rPr>
        <w:t>the ATCM to</w:t>
      </w:r>
      <w:r>
        <w:rPr>
          <w:lang w:val="en-US" w:eastAsia="en-GB"/>
        </w:rPr>
        <w:t xml:space="preserve"> consider the outcomes</w:t>
      </w:r>
      <w:r w:rsidRPr="00A34A9E">
        <w:rPr>
          <w:lang w:val="en-US" w:eastAsia="en-GB"/>
        </w:rPr>
        <w:t xml:space="preserve"> with respect to Consolidation of existing guidelines and regulations (Workstream</w:t>
      </w:r>
      <w:r>
        <w:rPr>
          <w:lang w:val="en-US" w:eastAsia="en-GB"/>
        </w:rPr>
        <w:t xml:space="preserve"> </w:t>
      </w:r>
      <w:r w:rsidRPr="00A34A9E">
        <w:rPr>
          <w:lang w:val="en-US" w:eastAsia="en-GB"/>
        </w:rPr>
        <w:t xml:space="preserve">1), Spatial approaches: Antarctica scale, </w:t>
      </w:r>
      <w:r>
        <w:rPr>
          <w:lang w:val="en-US" w:eastAsia="en-GB"/>
        </w:rPr>
        <w:t>r</w:t>
      </w:r>
      <w:r w:rsidRPr="00A34A9E">
        <w:rPr>
          <w:lang w:val="en-US" w:eastAsia="en-GB"/>
        </w:rPr>
        <w:t>egional scale and site-specific management</w:t>
      </w:r>
      <w:r>
        <w:rPr>
          <w:lang w:val="en-US" w:eastAsia="en-GB"/>
        </w:rPr>
        <w:t xml:space="preserve"> </w:t>
      </w:r>
      <w:r w:rsidRPr="00A34A9E">
        <w:rPr>
          <w:lang w:val="en-US" w:eastAsia="en-GB"/>
        </w:rPr>
        <w:t>(Workstream 2), Assessment of activities (Workstream 3), and Environmental data, including</w:t>
      </w:r>
      <w:r>
        <w:rPr>
          <w:lang w:val="en-US" w:eastAsia="en-GB"/>
        </w:rPr>
        <w:t xml:space="preserve"> </w:t>
      </w:r>
      <w:r w:rsidRPr="00A34A9E">
        <w:rPr>
          <w:lang w:val="en-US" w:eastAsia="en-GB"/>
        </w:rPr>
        <w:t>baselines, monitoring, science, cumulative impacts; and precaution (Workstream 4), and to take</w:t>
      </w:r>
      <w:r>
        <w:rPr>
          <w:lang w:val="en-US" w:eastAsia="en-GB"/>
        </w:rPr>
        <w:t xml:space="preserve"> </w:t>
      </w:r>
      <w:r w:rsidRPr="00A34A9E">
        <w:rPr>
          <w:lang w:val="en-US" w:eastAsia="en-GB"/>
        </w:rPr>
        <w:t xml:space="preserve">these </w:t>
      </w:r>
      <w:r>
        <w:rPr>
          <w:lang w:val="en-US" w:eastAsia="en-GB"/>
        </w:rPr>
        <w:t xml:space="preserve">outcomes </w:t>
      </w:r>
      <w:r w:rsidRPr="00A34A9E">
        <w:rPr>
          <w:lang w:val="en-US" w:eastAsia="en-GB"/>
        </w:rPr>
        <w:t xml:space="preserve">into </w:t>
      </w:r>
      <w:r>
        <w:rPr>
          <w:lang w:val="en-US" w:eastAsia="en-GB"/>
        </w:rPr>
        <w:t xml:space="preserve">account </w:t>
      </w:r>
      <w:r w:rsidRPr="00A34A9E">
        <w:rPr>
          <w:lang w:val="en-US" w:eastAsia="en-GB"/>
        </w:rPr>
        <w:t>in its further work on a Framework for the Regulation of Tourism</w:t>
      </w:r>
      <w:r>
        <w:rPr>
          <w:lang w:val="en-US" w:eastAsia="en-GB"/>
        </w:rPr>
        <w:t xml:space="preserve"> </w:t>
      </w:r>
      <w:r w:rsidRPr="00A34A9E">
        <w:rPr>
          <w:lang w:val="en-US" w:eastAsia="en-GB"/>
        </w:rPr>
        <w:t>and Other Non-Governmental Activities in Antarctica</w:t>
      </w:r>
      <w:r>
        <w:rPr>
          <w:lang w:val="en-US" w:eastAsia="en-GB"/>
        </w:rPr>
        <w:t>,</w:t>
      </w:r>
      <w:r w:rsidRPr="008F03F9">
        <w:rPr>
          <w:lang w:val="en-US" w:eastAsia="en-GB"/>
        </w:rPr>
        <w:t xml:space="preserve"> as adopted by Decision 6 (2023) and Decision 5 (2024)</w:t>
      </w:r>
      <w:r>
        <w:rPr>
          <w:lang w:val="en-US" w:eastAsia="en-GB"/>
        </w:rPr>
        <w:t>.</w:t>
      </w:r>
    </w:p>
    <w:p w14:paraId="3121CC7E" w14:textId="77777777" w:rsidR="00F554D6" w:rsidRPr="00A34A9E" w:rsidRDefault="00F554D6" w:rsidP="00F554D6">
      <w:pPr>
        <w:pStyle w:val="ATSHeading2"/>
      </w:pPr>
      <w:r w:rsidRPr="00A34A9E">
        <w:t>Introduction</w:t>
      </w:r>
    </w:p>
    <w:p w14:paraId="78AECA7F" w14:textId="77777777" w:rsidR="00F554D6" w:rsidRDefault="00F554D6" w:rsidP="00F554D6">
      <w:pPr>
        <w:spacing w:before="120" w:after="120"/>
        <w:jc w:val="both"/>
        <w:rPr>
          <w:lang w:val="en-US" w:eastAsia="en-GB"/>
        </w:rPr>
      </w:pPr>
      <w:r w:rsidRPr="00A34A9E">
        <w:rPr>
          <w:lang w:val="en-US" w:eastAsia="en-GB"/>
        </w:rPr>
        <w:t>Through Decision 6 (2023</w:t>
      </w:r>
      <w:r w:rsidRPr="00A34A9E">
        <w:rPr>
          <w:i/>
          <w:iCs/>
          <w:lang w:val="en-US" w:eastAsia="en-GB"/>
        </w:rPr>
        <w:t>) Dedicated process for the development of a comprehensive and</w:t>
      </w:r>
      <w:r>
        <w:rPr>
          <w:i/>
          <w:iCs/>
          <w:lang w:val="en-US" w:eastAsia="en-GB"/>
        </w:rPr>
        <w:t xml:space="preserve"> </w:t>
      </w:r>
      <w:r w:rsidRPr="00A34A9E">
        <w:rPr>
          <w:i/>
          <w:iCs/>
          <w:lang w:val="en-US" w:eastAsia="en-GB"/>
        </w:rPr>
        <w:t>consistent framework for Antarctic tourism and other non-governmental activities</w:t>
      </w:r>
      <w:r w:rsidRPr="00A34A9E">
        <w:rPr>
          <w:lang w:val="en-US" w:eastAsia="en-GB"/>
        </w:rPr>
        <w:t>, ATCM 45</w:t>
      </w:r>
      <w:r>
        <w:rPr>
          <w:lang w:val="en-US" w:eastAsia="en-GB"/>
        </w:rPr>
        <w:t xml:space="preserve"> </w:t>
      </w:r>
      <w:r w:rsidRPr="00A34A9E">
        <w:rPr>
          <w:lang w:val="en-US" w:eastAsia="en-GB"/>
        </w:rPr>
        <w:t>initiated a dedicated process to develop a comprehensive and consistent framework for</w:t>
      </w:r>
      <w:r>
        <w:rPr>
          <w:lang w:val="en-US" w:eastAsia="en-GB"/>
        </w:rPr>
        <w:t xml:space="preserve"> </w:t>
      </w:r>
      <w:r w:rsidRPr="00A34A9E">
        <w:rPr>
          <w:lang w:val="en-US" w:eastAsia="en-GB"/>
        </w:rPr>
        <w:t>regulating tourism and other non-governmental activities in Antarctica (paras. 392-393 ATCM</w:t>
      </w:r>
      <w:r>
        <w:rPr>
          <w:lang w:val="en-US" w:eastAsia="en-GB"/>
        </w:rPr>
        <w:t xml:space="preserve"> </w:t>
      </w:r>
      <w:r w:rsidRPr="00A34A9E">
        <w:rPr>
          <w:lang w:val="en-US" w:eastAsia="en-GB"/>
        </w:rPr>
        <w:t>45 Final Report).</w:t>
      </w:r>
    </w:p>
    <w:p w14:paraId="649B6A56" w14:textId="77777777" w:rsidR="00F554D6" w:rsidRDefault="00F554D6" w:rsidP="00F554D6">
      <w:pPr>
        <w:spacing w:before="120" w:after="120"/>
        <w:jc w:val="both"/>
        <w:rPr>
          <w:lang w:val="en-US" w:eastAsia="en-GB"/>
        </w:rPr>
      </w:pPr>
      <w:r w:rsidRPr="00A34A9E">
        <w:rPr>
          <w:lang w:val="en-US" w:eastAsia="en-GB"/>
        </w:rPr>
        <w:t>Subsequently, ATCM 46, reflecting the discussions held during that meeting, adopted Decision</w:t>
      </w:r>
      <w:r>
        <w:rPr>
          <w:lang w:val="en-US" w:eastAsia="en-GB"/>
        </w:rPr>
        <w:t xml:space="preserve"> </w:t>
      </w:r>
      <w:r w:rsidRPr="00A34A9E">
        <w:rPr>
          <w:lang w:val="en-US" w:eastAsia="en-GB"/>
        </w:rPr>
        <w:t xml:space="preserve">5 (2024) </w:t>
      </w:r>
      <w:r w:rsidRPr="00A34A9E">
        <w:rPr>
          <w:i/>
          <w:iCs/>
          <w:lang w:val="en-US" w:eastAsia="en-GB"/>
        </w:rPr>
        <w:t>Development of a Framework for the Regulation of Tourism and Other Non-Governmental Activities in Antarctica</w:t>
      </w:r>
      <w:r w:rsidRPr="00A34A9E">
        <w:rPr>
          <w:lang w:val="en-US" w:eastAsia="en-GB"/>
        </w:rPr>
        <w:t>. This decision mandated that the process would include</w:t>
      </w:r>
      <w:r>
        <w:rPr>
          <w:lang w:val="en-US" w:eastAsia="en-GB"/>
        </w:rPr>
        <w:t xml:space="preserve"> </w:t>
      </w:r>
      <w:r w:rsidRPr="00A34A9E">
        <w:rPr>
          <w:lang w:val="en-US" w:eastAsia="en-GB"/>
        </w:rPr>
        <w:t>intersessional work, leading to the establishment of an Intersessional Contact Group (ICG) to</w:t>
      </w:r>
      <w:r>
        <w:rPr>
          <w:lang w:val="en-US" w:eastAsia="en-GB"/>
        </w:rPr>
        <w:t xml:space="preserve"> </w:t>
      </w:r>
      <w:r w:rsidRPr="00A34A9E">
        <w:rPr>
          <w:lang w:val="en-US" w:eastAsia="en-GB"/>
        </w:rPr>
        <w:t>advance the discussions (paras. 424-427 ATCM 46 Final Report).</w:t>
      </w:r>
    </w:p>
    <w:p w14:paraId="394B5D5A" w14:textId="77777777" w:rsidR="00F554D6" w:rsidRPr="00A34A9E" w:rsidRDefault="00F554D6" w:rsidP="00F554D6">
      <w:pPr>
        <w:spacing w:before="120" w:after="120"/>
        <w:jc w:val="both"/>
        <w:rPr>
          <w:lang w:val="en-US" w:eastAsia="en-GB"/>
        </w:rPr>
      </w:pPr>
      <w:r w:rsidRPr="00A34A9E">
        <w:rPr>
          <w:lang w:val="en-US" w:eastAsia="en-GB"/>
        </w:rPr>
        <w:t>ATCM 47 expressed broad support for the continued development of this framework and</w:t>
      </w:r>
      <w:r>
        <w:rPr>
          <w:lang w:val="en-US" w:eastAsia="en-GB"/>
        </w:rPr>
        <w:t xml:space="preserve"> </w:t>
      </w:r>
      <w:r w:rsidRPr="00A34A9E">
        <w:rPr>
          <w:lang w:val="en-US" w:eastAsia="en-GB"/>
        </w:rPr>
        <w:t>welcomed the ICG</w:t>
      </w:r>
      <w:r>
        <w:rPr>
          <w:lang w:val="en-US" w:eastAsia="en-GB"/>
        </w:rPr>
        <w:t>’</w:t>
      </w:r>
      <w:r w:rsidRPr="00A34A9E">
        <w:rPr>
          <w:lang w:val="en-US" w:eastAsia="en-GB"/>
        </w:rPr>
        <w:t>s outcomes from the 2024-25 period (para. 438 ATCM 47 Final Report). To</w:t>
      </w:r>
      <w:r>
        <w:rPr>
          <w:lang w:val="en-US" w:eastAsia="en-GB"/>
        </w:rPr>
        <w:t xml:space="preserve"> </w:t>
      </w:r>
      <w:r w:rsidRPr="00A34A9E">
        <w:rPr>
          <w:lang w:val="en-US" w:eastAsia="en-GB"/>
        </w:rPr>
        <w:t>further these efforts, the Meeting established an additional ICG to develop concrete proposals</w:t>
      </w:r>
      <w:r>
        <w:rPr>
          <w:lang w:val="en-US" w:eastAsia="en-GB"/>
        </w:rPr>
        <w:t xml:space="preserve"> </w:t>
      </w:r>
      <w:r w:rsidRPr="00A34A9E">
        <w:rPr>
          <w:lang w:val="en-US" w:eastAsia="en-GB"/>
        </w:rPr>
        <w:t>and specific options for consideration of ATCM 48 across the following workstreams:</w:t>
      </w:r>
    </w:p>
    <w:p w14:paraId="1B49260E" w14:textId="77777777" w:rsidR="00F554D6" w:rsidRPr="00982877" w:rsidRDefault="00F554D6" w:rsidP="00F554D6">
      <w:pPr>
        <w:pStyle w:val="Prrafodelista"/>
        <w:numPr>
          <w:ilvl w:val="0"/>
          <w:numId w:val="24"/>
        </w:numPr>
        <w:spacing w:before="120" w:after="120"/>
        <w:rPr>
          <w:lang w:val="en-US" w:eastAsia="en-GB"/>
        </w:rPr>
      </w:pPr>
      <w:r w:rsidRPr="00982877">
        <w:rPr>
          <w:lang w:val="en-US" w:eastAsia="en-GB"/>
        </w:rPr>
        <w:t>Workstream 1. Consolidation of existing guidelines and regulations</w:t>
      </w:r>
    </w:p>
    <w:p w14:paraId="6045B130" w14:textId="77777777" w:rsidR="00F554D6" w:rsidRPr="00982877" w:rsidRDefault="00F554D6" w:rsidP="00F554D6">
      <w:pPr>
        <w:pStyle w:val="Prrafodelista"/>
        <w:numPr>
          <w:ilvl w:val="0"/>
          <w:numId w:val="24"/>
        </w:numPr>
        <w:spacing w:before="120" w:after="120"/>
        <w:rPr>
          <w:lang w:val="en-US" w:eastAsia="en-GB"/>
        </w:rPr>
      </w:pPr>
      <w:r w:rsidRPr="00982877">
        <w:rPr>
          <w:lang w:val="en-US" w:eastAsia="en-GB"/>
        </w:rPr>
        <w:t>Workstream 2. Spatial approaches: Antarctica scale, regional scale and site-specific management</w:t>
      </w:r>
    </w:p>
    <w:p w14:paraId="6CAB70ED" w14:textId="77777777" w:rsidR="00F554D6" w:rsidRPr="00982877" w:rsidRDefault="00F554D6" w:rsidP="00F554D6">
      <w:pPr>
        <w:pStyle w:val="Prrafodelista"/>
        <w:numPr>
          <w:ilvl w:val="0"/>
          <w:numId w:val="24"/>
        </w:numPr>
        <w:spacing w:before="120" w:after="120"/>
        <w:rPr>
          <w:lang w:val="en-US" w:eastAsia="en-GB"/>
        </w:rPr>
      </w:pPr>
      <w:r w:rsidRPr="00982877">
        <w:rPr>
          <w:lang w:val="en-US" w:eastAsia="en-GB"/>
        </w:rPr>
        <w:t>Workstream 3. Assessment of activities</w:t>
      </w:r>
    </w:p>
    <w:p w14:paraId="081822EC" w14:textId="77777777" w:rsidR="00F554D6" w:rsidRPr="00982877" w:rsidRDefault="00F554D6" w:rsidP="00F554D6">
      <w:pPr>
        <w:pStyle w:val="Prrafodelista"/>
        <w:numPr>
          <w:ilvl w:val="0"/>
          <w:numId w:val="24"/>
        </w:numPr>
        <w:spacing w:before="120" w:after="120"/>
        <w:rPr>
          <w:lang w:val="en-US" w:eastAsia="en-GB"/>
        </w:rPr>
      </w:pPr>
      <w:r w:rsidRPr="00982877">
        <w:rPr>
          <w:lang w:val="en-US" w:eastAsia="en-GB"/>
        </w:rPr>
        <w:t>Workstream 4. Environmental data, including baselines, monitoring, science, cumulative impacts; and precaution</w:t>
      </w:r>
    </w:p>
    <w:p w14:paraId="21005DBA" w14:textId="77777777" w:rsidR="00F554D6" w:rsidRPr="00982877" w:rsidRDefault="00F554D6" w:rsidP="00F554D6">
      <w:pPr>
        <w:pStyle w:val="Prrafodelista"/>
        <w:numPr>
          <w:ilvl w:val="0"/>
          <w:numId w:val="24"/>
        </w:numPr>
        <w:spacing w:before="120" w:after="120"/>
        <w:rPr>
          <w:lang w:val="en-US" w:eastAsia="en-GB"/>
        </w:rPr>
      </w:pPr>
      <w:r w:rsidRPr="00982877">
        <w:rPr>
          <w:lang w:val="en-US" w:eastAsia="en-GB"/>
        </w:rPr>
        <w:t>Workstream 5. Institutional arrangements, including the role of the CEP as well as possible collection of fees and their use; and</w:t>
      </w:r>
    </w:p>
    <w:p w14:paraId="26185F92" w14:textId="77777777" w:rsidR="00F554D6" w:rsidRPr="00982877" w:rsidRDefault="00F554D6" w:rsidP="00F554D6">
      <w:pPr>
        <w:pStyle w:val="Prrafodelista"/>
        <w:numPr>
          <w:ilvl w:val="0"/>
          <w:numId w:val="24"/>
        </w:numPr>
        <w:spacing w:before="120" w:after="120"/>
        <w:rPr>
          <w:lang w:val="en-US" w:eastAsia="en-GB"/>
        </w:rPr>
      </w:pPr>
      <w:r w:rsidRPr="00982877">
        <w:rPr>
          <w:lang w:val="en-US" w:eastAsia="en-GB"/>
        </w:rPr>
        <w:lastRenderedPageBreak/>
        <w:t>Workstream 6. Practicalities, including cooperation between national competent authorities, in-field cooperation, safety and the role of observers.</w:t>
      </w:r>
    </w:p>
    <w:p w14:paraId="101723F5" w14:textId="77777777" w:rsidR="00F554D6" w:rsidRPr="00A34A9E" w:rsidRDefault="00F554D6" w:rsidP="00F554D6">
      <w:pPr>
        <w:spacing w:before="120" w:after="120"/>
        <w:jc w:val="both"/>
        <w:rPr>
          <w:lang w:val="en-US" w:eastAsia="en-GB"/>
        </w:rPr>
      </w:pPr>
      <w:r w:rsidRPr="00A34A9E">
        <w:rPr>
          <w:lang w:val="en-US" w:eastAsia="en-GB"/>
        </w:rPr>
        <w:t>ATCM 47 noted that the building blocks and other elements identified in Decision 5 (2024)</w:t>
      </w:r>
      <w:r>
        <w:rPr>
          <w:lang w:val="en-US" w:eastAsia="en-GB"/>
        </w:rPr>
        <w:t xml:space="preserve"> </w:t>
      </w:r>
      <w:r w:rsidRPr="00A34A9E">
        <w:rPr>
          <w:lang w:val="en-US" w:eastAsia="en-GB"/>
        </w:rPr>
        <w:t>remained relevant to the work of the ICG and ATCM Working Group 3, and welcomed the</w:t>
      </w:r>
      <w:r>
        <w:rPr>
          <w:lang w:val="en-US" w:eastAsia="en-GB"/>
        </w:rPr>
        <w:t xml:space="preserve"> </w:t>
      </w:r>
      <w:r w:rsidRPr="00A34A9E">
        <w:rPr>
          <w:lang w:val="en-US" w:eastAsia="en-GB"/>
        </w:rPr>
        <w:t>offers from various Parties and the Secretariat to convene the specific workstreams: Prof. Dr.</w:t>
      </w:r>
      <w:r>
        <w:rPr>
          <w:lang w:val="en-US" w:eastAsia="en-GB"/>
        </w:rPr>
        <w:t xml:space="preserve"> </w:t>
      </w:r>
      <w:r w:rsidRPr="00A34A9E">
        <w:rPr>
          <w:lang w:val="en-US" w:eastAsia="en-GB"/>
        </w:rPr>
        <w:t>René Lefeber (Netherlands) and the Secretariat for Workstream 1; India and the Netherlands for</w:t>
      </w:r>
      <w:r>
        <w:rPr>
          <w:lang w:val="en-US" w:eastAsia="en-GB"/>
        </w:rPr>
        <w:t xml:space="preserve"> </w:t>
      </w:r>
      <w:r w:rsidRPr="00A34A9E">
        <w:rPr>
          <w:lang w:val="en-US" w:eastAsia="en-GB"/>
        </w:rPr>
        <w:t>Workstream 2; Germany and Australia for Workstream 3; Spain, Uruguay, and Ecuador for</w:t>
      </w:r>
      <w:r>
        <w:rPr>
          <w:lang w:val="en-US" w:eastAsia="en-GB"/>
        </w:rPr>
        <w:t xml:space="preserve"> </w:t>
      </w:r>
      <w:r w:rsidRPr="00A34A9E">
        <w:rPr>
          <w:lang w:val="en-US" w:eastAsia="en-GB"/>
        </w:rPr>
        <w:t>Workstream 4; Argentina and New Zealand for Workstream 5; and France and Norway for</w:t>
      </w:r>
      <w:r>
        <w:rPr>
          <w:lang w:val="en-US" w:eastAsia="en-GB"/>
        </w:rPr>
        <w:t xml:space="preserve"> </w:t>
      </w:r>
      <w:r w:rsidRPr="00A34A9E">
        <w:rPr>
          <w:lang w:val="en-US" w:eastAsia="en-GB"/>
        </w:rPr>
        <w:t>Workstream 6.</w:t>
      </w:r>
    </w:p>
    <w:p w14:paraId="62CB1F28" w14:textId="77777777" w:rsidR="00F554D6" w:rsidRPr="00A34A9E" w:rsidRDefault="00F554D6" w:rsidP="00F554D6">
      <w:pPr>
        <w:spacing w:before="120" w:after="120"/>
        <w:jc w:val="both"/>
        <w:rPr>
          <w:lang w:val="en-US" w:eastAsia="en-GB"/>
        </w:rPr>
      </w:pPr>
      <w:r w:rsidRPr="00A34A9E">
        <w:rPr>
          <w:lang w:val="en-US" w:eastAsia="en-GB"/>
        </w:rPr>
        <w:t>It was further agreed that the ICG, convened by Prof. Dr. René Lefeber, would operate virtually</w:t>
      </w:r>
      <w:r>
        <w:rPr>
          <w:lang w:val="en-US" w:eastAsia="en-GB"/>
        </w:rPr>
        <w:t xml:space="preserve"> </w:t>
      </w:r>
      <w:r w:rsidRPr="00A34A9E">
        <w:rPr>
          <w:lang w:val="en-US" w:eastAsia="en-GB"/>
        </w:rPr>
        <w:t>during intersessional periods through online tools and workshops facilitated by the Secretariat,</w:t>
      </w:r>
      <w:r>
        <w:rPr>
          <w:lang w:val="en-US" w:eastAsia="en-GB"/>
        </w:rPr>
        <w:t xml:space="preserve"> </w:t>
      </w:r>
      <w:r w:rsidRPr="00A34A9E">
        <w:rPr>
          <w:lang w:val="en-US" w:eastAsia="en-GB"/>
        </w:rPr>
        <w:t>and that Non-Consultative Parties, Observers, and Experts participating in the ATCM were</w:t>
      </w:r>
      <w:r>
        <w:rPr>
          <w:lang w:val="en-US" w:eastAsia="en-GB"/>
        </w:rPr>
        <w:t xml:space="preserve"> </w:t>
      </w:r>
      <w:r w:rsidRPr="00A34A9E">
        <w:rPr>
          <w:lang w:val="en-US" w:eastAsia="en-GB"/>
        </w:rPr>
        <w:t>invited to provide their input to the process.</w:t>
      </w:r>
    </w:p>
    <w:p w14:paraId="2577215E" w14:textId="77777777" w:rsidR="00F554D6" w:rsidRPr="00A34A9E" w:rsidRDefault="00F554D6" w:rsidP="00F554D6">
      <w:pPr>
        <w:spacing w:before="120" w:after="120"/>
        <w:jc w:val="both"/>
        <w:rPr>
          <w:lang w:val="en-US" w:eastAsia="en-GB"/>
        </w:rPr>
      </w:pPr>
      <w:r w:rsidRPr="00A34A9E">
        <w:rPr>
          <w:lang w:val="en-US" w:eastAsia="en-GB"/>
        </w:rPr>
        <w:t>Finally, the Meeting agreed that the outputs from these workstreams would serve as the basis for</w:t>
      </w:r>
      <w:r>
        <w:rPr>
          <w:lang w:val="en-US" w:eastAsia="en-GB"/>
        </w:rPr>
        <w:t xml:space="preserve"> </w:t>
      </w:r>
      <w:r w:rsidRPr="00A34A9E">
        <w:rPr>
          <w:lang w:val="en-US" w:eastAsia="en-GB"/>
        </w:rPr>
        <w:t>this ICG report on the group’s progress to be presented at ATCM 48 (see paras. 507-511 ATCM</w:t>
      </w:r>
      <w:r>
        <w:rPr>
          <w:lang w:val="en-US" w:eastAsia="en-GB"/>
        </w:rPr>
        <w:t xml:space="preserve"> </w:t>
      </w:r>
      <w:r w:rsidRPr="00A34A9E">
        <w:rPr>
          <w:lang w:val="en-US" w:eastAsia="en-GB"/>
        </w:rPr>
        <w:t>47 Final Report).</w:t>
      </w:r>
    </w:p>
    <w:p w14:paraId="6647D2D6" w14:textId="77777777" w:rsidR="00F554D6" w:rsidRPr="00A34A9E" w:rsidRDefault="00F554D6" w:rsidP="00F554D6">
      <w:pPr>
        <w:pStyle w:val="ATSHeading2"/>
      </w:pPr>
      <w:r>
        <w:t>T</w:t>
      </w:r>
      <w:r w:rsidRPr="00A34A9E">
        <w:t>he work of the ICG</w:t>
      </w:r>
    </w:p>
    <w:p w14:paraId="6C7044B7" w14:textId="77777777" w:rsidR="00F554D6" w:rsidRPr="00B03BF8" w:rsidRDefault="00F554D6" w:rsidP="00F554D6">
      <w:pPr>
        <w:spacing w:before="120" w:after="120"/>
        <w:jc w:val="both"/>
        <w:rPr>
          <w:lang w:val="en-US" w:eastAsia="en-GB"/>
        </w:rPr>
      </w:pPr>
      <w:r w:rsidRPr="00B03BF8">
        <w:rPr>
          <w:lang w:val="en-US" w:eastAsia="en-GB"/>
        </w:rPr>
        <w:t>Across the first four workstreams, contributions were received from twelve Consultative Parties</w:t>
      </w:r>
      <w:r>
        <w:rPr>
          <w:lang w:val="en-US" w:eastAsia="en-GB"/>
        </w:rPr>
        <w:t xml:space="preserve"> </w:t>
      </w:r>
      <w:r w:rsidRPr="00B03BF8">
        <w:rPr>
          <w:lang w:val="en-US" w:eastAsia="en-GB"/>
        </w:rPr>
        <w:t>(Argentina, Australia, Chile, France, Germany, Japan, Netherlands, New Zealand, Norway,</w:t>
      </w:r>
      <w:r>
        <w:rPr>
          <w:lang w:val="en-US" w:eastAsia="en-GB"/>
        </w:rPr>
        <w:t xml:space="preserve"> </w:t>
      </w:r>
      <w:r w:rsidRPr="00B03BF8">
        <w:rPr>
          <w:lang w:val="en-US" w:eastAsia="en-GB"/>
        </w:rPr>
        <w:t>Spain, United Kingdom, and the United States), one Non-Consultative Party (Canada), one</w:t>
      </w:r>
      <w:r>
        <w:rPr>
          <w:lang w:val="en-US" w:eastAsia="en-GB"/>
        </w:rPr>
        <w:t xml:space="preserve"> </w:t>
      </w:r>
      <w:r w:rsidRPr="00B03BF8">
        <w:rPr>
          <w:lang w:val="en-US" w:eastAsia="en-GB"/>
        </w:rPr>
        <w:t>Observer (SCAR), and three Experts (ASOC, IAATO and IUCN). These deliberations were</w:t>
      </w:r>
      <w:r>
        <w:rPr>
          <w:lang w:val="en-US" w:eastAsia="en-GB"/>
        </w:rPr>
        <w:t xml:space="preserve"> </w:t>
      </w:r>
      <w:r w:rsidRPr="00B03BF8">
        <w:rPr>
          <w:lang w:val="en-US" w:eastAsia="en-GB"/>
        </w:rPr>
        <w:t>supported by the circulation of eight discussion papers in total. Meanwhile, Workstreams 5 and</w:t>
      </w:r>
      <w:r>
        <w:rPr>
          <w:lang w:val="en-US" w:eastAsia="en-GB"/>
        </w:rPr>
        <w:t xml:space="preserve"> </w:t>
      </w:r>
      <w:r w:rsidRPr="00B03BF8">
        <w:rPr>
          <w:lang w:val="en-US" w:eastAsia="en-GB"/>
        </w:rPr>
        <w:t>6 have initiated their respective discussions, which remain ongoing.</w:t>
      </w:r>
    </w:p>
    <w:p w14:paraId="2A090CAE" w14:textId="77777777" w:rsidR="00F554D6" w:rsidRPr="00B03BF8" w:rsidRDefault="00F554D6" w:rsidP="00F554D6">
      <w:pPr>
        <w:spacing w:before="120" w:after="120"/>
        <w:jc w:val="both"/>
        <w:rPr>
          <w:lang w:val="en-US" w:eastAsia="en-GB"/>
        </w:rPr>
      </w:pPr>
      <w:r w:rsidRPr="00B03BF8">
        <w:rPr>
          <w:lang w:val="en-US" w:eastAsia="en-GB"/>
        </w:rPr>
        <w:t>Below, the work of each of the four workstreams is described in detail:</w:t>
      </w:r>
    </w:p>
    <w:p w14:paraId="38382DC7" w14:textId="77777777" w:rsidR="00F554D6" w:rsidRPr="00B03BF8" w:rsidRDefault="00F554D6" w:rsidP="00F554D6">
      <w:pPr>
        <w:spacing w:before="120" w:after="120"/>
        <w:jc w:val="both"/>
        <w:rPr>
          <w:i/>
          <w:iCs/>
          <w:lang w:val="en-US" w:eastAsia="en-GB"/>
        </w:rPr>
      </w:pPr>
      <w:r w:rsidRPr="00B03BF8">
        <w:rPr>
          <w:i/>
          <w:iCs/>
          <w:lang w:val="en-US" w:eastAsia="en-GB"/>
        </w:rPr>
        <w:t>Workstream 1. Consolidation of existing guidelines and regulations</w:t>
      </w:r>
    </w:p>
    <w:p w14:paraId="5E40F878" w14:textId="77777777" w:rsidR="00F554D6" w:rsidRPr="00B03BF8" w:rsidRDefault="00F554D6" w:rsidP="00F554D6">
      <w:pPr>
        <w:spacing w:before="120" w:after="120"/>
        <w:jc w:val="both"/>
        <w:rPr>
          <w:lang w:val="en-US" w:eastAsia="en-GB"/>
        </w:rPr>
      </w:pPr>
      <w:r w:rsidRPr="00B03BF8">
        <w:rPr>
          <w:lang w:val="en-US" w:eastAsia="en-GB"/>
        </w:rPr>
        <w:t>For the purposes of this Workstream, two discussion papers were prepared by the Secretariat</w:t>
      </w:r>
      <w:r>
        <w:rPr>
          <w:lang w:val="en-US" w:eastAsia="en-GB"/>
        </w:rPr>
        <w:t xml:space="preserve"> </w:t>
      </w:r>
      <w:r w:rsidRPr="00B03BF8">
        <w:rPr>
          <w:lang w:val="en-US" w:eastAsia="en-GB"/>
        </w:rPr>
        <w:t>and the ICG Convenor, entitled “Review of Current ATCM Measures Related to Tourism and</w:t>
      </w:r>
      <w:r>
        <w:rPr>
          <w:lang w:val="en-US" w:eastAsia="en-GB"/>
        </w:rPr>
        <w:t xml:space="preserve"> </w:t>
      </w:r>
      <w:r w:rsidRPr="00B03BF8">
        <w:rPr>
          <w:lang w:val="en-US" w:eastAsia="en-GB"/>
        </w:rPr>
        <w:t>Non-Governmental Activities” (see attachment 1) and “ATCM Regulation of Antarctic</w:t>
      </w:r>
      <w:r>
        <w:rPr>
          <w:lang w:val="en-US" w:eastAsia="en-GB"/>
        </w:rPr>
        <w:t xml:space="preserve"> T</w:t>
      </w:r>
      <w:r w:rsidRPr="00B03BF8">
        <w:rPr>
          <w:lang w:val="en-US" w:eastAsia="en-GB"/>
        </w:rPr>
        <w:t>ourism,</w:t>
      </w:r>
      <w:r>
        <w:rPr>
          <w:lang w:val="en-US" w:eastAsia="en-GB"/>
        </w:rPr>
        <w:t xml:space="preserve"> </w:t>
      </w:r>
      <w:r w:rsidRPr="00B03BF8">
        <w:rPr>
          <w:lang w:val="en-US" w:eastAsia="en-GB"/>
        </w:rPr>
        <w:t>Current State and Thematic Organization” (see attachment 2). During two rounds of discussions</w:t>
      </w:r>
      <w:r>
        <w:rPr>
          <w:lang w:val="en-US" w:eastAsia="en-GB"/>
        </w:rPr>
        <w:t xml:space="preserve"> </w:t>
      </w:r>
      <w:r w:rsidRPr="00B03BF8">
        <w:rPr>
          <w:lang w:val="en-US" w:eastAsia="en-GB"/>
        </w:rPr>
        <w:t>on the ATCM Forum, contributions were received from nine Consultative Parties (Argentina,</w:t>
      </w:r>
      <w:r>
        <w:rPr>
          <w:lang w:val="en-US" w:eastAsia="en-GB"/>
        </w:rPr>
        <w:t xml:space="preserve"> </w:t>
      </w:r>
      <w:r w:rsidRPr="00B03BF8">
        <w:rPr>
          <w:lang w:val="en-US" w:eastAsia="en-GB"/>
        </w:rPr>
        <w:t>New Zealand, Australia, Spain, Germany, France, Norway, Netherlands, and the United States)</w:t>
      </w:r>
      <w:r>
        <w:rPr>
          <w:lang w:val="en-US" w:eastAsia="en-GB"/>
        </w:rPr>
        <w:t xml:space="preserve"> </w:t>
      </w:r>
      <w:r w:rsidRPr="00B03BF8">
        <w:rPr>
          <w:lang w:val="en-US" w:eastAsia="en-GB"/>
        </w:rPr>
        <w:t>and two Experts (IAATO and ASOC).</w:t>
      </w:r>
    </w:p>
    <w:p w14:paraId="7D88F0E0" w14:textId="77777777" w:rsidR="00F554D6" w:rsidRPr="00B03BF8" w:rsidRDefault="00F554D6" w:rsidP="00F554D6">
      <w:pPr>
        <w:spacing w:before="120" w:after="120"/>
        <w:jc w:val="both"/>
        <w:rPr>
          <w:lang w:val="en-US" w:eastAsia="en-GB"/>
        </w:rPr>
      </w:pPr>
      <w:r w:rsidRPr="00B03BF8">
        <w:rPr>
          <w:lang w:val="en-US" w:eastAsia="en-GB"/>
        </w:rPr>
        <w:t>At the Workshop on 1 October 2025, the following conclusions were tentatively drawn by the</w:t>
      </w:r>
      <w:r>
        <w:rPr>
          <w:lang w:val="en-US" w:eastAsia="en-GB"/>
        </w:rPr>
        <w:t xml:space="preserve"> </w:t>
      </w:r>
      <w:r w:rsidRPr="00B03BF8">
        <w:rPr>
          <w:lang w:val="en-US" w:eastAsia="en-GB"/>
        </w:rPr>
        <w:t>Convenor for further consideration during the ICG:</w:t>
      </w:r>
    </w:p>
    <w:p w14:paraId="098DC70D" w14:textId="77777777" w:rsidR="00F554D6" w:rsidRPr="00982877" w:rsidRDefault="00F554D6" w:rsidP="00F554D6">
      <w:pPr>
        <w:pStyle w:val="Prrafodelista"/>
        <w:numPr>
          <w:ilvl w:val="0"/>
          <w:numId w:val="21"/>
        </w:numPr>
        <w:spacing w:before="120" w:after="120"/>
        <w:jc w:val="both"/>
        <w:rPr>
          <w:lang w:val="en-US" w:eastAsia="en-GB"/>
        </w:rPr>
      </w:pPr>
      <w:r w:rsidRPr="00982877">
        <w:rPr>
          <w:lang w:val="en-US" w:eastAsia="en-GB"/>
        </w:rPr>
        <w:t>Decisions 5 (2003), 7 (2009) and 6 (2019) could be designated by the ATCM as</w:t>
      </w:r>
      <w:r>
        <w:rPr>
          <w:lang w:val="en-US" w:eastAsia="en-GB"/>
        </w:rPr>
        <w:t xml:space="preserve"> </w:t>
      </w:r>
      <w:r w:rsidRPr="00982877">
        <w:rPr>
          <w:lang w:val="en-US" w:eastAsia="en-GB"/>
        </w:rPr>
        <w:t>“spent”;</w:t>
      </w:r>
    </w:p>
    <w:p w14:paraId="1F19F300" w14:textId="77777777" w:rsidR="00F554D6" w:rsidRPr="00982877" w:rsidRDefault="00F554D6" w:rsidP="00F554D6">
      <w:pPr>
        <w:pStyle w:val="Prrafodelista"/>
        <w:numPr>
          <w:ilvl w:val="0"/>
          <w:numId w:val="21"/>
        </w:numPr>
        <w:spacing w:before="120" w:after="120"/>
        <w:jc w:val="both"/>
        <w:rPr>
          <w:lang w:val="en-US" w:eastAsia="en-GB"/>
        </w:rPr>
      </w:pPr>
      <w:r w:rsidRPr="00982877">
        <w:rPr>
          <w:lang w:val="en-US" w:eastAsia="en-GB"/>
        </w:rPr>
        <w:t>Recommendation XVIII-1 (1994) could be designated by the ATCM as “obsolete”, provided that ‘guns’ and ‘explosives’ are adequately covered by other current measures</w:t>
      </w:r>
      <w:r>
        <w:rPr>
          <w:lang w:val="en-US" w:eastAsia="en-GB"/>
        </w:rPr>
        <w:t xml:space="preserve"> </w:t>
      </w:r>
      <w:r w:rsidRPr="00982877">
        <w:rPr>
          <w:lang w:val="en-US" w:eastAsia="en-GB"/>
        </w:rPr>
        <w:t>(which may need to be adjusted for this purpose);</w:t>
      </w:r>
    </w:p>
    <w:p w14:paraId="418C0018" w14:textId="77777777" w:rsidR="00F554D6" w:rsidRPr="00982877" w:rsidRDefault="00F554D6" w:rsidP="00F554D6">
      <w:pPr>
        <w:pStyle w:val="Prrafodelista"/>
        <w:numPr>
          <w:ilvl w:val="0"/>
          <w:numId w:val="21"/>
        </w:numPr>
        <w:spacing w:before="120" w:after="120"/>
        <w:jc w:val="both"/>
        <w:rPr>
          <w:lang w:val="en-US" w:eastAsia="en-GB"/>
        </w:rPr>
      </w:pPr>
      <w:r w:rsidRPr="00982877">
        <w:rPr>
          <w:lang w:val="en-US" w:eastAsia="en-GB"/>
        </w:rPr>
        <w:t>To facilitate the work, that is to be based on the building blocks as contained in Decision 5 (2024), it could be useful to consolidate the current ATCM resolutions concerning Tourism and Non-Governmental activities on the basis of the seven thematic areas as identified in “Review of Current ATCM Measures Related to Tourism and</w:t>
      </w:r>
      <w:r>
        <w:rPr>
          <w:lang w:val="en-US" w:eastAsia="en-GB"/>
        </w:rPr>
        <w:t xml:space="preserve"> </w:t>
      </w:r>
      <w:r w:rsidRPr="00982877">
        <w:rPr>
          <w:lang w:val="en-US" w:eastAsia="en-GB"/>
        </w:rPr>
        <w:t>Non-Governmental Activities”;</w:t>
      </w:r>
    </w:p>
    <w:p w14:paraId="32EC824B" w14:textId="77777777" w:rsidR="00F554D6" w:rsidRPr="00982877" w:rsidRDefault="00F554D6" w:rsidP="00F554D6">
      <w:pPr>
        <w:pStyle w:val="Prrafodelista"/>
        <w:numPr>
          <w:ilvl w:val="0"/>
          <w:numId w:val="21"/>
        </w:numPr>
        <w:spacing w:before="120" w:after="120"/>
        <w:jc w:val="both"/>
        <w:rPr>
          <w:lang w:val="en-US" w:eastAsia="en-GB"/>
        </w:rPr>
      </w:pPr>
      <w:r w:rsidRPr="00982877">
        <w:rPr>
          <w:lang w:val="en-US" w:eastAsia="en-GB"/>
        </w:rPr>
        <w:t>To streamline information exchange requirements with respect to post visit reports</w:t>
      </w:r>
      <w:r>
        <w:rPr>
          <w:lang w:val="en-US" w:eastAsia="en-GB"/>
        </w:rPr>
        <w:t xml:space="preserve"> </w:t>
      </w:r>
      <w:r w:rsidRPr="00982877">
        <w:rPr>
          <w:lang w:val="en-US" w:eastAsia="en-GB"/>
        </w:rPr>
        <w:t>under Resolutions 10 (2021) and 6 (2022), and the information exchange requirements</w:t>
      </w:r>
      <w:r>
        <w:rPr>
          <w:lang w:val="en-US" w:eastAsia="en-GB"/>
        </w:rPr>
        <w:t xml:space="preserve"> </w:t>
      </w:r>
      <w:r w:rsidRPr="00982877">
        <w:rPr>
          <w:lang w:val="en-US" w:eastAsia="en-GB"/>
        </w:rPr>
        <w:t>under the Electronic Information Exchange System, it could be useful to liaise with</w:t>
      </w:r>
      <w:r>
        <w:rPr>
          <w:lang w:val="en-US" w:eastAsia="en-GB"/>
        </w:rPr>
        <w:t xml:space="preserve"> </w:t>
      </w:r>
      <w:r w:rsidRPr="00982877">
        <w:rPr>
          <w:lang w:val="en-US" w:eastAsia="en-GB"/>
        </w:rPr>
        <w:t>Working Group 1 of the ATCM to compare these information exchange requirements.</w:t>
      </w:r>
    </w:p>
    <w:p w14:paraId="364F4E77" w14:textId="77777777" w:rsidR="00F554D6" w:rsidRDefault="00F554D6" w:rsidP="00F554D6">
      <w:pPr>
        <w:jc w:val="both"/>
        <w:rPr>
          <w:b/>
          <w:bCs/>
        </w:rPr>
      </w:pPr>
    </w:p>
    <w:p w14:paraId="1B81EF31" w14:textId="77777777" w:rsidR="00F554D6" w:rsidRPr="00982877" w:rsidRDefault="00F554D6" w:rsidP="00F554D6">
      <w:pPr>
        <w:jc w:val="both"/>
        <w:rPr>
          <w:lang w:val="en-US" w:eastAsia="en-GB"/>
        </w:rPr>
      </w:pPr>
      <w:r w:rsidRPr="00982877">
        <w:rPr>
          <w:lang w:val="en-US" w:eastAsia="en-GB"/>
        </w:rPr>
        <w:t>At the Workshop on 5 November 2025, the participants confirmed the conclusions tentatively</w:t>
      </w:r>
    </w:p>
    <w:p w14:paraId="62C1FAF9" w14:textId="77777777" w:rsidR="00F554D6" w:rsidRPr="00982877" w:rsidRDefault="00F554D6" w:rsidP="00F554D6">
      <w:pPr>
        <w:jc w:val="both"/>
        <w:rPr>
          <w:lang w:val="en-US" w:eastAsia="en-GB"/>
        </w:rPr>
      </w:pPr>
      <w:r w:rsidRPr="00982877">
        <w:rPr>
          <w:lang w:val="en-US" w:eastAsia="en-GB"/>
        </w:rPr>
        <w:lastRenderedPageBreak/>
        <w:t>drawn with respect to Workstream 1 at the end of the Workshop on 1 October 2025. Subsequent</w:t>
      </w:r>
    </w:p>
    <w:p w14:paraId="46C609EF" w14:textId="77777777" w:rsidR="00F554D6" w:rsidRDefault="00F554D6" w:rsidP="00F554D6">
      <w:pPr>
        <w:jc w:val="both"/>
        <w:rPr>
          <w:lang w:val="en-US" w:eastAsia="en-GB"/>
        </w:rPr>
      </w:pPr>
      <w:r w:rsidRPr="00982877">
        <w:rPr>
          <w:lang w:val="en-US" w:eastAsia="en-GB"/>
        </w:rPr>
        <w:t>to this Workshop, a discussion paper, entitled “ATCM Regulation of Antarctic Tourism, Current</w:t>
      </w:r>
      <w:r>
        <w:rPr>
          <w:lang w:val="en-US" w:eastAsia="en-GB"/>
        </w:rPr>
        <w:t xml:space="preserve"> </w:t>
      </w:r>
      <w:r w:rsidRPr="00982877">
        <w:rPr>
          <w:lang w:val="en-US" w:eastAsia="en-GB"/>
        </w:rPr>
        <w:t>State and Thematic Organization”, was presented which was discussed at the Workshops on 10</w:t>
      </w:r>
      <w:r>
        <w:rPr>
          <w:lang w:val="en-US" w:eastAsia="en-GB"/>
        </w:rPr>
        <w:t xml:space="preserve"> </w:t>
      </w:r>
      <w:r w:rsidRPr="00982877">
        <w:rPr>
          <w:lang w:val="en-US" w:eastAsia="en-GB"/>
        </w:rPr>
        <w:t>December 2025 and 4 February 2022. This discussion paper was welcomed as a useful</w:t>
      </w:r>
      <w:r>
        <w:rPr>
          <w:lang w:val="en-US" w:eastAsia="en-GB"/>
        </w:rPr>
        <w:t xml:space="preserve"> </w:t>
      </w:r>
      <w:r w:rsidRPr="00982877">
        <w:rPr>
          <w:lang w:val="en-US" w:eastAsia="en-GB"/>
        </w:rPr>
        <w:t>background paper to be taken into account during the further development of the comprehensive</w:t>
      </w:r>
      <w:r>
        <w:rPr>
          <w:lang w:val="en-US" w:eastAsia="en-GB"/>
        </w:rPr>
        <w:t xml:space="preserve"> </w:t>
      </w:r>
      <w:r w:rsidRPr="00982877">
        <w:rPr>
          <w:lang w:val="en-US" w:eastAsia="en-GB"/>
        </w:rPr>
        <w:t>and consistent regulatory framework for tourism and other non-governmental activities.</w:t>
      </w:r>
    </w:p>
    <w:p w14:paraId="3677E9BF" w14:textId="77777777" w:rsidR="00F554D6" w:rsidRPr="00982877" w:rsidRDefault="00F554D6" w:rsidP="00F554D6">
      <w:pPr>
        <w:spacing w:before="120" w:after="120"/>
        <w:jc w:val="both"/>
        <w:rPr>
          <w:i/>
          <w:iCs/>
          <w:lang w:val="en-US" w:eastAsia="en-GB"/>
        </w:rPr>
      </w:pPr>
      <w:r w:rsidRPr="00982877">
        <w:rPr>
          <w:i/>
          <w:iCs/>
          <w:lang w:val="en-US" w:eastAsia="en-GB"/>
        </w:rPr>
        <w:t>Workstream 2. Spatial approaches: Antarctica scale, regional scale and site-specific</w:t>
      </w:r>
      <w:r>
        <w:rPr>
          <w:i/>
          <w:iCs/>
          <w:lang w:val="en-US" w:eastAsia="en-GB"/>
        </w:rPr>
        <w:t xml:space="preserve"> </w:t>
      </w:r>
      <w:r w:rsidRPr="00982877">
        <w:rPr>
          <w:i/>
          <w:iCs/>
          <w:lang w:val="en-US" w:eastAsia="en-GB"/>
        </w:rPr>
        <w:t>management</w:t>
      </w:r>
    </w:p>
    <w:p w14:paraId="314F08A6" w14:textId="77777777" w:rsidR="00F554D6" w:rsidRPr="00982877" w:rsidRDefault="00F554D6" w:rsidP="00F554D6">
      <w:pPr>
        <w:jc w:val="both"/>
        <w:rPr>
          <w:lang w:val="en-US" w:eastAsia="en-GB"/>
        </w:rPr>
      </w:pPr>
      <w:r w:rsidRPr="00982877">
        <w:rPr>
          <w:lang w:val="en-US" w:eastAsia="en-GB"/>
        </w:rPr>
        <w:t>Drawing on two discussion papers and a draft report, Workstream 2 conducted two rounds of</w:t>
      </w:r>
    </w:p>
    <w:p w14:paraId="400B8DFD" w14:textId="77777777" w:rsidR="00F554D6" w:rsidRPr="00982877" w:rsidRDefault="00F554D6" w:rsidP="00F554D6">
      <w:pPr>
        <w:jc w:val="both"/>
        <w:rPr>
          <w:lang w:val="en-US" w:eastAsia="en-GB"/>
        </w:rPr>
      </w:pPr>
      <w:r w:rsidRPr="00982877">
        <w:rPr>
          <w:lang w:val="en-US" w:eastAsia="en-GB"/>
        </w:rPr>
        <w:t>discussions and presented entitled “Spatial Approaches: Antarctica Scale, Regional Scale and</w:t>
      </w:r>
    </w:p>
    <w:p w14:paraId="1652F9E8" w14:textId="77777777" w:rsidR="00F554D6" w:rsidRPr="00982877" w:rsidRDefault="00F554D6" w:rsidP="00F554D6">
      <w:pPr>
        <w:jc w:val="both"/>
        <w:rPr>
          <w:lang w:val="en-US" w:eastAsia="en-GB"/>
        </w:rPr>
      </w:pPr>
      <w:r w:rsidRPr="00982877">
        <w:rPr>
          <w:lang w:val="en-US" w:eastAsia="en-GB"/>
        </w:rPr>
        <w:t>Site-Specific Management” (see attachment 3, including two annexes). These sessions saw</w:t>
      </w:r>
    </w:p>
    <w:p w14:paraId="0849E857" w14:textId="77777777" w:rsidR="00F554D6" w:rsidRPr="00982877" w:rsidRDefault="00F554D6" w:rsidP="00F554D6">
      <w:pPr>
        <w:jc w:val="both"/>
        <w:rPr>
          <w:lang w:val="en-US" w:eastAsia="en-GB"/>
        </w:rPr>
      </w:pPr>
      <w:r w:rsidRPr="00982877">
        <w:rPr>
          <w:lang w:val="en-US" w:eastAsia="en-GB"/>
        </w:rPr>
        <w:t>participation from eleven Consultative Parties (Australia, Japan, Norway, United States, Spain,</w:t>
      </w:r>
    </w:p>
    <w:p w14:paraId="166307C8" w14:textId="77777777" w:rsidR="00F554D6" w:rsidRPr="00982877" w:rsidRDefault="00F554D6" w:rsidP="00F554D6">
      <w:pPr>
        <w:jc w:val="both"/>
        <w:rPr>
          <w:lang w:val="en-US" w:eastAsia="en-GB"/>
        </w:rPr>
      </w:pPr>
      <w:r w:rsidRPr="00982877">
        <w:rPr>
          <w:lang w:val="en-US" w:eastAsia="en-GB"/>
        </w:rPr>
        <w:t>New Zealand, Germany, Argentina, France, United Kingdom, and Chile), alongside one</w:t>
      </w:r>
    </w:p>
    <w:p w14:paraId="702E43A4" w14:textId="77777777" w:rsidR="00F554D6" w:rsidRPr="00982877" w:rsidRDefault="00F554D6" w:rsidP="00F554D6">
      <w:pPr>
        <w:jc w:val="both"/>
        <w:rPr>
          <w:lang w:val="en-US" w:eastAsia="en-GB"/>
        </w:rPr>
      </w:pPr>
      <w:r w:rsidRPr="00982877">
        <w:rPr>
          <w:lang w:val="en-US" w:eastAsia="en-GB"/>
        </w:rPr>
        <w:t>Observer (SCAR) and three Experts (IAATO, IUCN, and ASOC).</w:t>
      </w:r>
    </w:p>
    <w:p w14:paraId="39E5EF6D" w14:textId="77777777" w:rsidR="00F554D6" w:rsidRPr="00982877" w:rsidRDefault="00F554D6" w:rsidP="00F554D6">
      <w:pPr>
        <w:spacing w:before="120" w:after="120"/>
        <w:jc w:val="both"/>
        <w:rPr>
          <w:i/>
          <w:iCs/>
          <w:lang w:val="en-US" w:eastAsia="en-GB"/>
        </w:rPr>
      </w:pPr>
      <w:r w:rsidRPr="00982877">
        <w:rPr>
          <w:i/>
          <w:iCs/>
          <w:lang w:val="en-US" w:eastAsia="en-GB"/>
        </w:rPr>
        <w:t>Workstream 3. Assessment of activities</w:t>
      </w:r>
    </w:p>
    <w:p w14:paraId="451F0463" w14:textId="77777777" w:rsidR="00F554D6" w:rsidRPr="00982877" w:rsidRDefault="00F554D6" w:rsidP="00F554D6">
      <w:pPr>
        <w:jc w:val="both"/>
        <w:rPr>
          <w:lang w:val="en-US" w:eastAsia="en-GB"/>
        </w:rPr>
      </w:pPr>
      <w:r w:rsidRPr="00982877">
        <w:rPr>
          <w:lang w:val="en-US" w:eastAsia="en-GB"/>
        </w:rPr>
        <w:t>Two rounds of consultations took place within this workstream, focused on two primary</w:t>
      </w:r>
      <w:r>
        <w:rPr>
          <w:lang w:val="en-US" w:eastAsia="en-GB"/>
        </w:rPr>
        <w:t xml:space="preserve"> </w:t>
      </w:r>
      <w:r w:rsidRPr="00982877">
        <w:rPr>
          <w:lang w:val="en-US" w:eastAsia="en-GB"/>
        </w:rPr>
        <w:t>discussion papers and a summary report, which resulted in the presentation of its outcomes in a</w:t>
      </w:r>
    </w:p>
    <w:p w14:paraId="51F810FF" w14:textId="77777777" w:rsidR="00F554D6" w:rsidRPr="00982877" w:rsidRDefault="00F554D6" w:rsidP="00F554D6">
      <w:pPr>
        <w:jc w:val="both"/>
        <w:rPr>
          <w:lang w:val="en-US" w:eastAsia="en-GB"/>
        </w:rPr>
      </w:pPr>
      <w:r w:rsidRPr="00982877">
        <w:rPr>
          <w:lang w:val="en-US" w:eastAsia="en-GB"/>
        </w:rPr>
        <w:t xml:space="preserve">document entitled “Assessment of Activities” (see attachment </w:t>
      </w:r>
      <w:r>
        <w:rPr>
          <w:lang w:val="en-US" w:eastAsia="en-GB"/>
        </w:rPr>
        <w:t>4</w:t>
      </w:r>
      <w:r w:rsidRPr="00982877">
        <w:rPr>
          <w:lang w:val="en-US" w:eastAsia="en-GB"/>
        </w:rPr>
        <w:t>). Feedback was provided by</w:t>
      </w:r>
    </w:p>
    <w:p w14:paraId="34B0E7F8" w14:textId="77777777" w:rsidR="00F554D6" w:rsidRPr="00982877" w:rsidRDefault="00F554D6" w:rsidP="00F554D6">
      <w:pPr>
        <w:jc w:val="both"/>
        <w:rPr>
          <w:lang w:val="en-US" w:eastAsia="en-GB"/>
        </w:rPr>
      </w:pPr>
      <w:r w:rsidRPr="00982877">
        <w:rPr>
          <w:lang w:val="en-US" w:eastAsia="en-GB"/>
        </w:rPr>
        <w:t>nine Consultative Parties (Argentina, Norway, Germany, New Zealand, Australia, Netherlands,</w:t>
      </w:r>
    </w:p>
    <w:p w14:paraId="01BFED10" w14:textId="77777777" w:rsidR="00F554D6" w:rsidRPr="00982877" w:rsidRDefault="00F554D6" w:rsidP="00F554D6">
      <w:pPr>
        <w:jc w:val="both"/>
        <w:rPr>
          <w:lang w:val="en-US" w:eastAsia="en-GB"/>
        </w:rPr>
      </w:pPr>
      <w:r w:rsidRPr="00982877">
        <w:rPr>
          <w:lang w:val="en-US" w:eastAsia="en-GB"/>
        </w:rPr>
        <w:t>United States, France, and Chile), one Non-Consultative Party (Canada), one Observer (SCAR),</w:t>
      </w:r>
    </w:p>
    <w:p w14:paraId="3AF63BBB" w14:textId="77777777" w:rsidR="00F554D6" w:rsidRPr="00982877" w:rsidRDefault="00F554D6" w:rsidP="00F554D6">
      <w:pPr>
        <w:jc w:val="both"/>
        <w:rPr>
          <w:lang w:val="en-US" w:eastAsia="en-GB"/>
        </w:rPr>
      </w:pPr>
      <w:r w:rsidRPr="00982877">
        <w:rPr>
          <w:lang w:val="en-US" w:eastAsia="en-GB"/>
        </w:rPr>
        <w:t>and two Experts (IAATO and ASOC).</w:t>
      </w:r>
    </w:p>
    <w:p w14:paraId="135E4244" w14:textId="77777777" w:rsidR="00F554D6" w:rsidRPr="00982877" w:rsidRDefault="00F554D6" w:rsidP="00F554D6">
      <w:pPr>
        <w:spacing w:before="120" w:after="120"/>
        <w:jc w:val="both"/>
        <w:rPr>
          <w:i/>
          <w:iCs/>
          <w:lang w:val="en-US" w:eastAsia="en-GB"/>
        </w:rPr>
      </w:pPr>
      <w:r w:rsidRPr="009B5CF3">
        <w:rPr>
          <w:i/>
          <w:iCs/>
          <w:lang w:val="en-US" w:eastAsia="en-GB"/>
        </w:rPr>
        <w:t>Workstream 4. Environmental data, including baselines, monitoring, science, cumulative impacts; and precaution</w:t>
      </w:r>
    </w:p>
    <w:p w14:paraId="2220E034" w14:textId="77777777" w:rsidR="00F554D6" w:rsidRPr="00982877" w:rsidRDefault="00F554D6" w:rsidP="00F554D6">
      <w:pPr>
        <w:jc w:val="both"/>
        <w:rPr>
          <w:lang w:val="en-US" w:eastAsia="en-GB"/>
        </w:rPr>
      </w:pPr>
      <w:r w:rsidRPr="00982877">
        <w:rPr>
          <w:lang w:val="en-US" w:eastAsia="en-GB"/>
        </w:rPr>
        <w:t>This workstream</w:t>
      </w:r>
      <w:r>
        <w:rPr>
          <w:lang w:val="en-US" w:eastAsia="en-GB"/>
        </w:rPr>
        <w:t>’</w:t>
      </w:r>
      <w:r w:rsidRPr="00982877">
        <w:rPr>
          <w:lang w:val="en-US" w:eastAsia="en-GB"/>
        </w:rPr>
        <w:t>s two rounds of discussions were guided by a discussion paper that was revised</w:t>
      </w:r>
      <w:r>
        <w:rPr>
          <w:lang w:val="en-US" w:eastAsia="en-GB"/>
        </w:rPr>
        <w:t xml:space="preserve"> </w:t>
      </w:r>
      <w:r w:rsidRPr="00982877">
        <w:rPr>
          <w:lang w:val="en-US" w:eastAsia="en-GB"/>
        </w:rPr>
        <w:t>after the first round of discussions, entitled “Environmental Data, Including Baselines,</w:t>
      </w:r>
    </w:p>
    <w:p w14:paraId="6245F8E4" w14:textId="77777777" w:rsidR="00F554D6" w:rsidRPr="00982877" w:rsidRDefault="00F554D6" w:rsidP="00F554D6">
      <w:pPr>
        <w:jc w:val="both"/>
        <w:rPr>
          <w:lang w:val="en-US" w:eastAsia="en-GB"/>
        </w:rPr>
      </w:pPr>
      <w:r w:rsidRPr="00982877">
        <w:rPr>
          <w:lang w:val="en-US" w:eastAsia="en-GB"/>
        </w:rPr>
        <w:t>Monitoring, Science, Cumulative Impacts, and Precaution” (see attachment 5). Comments were</w:t>
      </w:r>
    </w:p>
    <w:p w14:paraId="316A200A" w14:textId="77777777" w:rsidR="00F554D6" w:rsidRPr="00982877" w:rsidRDefault="00F554D6" w:rsidP="00F554D6">
      <w:pPr>
        <w:jc w:val="both"/>
        <w:rPr>
          <w:lang w:val="en-US" w:eastAsia="en-GB"/>
        </w:rPr>
      </w:pPr>
      <w:r w:rsidRPr="00982877">
        <w:rPr>
          <w:lang w:val="en-US" w:eastAsia="en-GB"/>
        </w:rPr>
        <w:t>submitted by seven Consultative Parties (New Zealand, Argentina, Australia, Norway,</w:t>
      </w:r>
    </w:p>
    <w:p w14:paraId="4F5BF7F9" w14:textId="77777777" w:rsidR="00F554D6" w:rsidRPr="00982877" w:rsidRDefault="00F554D6" w:rsidP="00F554D6">
      <w:pPr>
        <w:jc w:val="both"/>
        <w:rPr>
          <w:lang w:val="en-US" w:eastAsia="en-GB"/>
        </w:rPr>
      </w:pPr>
      <w:r w:rsidRPr="00982877">
        <w:rPr>
          <w:lang w:val="en-US" w:eastAsia="en-GB"/>
        </w:rPr>
        <w:t>Netherlands, United Kingdom, and Chile), as well as one Observer (SCAR) and two Experts</w:t>
      </w:r>
    </w:p>
    <w:p w14:paraId="1644EB38" w14:textId="77777777" w:rsidR="00F554D6" w:rsidRPr="00982877" w:rsidRDefault="00F554D6" w:rsidP="00F554D6">
      <w:pPr>
        <w:jc w:val="both"/>
        <w:rPr>
          <w:lang w:val="en-US" w:eastAsia="en-GB"/>
        </w:rPr>
      </w:pPr>
      <w:r w:rsidRPr="00982877">
        <w:rPr>
          <w:lang w:val="en-US" w:eastAsia="en-GB"/>
        </w:rPr>
        <w:t>(IAATO and ASOC).</w:t>
      </w:r>
    </w:p>
    <w:p w14:paraId="6D007C10" w14:textId="77777777" w:rsidR="00F554D6" w:rsidRPr="009B5CF3" w:rsidRDefault="00F554D6" w:rsidP="00F554D6">
      <w:pPr>
        <w:spacing w:before="120" w:after="120"/>
        <w:jc w:val="both"/>
        <w:rPr>
          <w:i/>
          <w:iCs/>
          <w:lang w:val="en-US" w:eastAsia="en-GB"/>
        </w:rPr>
      </w:pPr>
      <w:r w:rsidRPr="009B5CF3">
        <w:rPr>
          <w:i/>
          <w:iCs/>
          <w:lang w:val="en-US" w:eastAsia="en-GB"/>
        </w:rPr>
        <w:t>Workstream 5 (Institutional arrangements) and Workstream 6 (Practicalities) have also</w:t>
      </w:r>
      <w:r>
        <w:rPr>
          <w:i/>
          <w:iCs/>
          <w:lang w:val="en-US" w:eastAsia="en-GB"/>
        </w:rPr>
        <w:t xml:space="preserve"> </w:t>
      </w:r>
      <w:r w:rsidRPr="009B5CF3">
        <w:rPr>
          <w:i/>
          <w:iCs/>
          <w:lang w:val="en-US" w:eastAsia="en-GB"/>
        </w:rPr>
        <w:t>commenced operations within the ICG framework, with their deliberations currently in</w:t>
      </w:r>
      <w:r>
        <w:rPr>
          <w:i/>
          <w:iCs/>
          <w:lang w:val="en-US" w:eastAsia="en-GB"/>
        </w:rPr>
        <w:t xml:space="preserve"> </w:t>
      </w:r>
      <w:r w:rsidRPr="009B5CF3">
        <w:rPr>
          <w:i/>
          <w:iCs/>
          <w:lang w:val="en-US" w:eastAsia="en-GB"/>
        </w:rPr>
        <w:t>progress.</w:t>
      </w:r>
    </w:p>
    <w:p w14:paraId="46A45EE8" w14:textId="77777777" w:rsidR="00F554D6" w:rsidRPr="00982877" w:rsidRDefault="00F554D6" w:rsidP="00F554D6">
      <w:pPr>
        <w:jc w:val="both"/>
        <w:rPr>
          <w:lang w:val="en-US" w:eastAsia="en-GB"/>
        </w:rPr>
      </w:pPr>
      <w:r w:rsidRPr="00982877">
        <w:rPr>
          <w:lang w:val="en-US" w:eastAsia="en-GB"/>
        </w:rPr>
        <w:t>To support these efforts and advance discussions on specific matters, six online workshops were</w:t>
      </w:r>
    </w:p>
    <w:p w14:paraId="2AD9D61B" w14:textId="77777777" w:rsidR="00F554D6" w:rsidRPr="00982877" w:rsidRDefault="00F554D6" w:rsidP="00F554D6">
      <w:pPr>
        <w:jc w:val="both"/>
        <w:rPr>
          <w:lang w:val="en-US" w:eastAsia="en-GB"/>
        </w:rPr>
      </w:pPr>
      <w:r w:rsidRPr="00982877">
        <w:rPr>
          <w:lang w:val="en-US" w:eastAsia="en-GB"/>
        </w:rPr>
        <w:t>organized. These sessions were designed to assess the progress of each workstream while</w:t>
      </w:r>
    </w:p>
    <w:p w14:paraId="01F78BE6" w14:textId="77777777" w:rsidR="00F554D6" w:rsidRPr="00982877" w:rsidRDefault="00F554D6" w:rsidP="00F554D6">
      <w:pPr>
        <w:jc w:val="both"/>
        <w:rPr>
          <w:lang w:val="en-US" w:eastAsia="en-GB"/>
        </w:rPr>
      </w:pPr>
      <w:r w:rsidRPr="00982877">
        <w:rPr>
          <w:lang w:val="en-US" w:eastAsia="en-GB"/>
        </w:rPr>
        <w:t>enhancing mutual understanding of participants’ positions through open exchanges. The</w:t>
      </w:r>
    </w:p>
    <w:p w14:paraId="10BEB1FA" w14:textId="77777777" w:rsidR="00F554D6" w:rsidRPr="00982877" w:rsidRDefault="00F554D6" w:rsidP="00F554D6">
      <w:pPr>
        <w:jc w:val="both"/>
        <w:rPr>
          <w:lang w:val="en-US" w:eastAsia="en-GB"/>
        </w:rPr>
      </w:pPr>
      <w:r w:rsidRPr="00982877">
        <w:rPr>
          <w:lang w:val="en-US" w:eastAsia="en-GB"/>
        </w:rPr>
        <w:t>workshops provided a platform for participants to share perspectives, seek clarifications, and</w:t>
      </w:r>
    </w:p>
    <w:p w14:paraId="7EBE78DE" w14:textId="77777777" w:rsidR="00F554D6" w:rsidRPr="00D427C4" w:rsidRDefault="00F554D6" w:rsidP="00F554D6">
      <w:pPr>
        <w:jc w:val="both"/>
        <w:rPr>
          <w:lang w:val="en-US" w:eastAsia="en-GB"/>
        </w:rPr>
      </w:pPr>
      <w:r w:rsidRPr="00982877">
        <w:rPr>
          <w:lang w:val="en-US" w:eastAsia="en-GB"/>
        </w:rPr>
        <w:t>engage directly with the views expressed by others.</w:t>
      </w:r>
    </w:p>
    <w:p w14:paraId="6C2FE491" w14:textId="77777777" w:rsidR="00F554D6" w:rsidRDefault="00F554D6" w:rsidP="00F554D6">
      <w:pPr>
        <w:jc w:val="both"/>
        <w:rPr>
          <w:lang w:val="en-US" w:eastAsia="en-GB"/>
        </w:rPr>
      </w:pPr>
    </w:p>
    <w:p w14:paraId="04607BB3" w14:textId="77777777" w:rsidR="00F554D6" w:rsidRPr="00982877" w:rsidRDefault="00F554D6" w:rsidP="00F554D6">
      <w:pPr>
        <w:jc w:val="both"/>
        <w:rPr>
          <w:lang w:val="en-US" w:eastAsia="en-GB"/>
        </w:rPr>
      </w:pPr>
      <w:r w:rsidRPr="00982877">
        <w:rPr>
          <w:lang w:val="en-US" w:eastAsia="en-GB"/>
        </w:rPr>
        <w:t>A list of the workshops is included below:</w:t>
      </w:r>
    </w:p>
    <w:p w14:paraId="04764099" w14:textId="77777777" w:rsidR="00F554D6" w:rsidRPr="00982877" w:rsidRDefault="00F554D6" w:rsidP="00F554D6">
      <w:pPr>
        <w:pStyle w:val="Prrafodelista"/>
        <w:numPr>
          <w:ilvl w:val="0"/>
          <w:numId w:val="22"/>
        </w:numPr>
        <w:jc w:val="both"/>
        <w:rPr>
          <w:lang w:val="en-US" w:eastAsia="en-GB"/>
        </w:rPr>
      </w:pPr>
      <w:r w:rsidRPr="00982877">
        <w:rPr>
          <w:lang w:val="en-US" w:eastAsia="en-GB"/>
        </w:rPr>
        <w:t>October 1st, 2025: Online workshop to discuss the progress of Workstream 1;</w:t>
      </w:r>
    </w:p>
    <w:p w14:paraId="4798D465" w14:textId="77777777" w:rsidR="00F554D6" w:rsidRPr="00982877" w:rsidRDefault="00F554D6" w:rsidP="00F554D6">
      <w:pPr>
        <w:pStyle w:val="Prrafodelista"/>
        <w:numPr>
          <w:ilvl w:val="0"/>
          <w:numId w:val="22"/>
        </w:numPr>
        <w:jc w:val="both"/>
        <w:rPr>
          <w:lang w:val="en-US" w:eastAsia="en-GB"/>
        </w:rPr>
      </w:pPr>
      <w:r w:rsidRPr="00982877">
        <w:rPr>
          <w:lang w:val="en-US" w:eastAsia="en-GB"/>
        </w:rPr>
        <w:t>November 5th, 2025: Online workshop to discuss the progress of Workstreams 1-3;</w:t>
      </w:r>
    </w:p>
    <w:p w14:paraId="4D1903FA" w14:textId="77777777" w:rsidR="00F554D6" w:rsidRPr="00982877" w:rsidRDefault="00F554D6" w:rsidP="00F554D6">
      <w:pPr>
        <w:pStyle w:val="Prrafodelista"/>
        <w:numPr>
          <w:ilvl w:val="0"/>
          <w:numId w:val="22"/>
        </w:numPr>
        <w:jc w:val="both"/>
        <w:rPr>
          <w:lang w:val="en-US" w:eastAsia="en-GB"/>
        </w:rPr>
      </w:pPr>
      <w:r w:rsidRPr="00982877">
        <w:rPr>
          <w:lang w:val="en-US" w:eastAsia="en-GB"/>
        </w:rPr>
        <w:t>December 10th, 2025: Online workshop to discuss the progress of Workstreams 1-4;</w:t>
      </w:r>
    </w:p>
    <w:p w14:paraId="53BA6D21" w14:textId="77777777" w:rsidR="00F554D6" w:rsidRPr="00982877" w:rsidRDefault="00F554D6" w:rsidP="00F554D6">
      <w:pPr>
        <w:pStyle w:val="Prrafodelista"/>
        <w:numPr>
          <w:ilvl w:val="0"/>
          <w:numId w:val="22"/>
        </w:numPr>
        <w:jc w:val="both"/>
        <w:rPr>
          <w:lang w:val="en-US" w:eastAsia="en-GB"/>
        </w:rPr>
      </w:pPr>
      <w:r w:rsidRPr="00982877">
        <w:rPr>
          <w:lang w:val="en-US" w:eastAsia="en-GB"/>
        </w:rPr>
        <w:t>December 17th, 2025: Online workshop to discuss the progress of Workstream 4;</w:t>
      </w:r>
    </w:p>
    <w:p w14:paraId="31F966A0" w14:textId="77777777" w:rsidR="00F554D6" w:rsidRPr="00982877" w:rsidRDefault="00F554D6" w:rsidP="00F554D6">
      <w:pPr>
        <w:pStyle w:val="Prrafodelista"/>
        <w:numPr>
          <w:ilvl w:val="0"/>
          <w:numId w:val="22"/>
        </w:numPr>
        <w:jc w:val="both"/>
        <w:rPr>
          <w:lang w:val="en-US" w:eastAsia="en-GB"/>
        </w:rPr>
      </w:pPr>
      <w:r w:rsidRPr="00982877">
        <w:rPr>
          <w:lang w:val="en-US" w:eastAsia="en-GB"/>
        </w:rPr>
        <w:t>February 4th, 2026: Online workshop to discuss the progress of Workstreams 1-4;</w:t>
      </w:r>
    </w:p>
    <w:p w14:paraId="47E2E795" w14:textId="77777777" w:rsidR="00F554D6" w:rsidRPr="00982877" w:rsidRDefault="00F554D6" w:rsidP="00F554D6">
      <w:pPr>
        <w:pStyle w:val="Prrafodelista"/>
        <w:numPr>
          <w:ilvl w:val="0"/>
          <w:numId w:val="22"/>
        </w:numPr>
        <w:jc w:val="both"/>
        <w:rPr>
          <w:lang w:val="en-US" w:eastAsia="en-GB"/>
        </w:rPr>
      </w:pPr>
      <w:r w:rsidRPr="00982877">
        <w:rPr>
          <w:lang w:val="en-US" w:eastAsia="en-GB"/>
        </w:rPr>
        <w:t>April 8th, 2026: Online workshop to discuss progress of Workstreams 5 and 6.</w:t>
      </w:r>
    </w:p>
    <w:p w14:paraId="66DB28B3" w14:textId="77777777" w:rsidR="00F554D6" w:rsidRDefault="00F554D6" w:rsidP="00F554D6">
      <w:pPr>
        <w:jc w:val="both"/>
        <w:rPr>
          <w:lang w:val="en-US" w:eastAsia="en-GB"/>
        </w:rPr>
      </w:pPr>
    </w:p>
    <w:p w14:paraId="00B5589D" w14:textId="77777777" w:rsidR="00F554D6" w:rsidRPr="00982877" w:rsidRDefault="00F554D6" w:rsidP="00F554D6">
      <w:pPr>
        <w:jc w:val="both"/>
        <w:rPr>
          <w:lang w:val="en-US" w:eastAsia="en-GB"/>
        </w:rPr>
      </w:pPr>
      <w:r w:rsidRPr="00982877">
        <w:rPr>
          <w:lang w:val="en-US" w:eastAsia="en-GB"/>
        </w:rPr>
        <w:t>All virtual workshops were chaired by Dr. René Lefeber, ICG convenor and ATCM Working</w:t>
      </w:r>
    </w:p>
    <w:p w14:paraId="48151CA2" w14:textId="77777777" w:rsidR="00F554D6" w:rsidRPr="00982877" w:rsidRDefault="00F554D6" w:rsidP="00F554D6">
      <w:pPr>
        <w:jc w:val="both"/>
        <w:rPr>
          <w:lang w:val="en-US" w:eastAsia="en-GB"/>
        </w:rPr>
      </w:pPr>
      <w:r w:rsidRPr="00982877">
        <w:rPr>
          <w:lang w:val="en-US" w:eastAsia="en-GB"/>
        </w:rPr>
        <w:t>Group 3 Chair, except for the online workshop to discuss the progress of Workstream 4, which</w:t>
      </w:r>
    </w:p>
    <w:p w14:paraId="6CF84306" w14:textId="77777777" w:rsidR="00F554D6" w:rsidRPr="00982877" w:rsidRDefault="00F554D6" w:rsidP="00F554D6">
      <w:pPr>
        <w:jc w:val="both"/>
        <w:rPr>
          <w:lang w:val="en-US" w:eastAsia="en-GB"/>
        </w:rPr>
      </w:pPr>
      <w:r w:rsidRPr="00982877">
        <w:rPr>
          <w:lang w:val="en-US" w:eastAsia="en-GB"/>
        </w:rPr>
        <w:t>was convened by its co-leads. All these workshops were supported by the Antarctic Treaty</w:t>
      </w:r>
    </w:p>
    <w:p w14:paraId="0B303020" w14:textId="77777777" w:rsidR="00F554D6" w:rsidRPr="00982877" w:rsidRDefault="00F554D6" w:rsidP="00F554D6">
      <w:pPr>
        <w:jc w:val="both"/>
        <w:rPr>
          <w:lang w:val="en-US" w:eastAsia="en-GB"/>
        </w:rPr>
      </w:pPr>
      <w:r w:rsidRPr="00982877">
        <w:rPr>
          <w:lang w:val="en-US" w:eastAsia="en-GB"/>
        </w:rPr>
        <w:lastRenderedPageBreak/>
        <w:t>Secretariat.</w:t>
      </w:r>
    </w:p>
    <w:p w14:paraId="52B2E150" w14:textId="77777777" w:rsidR="00F554D6" w:rsidRPr="00A34A9E" w:rsidRDefault="00F554D6" w:rsidP="00F554D6">
      <w:pPr>
        <w:pStyle w:val="ATSHeading2"/>
      </w:pPr>
      <w:r w:rsidRPr="00A34A9E">
        <w:t>Recommendations</w:t>
      </w:r>
    </w:p>
    <w:p w14:paraId="337AA1EA" w14:textId="77777777" w:rsidR="00F554D6" w:rsidRPr="00982877" w:rsidRDefault="00F554D6" w:rsidP="00F554D6">
      <w:pPr>
        <w:jc w:val="both"/>
        <w:rPr>
          <w:lang w:val="en-US" w:eastAsia="en-GB"/>
        </w:rPr>
      </w:pPr>
      <w:r w:rsidRPr="00982877">
        <w:rPr>
          <w:lang w:val="en-US" w:eastAsia="en-GB"/>
        </w:rPr>
        <w:t xml:space="preserve">The Antarctic Treaty Consultative Meeting is invited to </w:t>
      </w:r>
      <w:r>
        <w:rPr>
          <w:lang w:val="en-US" w:eastAsia="en-GB"/>
        </w:rPr>
        <w:t xml:space="preserve">consider the outcomes of </w:t>
      </w:r>
      <w:r w:rsidRPr="00982877">
        <w:rPr>
          <w:lang w:val="en-US" w:eastAsia="en-GB"/>
        </w:rPr>
        <w:t xml:space="preserve">Workstreams 1-4 and to take these </w:t>
      </w:r>
      <w:r>
        <w:rPr>
          <w:lang w:val="en-US" w:eastAsia="en-GB"/>
        </w:rPr>
        <w:t xml:space="preserve">outcomes </w:t>
      </w:r>
      <w:r w:rsidRPr="00982877">
        <w:rPr>
          <w:lang w:val="en-US" w:eastAsia="en-GB"/>
        </w:rPr>
        <w:t xml:space="preserve">into </w:t>
      </w:r>
      <w:r>
        <w:rPr>
          <w:lang w:val="en-US" w:eastAsia="en-GB"/>
        </w:rPr>
        <w:t xml:space="preserve">account </w:t>
      </w:r>
      <w:r w:rsidRPr="00982877">
        <w:rPr>
          <w:lang w:val="en-US" w:eastAsia="en-GB"/>
        </w:rPr>
        <w:t>in the</w:t>
      </w:r>
      <w:r>
        <w:rPr>
          <w:lang w:val="en-US" w:eastAsia="en-GB"/>
        </w:rPr>
        <w:t xml:space="preserve"> </w:t>
      </w:r>
      <w:r w:rsidRPr="00982877">
        <w:rPr>
          <w:lang w:val="en-US" w:eastAsia="en-GB"/>
        </w:rPr>
        <w:t>further work on a Framework for the Regulation of Tourism and Other Non-Governmental</w:t>
      </w:r>
      <w:r>
        <w:rPr>
          <w:lang w:val="en-US" w:eastAsia="en-GB"/>
        </w:rPr>
        <w:t xml:space="preserve"> </w:t>
      </w:r>
      <w:r w:rsidRPr="00982877">
        <w:rPr>
          <w:lang w:val="en-US" w:eastAsia="en-GB"/>
        </w:rPr>
        <w:t>Activities in Antarctica, as adopted by Decision 6 (2023) and Decision 5 (2024), in particular:</w:t>
      </w:r>
    </w:p>
    <w:p w14:paraId="02A25E69" w14:textId="77777777" w:rsidR="00F554D6" w:rsidRDefault="00F554D6" w:rsidP="00F554D6">
      <w:pPr>
        <w:jc w:val="both"/>
        <w:rPr>
          <w:lang w:val="en-US" w:eastAsia="en-GB"/>
        </w:rPr>
      </w:pPr>
    </w:p>
    <w:p w14:paraId="2A0C91CD" w14:textId="77777777" w:rsidR="00F554D6" w:rsidRDefault="00F554D6" w:rsidP="00F554D6">
      <w:pPr>
        <w:pStyle w:val="Prrafodelista"/>
        <w:numPr>
          <w:ilvl w:val="0"/>
          <w:numId w:val="23"/>
        </w:numPr>
        <w:jc w:val="both"/>
        <w:rPr>
          <w:lang w:val="en-US" w:eastAsia="en-GB"/>
        </w:rPr>
      </w:pPr>
      <w:r w:rsidRPr="008F03F9">
        <w:rPr>
          <w:lang w:val="en-US" w:eastAsia="en-GB"/>
        </w:rPr>
        <w:t xml:space="preserve">The documents produced by Workstreams 1-4 as contained in the attachments to this Working Paper; </w:t>
      </w:r>
    </w:p>
    <w:p w14:paraId="3F422D08" w14:textId="77777777" w:rsidR="00F554D6" w:rsidRDefault="00F554D6" w:rsidP="00F554D6">
      <w:pPr>
        <w:pStyle w:val="Prrafodelista"/>
        <w:jc w:val="both"/>
        <w:rPr>
          <w:lang w:val="en-US" w:eastAsia="en-GB"/>
        </w:rPr>
      </w:pPr>
    </w:p>
    <w:p w14:paraId="68C6684A" w14:textId="77777777" w:rsidR="00F554D6" w:rsidRPr="00F75823" w:rsidRDefault="00F554D6" w:rsidP="00F554D6">
      <w:pPr>
        <w:jc w:val="both"/>
        <w:rPr>
          <w:lang w:val="en-US" w:eastAsia="en-GB"/>
        </w:rPr>
      </w:pPr>
      <w:r>
        <w:rPr>
          <w:lang w:val="en-US" w:eastAsia="en-GB"/>
        </w:rPr>
        <w:t>A</w:t>
      </w:r>
      <w:r w:rsidRPr="00F75823">
        <w:rPr>
          <w:lang w:val="en-US" w:eastAsia="en-GB"/>
        </w:rPr>
        <w:t>nd to consider at this Meeting or a future Meeting:</w:t>
      </w:r>
    </w:p>
    <w:p w14:paraId="1E9BDDAA" w14:textId="77777777" w:rsidR="00F554D6" w:rsidRDefault="00F554D6" w:rsidP="00F554D6">
      <w:pPr>
        <w:pStyle w:val="Prrafodelista"/>
        <w:jc w:val="both"/>
        <w:rPr>
          <w:lang w:val="en-US" w:eastAsia="en-GB"/>
        </w:rPr>
      </w:pPr>
    </w:p>
    <w:p w14:paraId="5C93831F" w14:textId="77777777" w:rsidR="00F554D6" w:rsidRPr="00982877" w:rsidRDefault="00F554D6" w:rsidP="00F554D6">
      <w:pPr>
        <w:pStyle w:val="Prrafodelista"/>
        <w:numPr>
          <w:ilvl w:val="0"/>
          <w:numId w:val="23"/>
        </w:numPr>
        <w:jc w:val="both"/>
        <w:rPr>
          <w:lang w:val="en-US" w:eastAsia="en-GB"/>
        </w:rPr>
      </w:pPr>
      <w:r w:rsidRPr="00982877">
        <w:rPr>
          <w:lang w:val="en-US" w:eastAsia="en-GB"/>
        </w:rPr>
        <w:t>The designation of Decisions 5 (2003), 7 (2009) and 6 (2019) as “spent”;</w:t>
      </w:r>
    </w:p>
    <w:p w14:paraId="221A173A" w14:textId="77777777" w:rsidR="00F554D6" w:rsidRPr="00982877" w:rsidRDefault="00F554D6" w:rsidP="00F554D6">
      <w:pPr>
        <w:pStyle w:val="Prrafodelista"/>
        <w:numPr>
          <w:ilvl w:val="0"/>
          <w:numId w:val="23"/>
        </w:numPr>
        <w:jc w:val="both"/>
        <w:rPr>
          <w:lang w:val="en-US" w:eastAsia="en-GB"/>
        </w:rPr>
      </w:pPr>
      <w:r w:rsidRPr="00982877">
        <w:rPr>
          <w:lang w:val="en-US" w:eastAsia="en-GB"/>
        </w:rPr>
        <w:t>The designation of Recommendation XVIII-1 (1994) as “obsolete”, provided that</w:t>
      </w:r>
      <w:r>
        <w:rPr>
          <w:lang w:val="en-US" w:eastAsia="en-GB"/>
        </w:rPr>
        <w:t xml:space="preserve"> </w:t>
      </w:r>
      <w:r w:rsidRPr="00982877">
        <w:rPr>
          <w:lang w:val="en-US" w:eastAsia="en-GB"/>
        </w:rPr>
        <w:t>‘guns’ and ‘explosives’ are adequately covered by other current measures (which may</w:t>
      </w:r>
    </w:p>
    <w:p w14:paraId="5DF9D32D" w14:textId="77777777" w:rsidR="00F554D6" w:rsidRPr="00982877" w:rsidRDefault="00F554D6" w:rsidP="00F554D6">
      <w:pPr>
        <w:pStyle w:val="Prrafodelista"/>
        <w:jc w:val="both"/>
        <w:rPr>
          <w:lang w:val="en-US" w:eastAsia="en-GB"/>
        </w:rPr>
      </w:pPr>
      <w:r w:rsidRPr="00982877">
        <w:rPr>
          <w:lang w:val="en-US" w:eastAsia="en-GB"/>
        </w:rPr>
        <w:t>need to be adjusted for this purpose);</w:t>
      </w:r>
      <w:r>
        <w:rPr>
          <w:lang w:val="en-US" w:eastAsia="en-GB"/>
        </w:rPr>
        <w:t xml:space="preserve"> and</w:t>
      </w:r>
    </w:p>
    <w:p w14:paraId="54274DA6" w14:textId="77777777" w:rsidR="00F554D6" w:rsidRPr="00982877" w:rsidRDefault="00F554D6" w:rsidP="00F554D6">
      <w:pPr>
        <w:pStyle w:val="Prrafodelista"/>
        <w:numPr>
          <w:ilvl w:val="0"/>
          <w:numId w:val="23"/>
        </w:numPr>
        <w:jc w:val="both"/>
        <w:rPr>
          <w:lang w:val="en-US" w:eastAsia="en-GB"/>
        </w:rPr>
      </w:pPr>
      <w:r w:rsidRPr="00982877">
        <w:rPr>
          <w:lang w:val="en-US" w:eastAsia="en-GB"/>
        </w:rPr>
        <w:t>The streamlining of information exchange requirements with respect to post visit</w:t>
      </w:r>
      <w:r>
        <w:rPr>
          <w:lang w:val="en-US" w:eastAsia="en-GB"/>
        </w:rPr>
        <w:t xml:space="preserve"> </w:t>
      </w:r>
      <w:r w:rsidRPr="00982877">
        <w:rPr>
          <w:lang w:val="en-US" w:eastAsia="en-GB"/>
        </w:rPr>
        <w:t>reports under Resolutions 10 (2021) and 6 (2022) and the information exchange</w:t>
      </w:r>
    </w:p>
    <w:p w14:paraId="02DAAD27" w14:textId="77777777" w:rsidR="00F554D6" w:rsidRPr="00982877" w:rsidRDefault="00F554D6" w:rsidP="00F554D6">
      <w:pPr>
        <w:pStyle w:val="Prrafodelista"/>
        <w:jc w:val="both"/>
        <w:rPr>
          <w:lang w:val="en-US" w:eastAsia="en-GB"/>
        </w:rPr>
      </w:pPr>
      <w:r w:rsidRPr="00982877">
        <w:rPr>
          <w:lang w:val="en-US" w:eastAsia="en-GB"/>
        </w:rPr>
        <w:t>requirements under the Electronic Information Exchange System and, for that purpose,</w:t>
      </w:r>
    </w:p>
    <w:p w14:paraId="1A316E76" w14:textId="77777777" w:rsidR="00F554D6" w:rsidRPr="00982877" w:rsidRDefault="00F554D6" w:rsidP="00F554D6">
      <w:pPr>
        <w:pStyle w:val="Prrafodelista"/>
        <w:jc w:val="both"/>
        <w:rPr>
          <w:lang w:val="en-US" w:eastAsia="en-GB"/>
        </w:rPr>
      </w:pPr>
      <w:r w:rsidRPr="00982877">
        <w:rPr>
          <w:lang w:val="en-US" w:eastAsia="en-GB"/>
        </w:rPr>
        <w:t>inviting Working Group 1 of the ATCM to compare these information exchange</w:t>
      </w:r>
      <w:r>
        <w:rPr>
          <w:lang w:val="en-US" w:eastAsia="en-GB"/>
        </w:rPr>
        <w:t xml:space="preserve"> </w:t>
      </w:r>
      <w:r w:rsidRPr="00982877">
        <w:rPr>
          <w:lang w:val="en-US" w:eastAsia="en-GB"/>
        </w:rPr>
        <w:t>requirements.</w:t>
      </w:r>
    </w:p>
    <w:p w14:paraId="226A0EA3" w14:textId="77777777" w:rsidR="00DC0273" w:rsidRPr="00F554D6" w:rsidRDefault="00DC0273" w:rsidP="00952E9F">
      <w:pPr>
        <w:rPr>
          <w:lang w:val="en-US"/>
        </w:rPr>
      </w:pPr>
    </w:p>
    <w:sectPr w:rsidR="00DC0273" w:rsidRPr="00F554D6" w:rsidSect="00F554D6">
      <w:headerReference w:type="default" r:id="rId13"/>
      <w:footerReference w:type="default" r:id="rId14"/>
      <w:type w:val="oddPage"/>
      <w:pgSz w:w="11907" w:h="16840" w:code="9"/>
      <w:pgMar w:top="1134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38DCBD" w14:textId="77777777" w:rsidR="00A57620" w:rsidRDefault="00A57620">
      <w:r>
        <w:separator/>
      </w:r>
    </w:p>
  </w:endnote>
  <w:endnote w:type="continuationSeparator" w:id="0">
    <w:p w14:paraId="2FB6AECE" w14:textId="77777777" w:rsidR="00A57620" w:rsidRDefault="00A576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C515BC" w14:textId="2E2BFDA9" w:rsidR="00DC0273" w:rsidRDefault="00DC0273" w:rsidP="00CF5C82">
    <w:pPr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 w:rsidR="00D1061C">
      <w:rPr>
        <w:noProof/>
      </w:rPr>
      <w:t>2</w:t>
    </w:r>
    <w:r>
      <w:fldChar w:fldCharType="end"/>
    </w:r>
  </w:p>
  <w:p w14:paraId="5DDF8258" w14:textId="77777777" w:rsidR="00DC0273" w:rsidRDefault="00DC0273" w:rsidP="00FA0B9F">
    <w:pPr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E39D0C" w14:textId="77777777" w:rsidR="00DC0273" w:rsidRDefault="00DC0273" w:rsidP="00CF5C82">
    <w:pPr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14:paraId="7C0C7C05" w14:textId="77777777" w:rsidR="00DC0273" w:rsidRDefault="00DC0273" w:rsidP="00FA0B9F">
    <w:pPr>
      <w:ind w:right="360"/>
    </w:pPr>
    <w:r>
      <w:t xml:space="preserve">Attachments: </w:t>
    </w:r>
  </w:p>
  <w:p w14:paraId="79391383" w14:textId="77777777" w:rsidR="00F554D6" w:rsidRDefault="00F554D6" w:rsidP="00F554D6">
    <w:pPr>
      <w:rPr>
        <w:lang w:val="en-US" w:eastAsia="en-GB"/>
      </w:rPr>
    </w:pPr>
    <w:r>
      <w:t xml:space="preserve">Attachment 1: </w:t>
    </w:r>
    <w:r w:rsidRPr="00B03BF8">
      <w:rPr>
        <w:lang w:val="en-US" w:eastAsia="en-GB"/>
      </w:rPr>
      <w:t>“Review of Current ATCM Measures Related to Tourism and</w:t>
    </w:r>
    <w:r>
      <w:rPr>
        <w:lang w:val="en-US" w:eastAsia="en-GB"/>
      </w:rPr>
      <w:t xml:space="preserve"> </w:t>
    </w:r>
    <w:r w:rsidRPr="00B03BF8">
      <w:rPr>
        <w:lang w:val="en-US" w:eastAsia="en-GB"/>
      </w:rPr>
      <w:t>Non-Governmental Activities”</w:t>
    </w:r>
    <w:r>
      <w:rPr>
        <w:lang w:val="en-US" w:eastAsia="en-GB"/>
      </w:rPr>
      <w:t xml:space="preserve">; </w:t>
    </w:r>
  </w:p>
  <w:p w14:paraId="4D57F32F" w14:textId="77777777" w:rsidR="00F554D6" w:rsidRDefault="00F554D6" w:rsidP="00F554D6">
    <w:pPr>
      <w:rPr>
        <w:lang w:val="en-US" w:eastAsia="en-GB"/>
      </w:rPr>
    </w:pPr>
    <w:r>
      <w:rPr>
        <w:lang w:val="en-US" w:eastAsia="en-GB"/>
      </w:rPr>
      <w:t xml:space="preserve">Attachment 2: </w:t>
    </w:r>
    <w:r w:rsidRPr="00B03BF8">
      <w:rPr>
        <w:lang w:val="en-US" w:eastAsia="en-GB"/>
      </w:rPr>
      <w:t>ATCM Regulation of Antarctic</w:t>
    </w:r>
    <w:r>
      <w:rPr>
        <w:lang w:val="en-US" w:eastAsia="en-GB"/>
      </w:rPr>
      <w:t xml:space="preserve"> T</w:t>
    </w:r>
    <w:r w:rsidRPr="00B03BF8">
      <w:rPr>
        <w:lang w:val="en-US" w:eastAsia="en-GB"/>
      </w:rPr>
      <w:t>ourism,</w:t>
    </w:r>
    <w:r>
      <w:rPr>
        <w:lang w:val="en-US" w:eastAsia="en-GB"/>
      </w:rPr>
      <w:t xml:space="preserve"> </w:t>
    </w:r>
    <w:r w:rsidRPr="00B03BF8">
      <w:rPr>
        <w:lang w:val="en-US" w:eastAsia="en-GB"/>
      </w:rPr>
      <w:t>Current State and Thematic Organization”</w:t>
    </w:r>
    <w:r>
      <w:rPr>
        <w:lang w:val="en-US" w:eastAsia="en-GB"/>
      </w:rPr>
      <w:t xml:space="preserve">; </w:t>
    </w:r>
  </w:p>
  <w:p w14:paraId="59CDAC27" w14:textId="77777777" w:rsidR="00F554D6" w:rsidRDefault="00F554D6" w:rsidP="00F554D6">
    <w:pPr>
      <w:rPr>
        <w:lang w:val="en-US" w:eastAsia="en-GB"/>
      </w:rPr>
    </w:pPr>
    <w:r>
      <w:rPr>
        <w:lang w:val="en-US" w:eastAsia="en-GB"/>
      </w:rPr>
      <w:t xml:space="preserve">Attachment 3 </w:t>
    </w:r>
    <w:r w:rsidRPr="00982877">
      <w:rPr>
        <w:lang w:val="en-US" w:eastAsia="en-GB"/>
      </w:rPr>
      <w:t>“Spatial Approaches: Antarctica Scale, Regional Scale and</w:t>
    </w:r>
    <w:r>
      <w:rPr>
        <w:lang w:val="en-US" w:eastAsia="en-GB"/>
      </w:rPr>
      <w:t xml:space="preserve"> </w:t>
    </w:r>
    <w:r w:rsidRPr="00982877">
      <w:rPr>
        <w:lang w:val="en-US" w:eastAsia="en-GB"/>
      </w:rPr>
      <w:t>Site-Specific Management” (including two annexes)</w:t>
    </w:r>
    <w:r>
      <w:rPr>
        <w:lang w:val="en-US" w:eastAsia="en-GB"/>
      </w:rPr>
      <w:t xml:space="preserve">; </w:t>
    </w:r>
  </w:p>
  <w:p w14:paraId="69B286BF" w14:textId="77777777" w:rsidR="00F554D6" w:rsidRDefault="00F554D6" w:rsidP="00F554D6">
    <w:pPr>
      <w:rPr>
        <w:lang w:val="en-US" w:eastAsia="en-GB"/>
      </w:rPr>
    </w:pPr>
    <w:r>
      <w:rPr>
        <w:lang w:val="en-US" w:eastAsia="en-GB"/>
      </w:rPr>
      <w:t xml:space="preserve">Attachment 4 </w:t>
    </w:r>
    <w:r w:rsidRPr="00982877">
      <w:rPr>
        <w:lang w:val="en-US" w:eastAsia="en-GB"/>
      </w:rPr>
      <w:t>“Assessment of Activities”</w:t>
    </w:r>
    <w:r>
      <w:rPr>
        <w:lang w:val="en-US" w:eastAsia="en-GB"/>
      </w:rPr>
      <w:t xml:space="preserve">; </w:t>
    </w:r>
  </w:p>
  <w:p w14:paraId="6818BD0B" w14:textId="659A4937" w:rsidR="00F554D6" w:rsidRDefault="00F554D6" w:rsidP="00F554D6">
    <w:r>
      <w:rPr>
        <w:lang w:val="en-US" w:eastAsia="en-GB"/>
      </w:rPr>
      <w:t xml:space="preserve">Attachment 5 </w:t>
    </w:r>
    <w:r w:rsidRPr="00982877">
      <w:rPr>
        <w:lang w:val="en-US" w:eastAsia="en-GB"/>
      </w:rPr>
      <w:t>“Environmental Data, Including Baselines,</w:t>
    </w:r>
    <w:r>
      <w:rPr>
        <w:lang w:val="en-US" w:eastAsia="en-GB"/>
      </w:rPr>
      <w:t xml:space="preserve"> </w:t>
    </w:r>
    <w:r w:rsidRPr="00982877">
      <w:rPr>
        <w:lang w:val="en-US" w:eastAsia="en-GB"/>
      </w:rPr>
      <w:t>Monitoring, Science, Cumulative Impacts, and Precaution”</w:t>
    </w:r>
    <w:r>
      <w:rPr>
        <w:lang w:val="en-US" w:eastAsia="en-GB"/>
      </w:rPr>
      <w:t>.</w:t>
    </w:r>
  </w:p>
  <w:p w14:paraId="6753DA11" w14:textId="77777777" w:rsidR="00F554D6" w:rsidRDefault="00F554D6" w:rsidP="00FA0B9F">
    <w:pPr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AE58F" w14:textId="0FACC88F" w:rsidR="00D1061C" w:rsidRDefault="00D1061C">
    <w:pPr>
      <w:pStyle w:val="Piedepgina"/>
      <w:rPr>
        <w:lang w:val="es-ES"/>
      </w:rPr>
    </w:pPr>
    <w:proofErr w:type="spellStart"/>
    <w:r>
      <w:rPr>
        <w:lang w:val="es-ES"/>
      </w:rPr>
      <w:t>Attachments</w:t>
    </w:r>
    <w:proofErr w:type="spellEnd"/>
    <w:r>
      <w:rPr>
        <w:lang w:val="es-ES"/>
      </w:rPr>
      <w:t xml:space="preserve">: </w:t>
    </w:r>
  </w:p>
  <w:p w14:paraId="031D2C40" w14:textId="57FF452C" w:rsidR="00D1061C" w:rsidRDefault="00D1061C" w:rsidP="00D1061C">
    <w:pPr>
      <w:ind w:left="709" w:hanging="709"/>
      <w:rPr>
        <w:lang w:val="en-US" w:eastAsia="en-GB"/>
      </w:rPr>
    </w:pPr>
    <w:r>
      <w:t xml:space="preserve">Atcm48_att044_e.docx: Attachment 1: </w:t>
    </w:r>
    <w:r w:rsidRPr="00B03BF8">
      <w:rPr>
        <w:lang w:val="en-US" w:eastAsia="en-GB"/>
      </w:rPr>
      <w:t>“Review of Current ATCM Measures Related to Tourism and</w:t>
    </w:r>
    <w:r>
      <w:rPr>
        <w:lang w:val="en-US" w:eastAsia="en-GB"/>
      </w:rPr>
      <w:t xml:space="preserve"> </w:t>
    </w:r>
    <w:r w:rsidRPr="00B03BF8">
      <w:rPr>
        <w:lang w:val="en-US" w:eastAsia="en-GB"/>
      </w:rPr>
      <w:t>Non-Governmental Activities”</w:t>
    </w:r>
    <w:r>
      <w:rPr>
        <w:lang w:val="en-US" w:eastAsia="en-GB"/>
      </w:rPr>
      <w:t xml:space="preserve">; </w:t>
    </w:r>
  </w:p>
  <w:p w14:paraId="11F466FC" w14:textId="5D88BD01" w:rsidR="00D1061C" w:rsidRDefault="00D1061C" w:rsidP="00D1061C">
    <w:pPr>
      <w:ind w:left="709" w:hanging="709"/>
      <w:rPr>
        <w:lang w:val="en-US" w:eastAsia="en-GB"/>
      </w:rPr>
    </w:pPr>
    <w:r>
      <w:t xml:space="preserve">Atcm48_att044_e.docx: </w:t>
    </w:r>
    <w:r>
      <w:rPr>
        <w:lang w:val="en-US" w:eastAsia="en-GB"/>
      </w:rPr>
      <w:t xml:space="preserve">Attachment 2: </w:t>
    </w:r>
    <w:r w:rsidRPr="00B03BF8">
      <w:rPr>
        <w:lang w:val="en-US" w:eastAsia="en-GB"/>
      </w:rPr>
      <w:t>ATCM Regulation of Antarctic</w:t>
    </w:r>
    <w:r>
      <w:rPr>
        <w:lang w:val="en-US" w:eastAsia="en-GB"/>
      </w:rPr>
      <w:t xml:space="preserve"> T</w:t>
    </w:r>
    <w:r w:rsidRPr="00B03BF8">
      <w:rPr>
        <w:lang w:val="en-US" w:eastAsia="en-GB"/>
      </w:rPr>
      <w:t>ourism,</w:t>
    </w:r>
    <w:r>
      <w:rPr>
        <w:lang w:val="en-US" w:eastAsia="en-GB"/>
      </w:rPr>
      <w:t xml:space="preserve"> </w:t>
    </w:r>
    <w:r w:rsidRPr="00B03BF8">
      <w:rPr>
        <w:lang w:val="en-US" w:eastAsia="en-GB"/>
      </w:rPr>
      <w:t>Current State and Thematic Organization”</w:t>
    </w:r>
    <w:r>
      <w:rPr>
        <w:lang w:val="en-US" w:eastAsia="en-GB"/>
      </w:rPr>
      <w:t xml:space="preserve">; </w:t>
    </w:r>
  </w:p>
  <w:p w14:paraId="1B8AA8F8" w14:textId="61C7A65A" w:rsidR="00D1061C" w:rsidRDefault="00D1061C" w:rsidP="00D1061C">
    <w:pPr>
      <w:ind w:left="709" w:hanging="709"/>
      <w:rPr>
        <w:lang w:val="en-US" w:eastAsia="en-GB"/>
      </w:rPr>
    </w:pPr>
    <w:r>
      <w:t xml:space="preserve">Atcm48_att044_e.docx: </w:t>
    </w:r>
    <w:r>
      <w:rPr>
        <w:lang w:val="en-US" w:eastAsia="en-GB"/>
      </w:rPr>
      <w:t xml:space="preserve">Attachment 3 </w:t>
    </w:r>
    <w:r w:rsidRPr="00982877">
      <w:rPr>
        <w:lang w:val="en-US" w:eastAsia="en-GB"/>
      </w:rPr>
      <w:t>“Spatial Approaches: Antarctica Scale, Regional Scale and</w:t>
    </w:r>
    <w:r>
      <w:rPr>
        <w:lang w:val="en-US" w:eastAsia="en-GB"/>
      </w:rPr>
      <w:t xml:space="preserve"> </w:t>
    </w:r>
    <w:r w:rsidRPr="00982877">
      <w:rPr>
        <w:lang w:val="en-US" w:eastAsia="en-GB"/>
      </w:rPr>
      <w:t>Site-Specific Management” (including two annexes)</w:t>
    </w:r>
    <w:r>
      <w:rPr>
        <w:lang w:val="en-US" w:eastAsia="en-GB"/>
      </w:rPr>
      <w:t xml:space="preserve">; </w:t>
    </w:r>
  </w:p>
  <w:p w14:paraId="386A8921" w14:textId="4345C67A" w:rsidR="00D1061C" w:rsidRDefault="00D1061C" w:rsidP="00D1061C">
    <w:pPr>
      <w:ind w:left="709" w:hanging="709"/>
      <w:rPr>
        <w:lang w:val="en-US" w:eastAsia="en-GB"/>
      </w:rPr>
    </w:pPr>
    <w:r>
      <w:t xml:space="preserve">Atcm48_att044_e.docx: </w:t>
    </w:r>
    <w:r>
      <w:rPr>
        <w:lang w:val="en-US" w:eastAsia="en-GB"/>
      </w:rPr>
      <w:t xml:space="preserve">Attachment 4 </w:t>
    </w:r>
    <w:r w:rsidRPr="00982877">
      <w:rPr>
        <w:lang w:val="en-US" w:eastAsia="en-GB"/>
      </w:rPr>
      <w:t>“Assessment of Activities”</w:t>
    </w:r>
    <w:r>
      <w:rPr>
        <w:lang w:val="en-US" w:eastAsia="en-GB"/>
      </w:rPr>
      <w:t xml:space="preserve">; </w:t>
    </w:r>
  </w:p>
  <w:p w14:paraId="74C529B2" w14:textId="66DC12DB" w:rsidR="00D1061C" w:rsidRDefault="00D1061C" w:rsidP="00D1061C">
    <w:pPr>
      <w:ind w:left="709" w:hanging="709"/>
    </w:pPr>
    <w:r>
      <w:t xml:space="preserve">Atcm48_att044_e.docx: </w:t>
    </w:r>
    <w:r>
      <w:rPr>
        <w:lang w:val="en-US" w:eastAsia="en-GB"/>
      </w:rPr>
      <w:t xml:space="preserve">Attachment 5 </w:t>
    </w:r>
    <w:r w:rsidRPr="00982877">
      <w:rPr>
        <w:lang w:val="en-US" w:eastAsia="en-GB"/>
      </w:rPr>
      <w:t>“Environmental Data, Including Baselines,</w:t>
    </w:r>
    <w:r>
      <w:rPr>
        <w:lang w:val="en-US" w:eastAsia="en-GB"/>
      </w:rPr>
      <w:t xml:space="preserve"> </w:t>
    </w:r>
    <w:r w:rsidRPr="00982877">
      <w:rPr>
        <w:lang w:val="en-US" w:eastAsia="en-GB"/>
      </w:rPr>
      <w:t>Monitoring, Science, Cumulative Impacts, and Precaution”</w:t>
    </w:r>
    <w:r>
      <w:rPr>
        <w:lang w:val="en-US" w:eastAsia="en-GB"/>
      </w:rPr>
      <w:t>.</w:t>
    </w:r>
  </w:p>
  <w:p w14:paraId="1E1EC7BF" w14:textId="77777777" w:rsidR="00D1061C" w:rsidRPr="00D1061C" w:rsidRDefault="00D1061C" w:rsidP="00D1061C">
    <w:pPr>
      <w:pStyle w:val="Piedepgina"/>
      <w:ind w:left="709" w:hanging="709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03312" w14:textId="77777777" w:rsidR="00F554D6" w:rsidRDefault="00F554D6" w:rsidP="00CF5C82">
    <w:pPr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3</w:t>
    </w:r>
    <w:r>
      <w:fldChar w:fldCharType="end"/>
    </w:r>
  </w:p>
  <w:p w14:paraId="4423FE2C" w14:textId="77777777" w:rsidR="00F554D6" w:rsidRDefault="00F554D6" w:rsidP="00E311C9">
    <w:pPr>
      <w:ind w:right="360"/>
    </w:pPr>
  </w:p>
  <w:p w14:paraId="33DAC683" w14:textId="77777777" w:rsidR="00F554D6" w:rsidRDefault="00F554D6"/>
  <w:p w14:paraId="6AFE51F9" w14:textId="77777777" w:rsidR="00F554D6" w:rsidRDefault="00F554D6"/>
  <w:p w14:paraId="399BBB1D" w14:textId="77777777" w:rsidR="00F554D6" w:rsidRDefault="00F554D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A97990" w14:textId="77777777" w:rsidR="00A57620" w:rsidRDefault="00A57620">
      <w:r>
        <w:separator/>
      </w:r>
    </w:p>
  </w:footnote>
  <w:footnote w:type="continuationSeparator" w:id="0">
    <w:p w14:paraId="03B46E39" w14:textId="77777777" w:rsidR="00A57620" w:rsidRDefault="00A576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272" w:type="dxa"/>
      <w:jc w:val="center"/>
      <w:tblLook w:val="01E0" w:firstRow="1" w:lastRow="1" w:firstColumn="1" w:lastColumn="1" w:noHBand="0" w:noVBand="0"/>
    </w:tblPr>
    <w:tblGrid>
      <w:gridCol w:w="5495"/>
      <w:gridCol w:w="3005"/>
      <w:gridCol w:w="1248"/>
      <w:gridCol w:w="1134"/>
      <w:gridCol w:w="390"/>
    </w:tblGrid>
    <w:tr w:rsidR="00C84424" w14:paraId="77900B31" w14:textId="77777777" w:rsidTr="002E12EC">
      <w:trPr>
        <w:trHeight w:val="344"/>
        <w:jc w:val="center"/>
      </w:trPr>
      <w:tc>
        <w:tcPr>
          <w:tcW w:w="5495" w:type="dxa"/>
        </w:tcPr>
        <w:p w14:paraId="08170431" w14:textId="77777777" w:rsidR="00DC0273" w:rsidRDefault="00DC0273" w:rsidP="00F968D4">
          <w:bookmarkStart w:id="2" w:name="_Hlk218605822"/>
        </w:p>
      </w:tc>
      <w:tc>
        <w:tcPr>
          <w:tcW w:w="4253" w:type="dxa"/>
          <w:gridSpan w:val="2"/>
        </w:tcPr>
        <w:p w14:paraId="7608808D" w14:textId="77777777" w:rsidR="00DC0273" w:rsidRPr="00BD47E4" w:rsidRDefault="00DC0273" w:rsidP="002A07BC">
          <w:pPr>
            <w:jc w:val="right"/>
            <w:rPr>
              <w:b/>
              <w:sz w:val="32"/>
              <w:szCs w:val="32"/>
            </w:rPr>
          </w:pPr>
          <w:bookmarkStart w:id="3" w:name="type"/>
          <w:r w:rsidRPr="00BD47E4">
            <w:rPr>
              <w:b/>
              <w:sz w:val="32"/>
              <w:szCs w:val="32"/>
            </w:rPr>
            <w:t>WP</w:t>
          </w:r>
          <w:bookmarkEnd w:id="3"/>
        </w:p>
      </w:tc>
      <w:tc>
        <w:tcPr>
          <w:tcW w:w="1524" w:type="dxa"/>
          <w:gridSpan w:val="2"/>
        </w:tcPr>
        <w:p w14:paraId="3F388D43" w14:textId="77777777" w:rsidR="00DC0273" w:rsidRPr="00BD47E4" w:rsidRDefault="00DC0273" w:rsidP="00DB7C09">
          <w:pPr>
            <w:rPr>
              <w:b/>
              <w:sz w:val="32"/>
              <w:szCs w:val="32"/>
            </w:rPr>
          </w:pPr>
          <w:bookmarkStart w:id="4" w:name="number"/>
          <w:r w:rsidRPr="00BD47E4">
            <w:rPr>
              <w:b/>
              <w:sz w:val="32"/>
              <w:szCs w:val="32"/>
            </w:rPr>
            <w:t>30</w:t>
          </w:r>
          <w:bookmarkEnd w:id="4"/>
        </w:p>
      </w:tc>
    </w:tr>
    <w:tr w:rsidR="00C84424" w14:paraId="602E4CA6" w14:textId="77777777" w:rsidTr="002E12EC">
      <w:trPr>
        <w:trHeight w:val="2165"/>
        <w:jc w:val="center"/>
      </w:trPr>
      <w:tc>
        <w:tcPr>
          <w:tcW w:w="5495" w:type="dxa"/>
        </w:tcPr>
        <w:p w14:paraId="6C0A5E6B" w14:textId="77777777" w:rsidR="00DC0273" w:rsidRPr="00EE4D48" w:rsidRDefault="00DC0273" w:rsidP="002A07BC">
          <w:pPr>
            <w:rPr>
              <w:b/>
              <w:sz w:val="28"/>
              <w:szCs w:val="28"/>
            </w:rPr>
          </w:pPr>
          <w:r>
            <w:rPr>
              <w:b/>
              <w:noProof/>
              <w:sz w:val="28"/>
              <w:szCs w:val="28"/>
            </w:rPr>
            <w:drawing>
              <wp:anchor distT="0" distB="0" distL="114300" distR="114300" simplePos="0" relativeHeight="251658240" behindDoc="1" locked="0" layoutInCell="1" allowOverlap="1" wp14:anchorId="7B3150F1" wp14:editId="2DFB2B35">
                <wp:simplePos x="0" y="0"/>
                <wp:positionH relativeFrom="column">
                  <wp:posOffset>0</wp:posOffset>
                </wp:positionH>
                <wp:positionV relativeFrom="paragraph">
                  <wp:posOffset>3810</wp:posOffset>
                </wp:positionV>
                <wp:extent cx="3218688" cy="1839250"/>
                <wp:effectExtent l="0" t="0" r="1270" b="8890"/>
                <wp:wrapNone/>
                <wp:docPr id="72304201" name="Imagen 1" descr="Imagen que contiene 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11524683" name="Imagen 1" descr="Imagen que contiene Texto&#10;&#10;El contenido generado por IA puede ser incorrecto.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2528" cy="18528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5777" w:type="dxa"/>
          <w:gridSpan w:val="4"/>
          <w:vAlign w:val="center"/>
        </w:tcPr>
        <w:p w14:paraId="64D52661" w14:textId="77777777" w:rsidR="00DC0273" w:rsidRPr="00FE5146" w:rsidRDefault="00DC0273" w:rsidP="00490760">
          <w:pPr>
            <w:jc w:val="right"/>
            <w:rPr>
              <w:sz w:val="144"/>
              <w:szCs w:val="144"/>
            </w:rPr>
          </w:pPr>
          <w:r w:rsidRPr="00FE5146">
            <w:rPr>
              <w:sz w:val="144"/>
              <w:szCs w:val="144"/>
            </w:rPr>
            <w:t>ENG</w:t>
          </w:r>
        </w:p>
      </w:tc>
    </w:tr>
    <w:tr w:rsidR="00C84424" w14:paraId="4F81E3C3" w14:textId="77777777" w:rsidTr="002E12EC">
      <w:trPr>
        <w:trHeight w:val="409"/>
        <w:jc w:val="center"/>
      </w:trPr>
      <w:tc>
        <w:tcPr>
          <w:tcW w:w="8500" w:type="dxa"/>
          <w:gridSpan w:val="2"/>
        </w:tcPr>
        <w:p w14:paraId="6B3F6E58" w14:textId="77777777" w:rsidR="00DC0273" w:rsidRDefault="00DC0273" w:rsidP="002C30DA">
          <w:pPr>
            <w:jc w:val="right"/>
          </w:pPr>
          <w:r>
            <w:t>Agenda Item:</w:t>
          </w:r>
        </w:p>
      </w:tc>
      <w:tc>
        <w:tcPr>
          <w:tcW w:w="2382" w:type="dxa"/>
          <w:gridSpan w:val="2"/>
        </w:tcPr>
        <w:p w14:paraId="7B791156" w14:textId="77777777" w:rsidR="00DC0273" w:rsidRDefault="00DC0273" w:rsidP="002C30DA">
          <w:pPr>
            <w:jc w:val="right"/>
          </w:pPr>
          <w:bookmarkStart w:id="5" w:name="agenda"/>
          <w:r>
            <w:t>ATCM 18</w:t>
          </w:r>
          <w:bookmarkEnd w:id="5"/>
        </w:p>
      </w:tc>
      <w:tc>
        <w:tcPr>
          <w:tcW w:w="390" w:type="dxa"/>
        </w:tcPr>
        <w:p w14:paraId="6E9B1BAE" w14:textId="77777777" w:rsidR="00DC0273" w:rsidRDefault="00DC0273" w:rsidP="00387A65">
          <w:pPr>
            <w:jc w:val="right"/>
          </w:pPr>
        </w:p>
      </w:tc>
    </w:tr>
    <w:tr w:rsidR="00C84424" w14:paraId="38524215" w14:textId="77777777" w:rsidTr="002E12EC">
      <w:trPr>
        <w:trHeight w:val="397"/>
        <w:jc w:val="center"/>
      </w:trPr>
      <w:tc>
        <w:tcPr>
          <w:tcW w:w="8500" w:type="dxa"/>
          <w:gridSpan w:val="2"/>
        </w:tcPr>
        <w:p w14:paraId="450B8BED" w14:textId="6AE50A99" w:rsidR="00DC0273" w:rsidRDefault="00D1061C" w:rsidP="00D1061C">
          <w:pPr>
            <w:tabs>
              <w:tab w:val="left" w:pos="3315"/>
              <w:tab w:val="right" w:pos="8284"/>
            </w:tabs>
          </w:pPr>
          <w:r>
            <w:tab/>
          </w:r>
          <w:r>
            <w:tab/>
          </w:r>
          <w:r w:rsidR="00DC0273">
            <w:t>Presented by:</w:t>
          </w:r>
        </w:p>
      </w:tc>
      <w:tc>
        <w:tcPr>
          <w:tcW w:w="2382" w:type="dxa"/>
          <w:gridSpan w:val="2"/>
        </w:tcPr>
        <w:p w14:paraId="6703E600" w14:textId="77777777" w:rsidR="00DC0273" w:rsidRDefault="00DC0273" w:rsidP="002C30DA">
          <w:pPr>
            <w:jc w:val="right"/>
          </w:pPr>
          <w:bookmarkStart w:id="6" w:name="party"/>
          <w:r>
            <w:t>Netherlands</w:t>
          </w:r>
          <w:bookmarkEnd w:id="6"/>
        </w:p>
      </w:tc>
      <w:tc>
        <w:tcPr>
          <w:tcW w:w="390" w:type="dxa"/>
        </w:tcPr>
        <w:p w14:paraId="1B9B8537" w14:textId="77777777" w:rsidR="00DC0273" w:rsidRDefault="00DC0273" w:rsidP="00387A65">
          <w:pPr>
            <w:jc w:val="right"/>
          </w:pPr>
        </w:p>
      </w:tc>
    </w:tr>
    <w:tr w:rsidR="00C84424" w14:paraId="14356E60" w14:textId="77777777" w:rsidTr="002E12EC">
      <w:trPr>
        <w:trHeight w:val="409"/>
        <w:jc w:val="center"/>
      </w:trPr>
      <w:tc>
        <w:tcPr>
          <w:tcW w:w="8500" w:type="dxa"/>
          <w:gridSpan w:val="2"/>
        </w:tcPr>
        <w:p w14:paraId="46BDF4D3" w14:textId="77777777" w:rsidR="00DC0273" w:rsidRDefault="00DC0273" w:rsidP="002C30DA">
          <w:pPr>
            <w:jc w:val="right"/>
          </w:pPr>
          <w:r>
            <w:t>Original:</w:t>
          </w:r>
        </w:p>
      </w:tc>
      <w:tc>
        <w:tcPr>
          <w:tcW w:w="2382" w:type="dxa"/>
          <w:gridSpan w:val="2"/>
        </w:tcPr>
        <w:p w14:paraId="00660A4A" w14:textId="77777777" w:rsidR="00DC0273" w:rsidRDefault="00DC0273" w:rsidP="002C30DA">
          <w:pPr>
            <w:jc w:val="right"/>
          </w:pPr>
          <w:bookmarkStart w:id="7" w:name="language"/>
          <w:r>
            <w:t>English</w:t>
          </w:r>
          <w:bookmarkEnd w:id="7"/>
        </w:p>
      </w:tc>
      <w:tc>
        <w:tcPr>
          <w:tcW w:w="390" w:type="dxa"/>
        </w:tcPr>
        <w:p w14:paraId="65A55EDF" w14:textId="77777777" w:rsidR="00DC0273" w:rsidRDefault="00DC0273" w:rsidP="00387A65">
          <w:pPr>
            <w:jc w:val="right"/>
          </w:pPr>
        </w:p>
      </w:tc>
    </w:tr>
    <w:tr w:rsidR="00C84424" w14:paraId="06F1F1F4" w14:textId="77777777" w:rsidTr="002E12EC">
      <w:trPr>
        <w:trHeight w:val="409"/>
        <w:jc w:val="center"/>
      </w:trPr>
      <w:tc>
        <w:tcPr>
          <w:tcW w:w="8500" w:type="dxa"/>
          <w:gridSpan w:val="2"/>
        </w:tcPr>
        <w:p w14:paraId="60D8272C" w14:textId="77777777" w:rsidR="00DC0273" w:rsidRDefault="00DC0273" w:rsidP="0002555C">
          <w:pPr>
            <w:jc w:val="right"/>
          </w:pPr>
          <w:r>
            <w:t>Submitted:</w:t>
          </w:r>
        </w:p>
      </w:tc>
      <w:tc>
        <w:tcPr>
          <w:tcW w:w="2382" w:type="dxa"/>
          <w:gridSpan w:val="2"/>
        </w:tcPr>
        <w:p w14:paraId="5F63BC11" w14:textId="77777777" w:rsidR="00DC0273" w:rsidRDefault="00DC0273" w:rsidP="0002555C">
          <w:pPr>
            <w:jc w:val="right"/>
          </w:pPr>
          <w:bookmarkStart w:id="8" w:name="date_submission"/>
          <w:r>
            <w:t>27 Mar 2026</w:t>
          </w:r>
          <w:bookmarkEnd w:id="8"/>
        </w:p>
      </w:tc>
      <w:tc>
        <w:tcPr>
          <w:tcW w:w="390" w:type="dxa"/>
        </w:tcPr>
        <w:p w14:paraId="1032C666" w14:textId="77777777" w:rsidR="00DC0273" w:rsidRDefault="00DC0273" w:rsidP="0002555C">
          <w:pPr>
            <w:jc w:val="right"/>
          </w:pPr>
        </w:p>
      </w:tc>
    </w:tr>
    <w:tr w:rsidR="00C84424" w14:paraId="0664C943" w14:textId="77777777" w:rsidTr="0002555C">
      <w:trPr>
        <w:trHeight w:val="409"/>
        <w:jc w:val="center"/>
      </w:trPr>
      <w:tc>
        <w:tcPr>
          <w:tcW w:w="8500" w:type="dxa"/>
          <w:gridSpan w:val="2"/>
        </w:tcPr>
        <w:p w14:paraId="0ADBC847" w14:textId="77777777" w:rsidR="00DC0273" w:rsidRDefault="00DC0273" w:rsidP="0002555C">
          <w:pPr>
            <w:jc w:val="right"/>
          </w:pPr>
          <w:r>
            <w:t>Revision:</w:t>
          </w:r>
        </w:p>
      </w:tc>
      <w:tc>
        <w:tcPr>
          <w:tcW w:w="2382" w:type="dxa"/>
          <w:gridSpan w:val="2"/>
        </w:tcPr>
        <w:p w14:paraId="2C9F0CD5" w14:textId="77777777" w:rsidR="00DC0273" w:rsidRDefault="00DC0273" w:rsidP="0002555C">
          <w:pPr>
            <w:jc w:val="right"/>
          </w:pPr>
          <w:bookmarkStart w:id="9" w:name="date_revision"/>
          <w:r>
            <w:t>---</w:t>
          </w:r>
          <w:bookmarkEnd w:id="9"/>
        </w:p>
      </w:tc>
      <w:tc>
        <w:tcPr>
          <w:tcW w:w="390" w:type="dxa"/>
        </w:tcPr>
        <w:p w14:paraId="6CBC1454" w14:textId="77777777" w:rsidR="00DC0273" w:rsidRDefault="00DC0273" w:rsidP="0002555C">
          <w:pPr>
            <w:jc w:val="right"/>
          </w:pPr>
        </w:p>
      </w:tc>
    </w:tr>
    <w:bookmarkEnd w:id="2"/>
  </w:tbl>
  <w:p w14:paraId="6389D4CC" w14:textId="77777777" w:rsidR="00DC0273" w:rsidRDefault="00DC027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272" w:type="dxa"/>
      <w:jc w:val="center"/>
      <w:tblLook w:val="01E0" w:firstRow="1" w:lastRow="1" w:firstColumn="1" w:lastColumn="1" w:noHBand="0" w:noVBand="0"/>
    </w:tblPr>
    <w:tblGrid>
      <w:gridCol w:w="5495"/>
      <w:gridCol w:w="3005"/>
      <w:gridCol w:w="1248"/>
      <w:gridCol w:w="1134"/>
      <w:gridCol w:w="390"/>
    </w:tblGrid>
    <w:tr w:rsidR="00D1061C" w14:paraId="1D77F6FB" w14:textId="77777777" w:rsidTr="000C091D">
      <w:trPr>
        <w:trHeight w:val="344"/>
        <w:jc w:val="center"/>
      </w:trPr>
      <w:tc>
        <w:tcPr>
          <w:tcW w:w="5495" w:type="dxa"/>
        </w:tcPr>
        <w:p w14:paraId="277EC393" w14:textId="77777777" w:rsidR="00D1061C" w:rsidRDefault="00D1061C" w:rsidP="00D1061C"/>
      </w:tc>
      <w:tc>
        <w:tcPr>
          <w:tcW w:w="4253" w:type="dxa"/>
          <w:gridSpan w:val="2"/>
        </w:tcPr>
        <w:p w14:paraId="45219FF7" w14:textId="77777777" w:rsidR="00D1061C" w:rsidRPr="00BD47E4" w:rsidRDefault="00D1061C" w:rsidP="00D1061C">
          <w:pPr>
            <w:jc w:val="right"/>
            <w:rPr>
              <w:b/>
              <w:sz w:val="32"/>
              <w:szCs w:val="32"/>
            </w:rPr>
          </w:pPr>
          <w:r w:rsidRPr="00BD47E4">
            <w:rPr>
              <w:b/>
              <w:sz w:val="32"/>
              <w:szCs w:val="32"/>
            </w:rPr>
            <w:t>WP</w:t>
          </w:r>
        </w:p>
      </w:tc>
      <w:tc>
        <w:tcPr>
          <w:tcW w:w="1524" w:type="dxa"/>
          <w:gridSpan w:val="2"/>
        </w:tcPr>
        <w:p w14:paraId="36029E19" w14:textId="77777777" w:rsidR="00D1061C" w:rsidRPr="00BD47E4" w:rsidRDefault="00D1061C" w:rsidP="00D1061C">
          <w:pPr>
            <w:rPr>
              <w:b/>
              <w:sz w:val="32"/>
              <w:szCs w:val="32"/>
            </w:rPr>
          </w:pPr>
          <w:r w:rsidRPr="00BD47E4">
            <w:rPr>
              <w:b/>
              <w:sz w:val="32"/>
              <w:szCs w:val="32"/>
            </w:rPr>
            <w:t>30</w:t>
          </w:r>
        </w:p>
      </w:tc>
    </w:tr>
    <w:tr w:rsidR="00D1061C" w14:paraId="779860B7" w14:textId="77777777" w:rsidTr="000C091D">
      <w:trPr>
        <w:trHeight w:val="2165"/>
        <w:jc w:val="center"/>
      </w:trPr>
      <w:tc>
        <w:tcPr>
          <w:tcW w:w="5495" w:type="dxa"/>
        </w:tcPr>
        <w:p w14:paraId="1E4AC31E" w14:textId="77777777" w:rsidR="00D1061C" w:rsidRPr="00EE4D48" w:rsidRDefault="00D1061C" w:rsidP="00D1061C">
          <w:pPr>
            <w:rPr>
              <w:b/>
              <w:sz w:val="28"/>
              <w:szCs w:val="28"/>
            </w:rPr>
          </w:pPr>
          <w:r>
            <w:rPr>
              <w:b/>
              <w:noProof/>
              <w:sz w:val="28"/>
              <w:szCs w:val="28"/>
            </w:rPr>
            <w:drawing>
              <wp:anchor distT="0" distB="0" distL="114300" distR="114300" simplePos="0" relativeHeight="251660288" behindDoc="1" locked="0" layoutInCell="1" allowOverlap="1" wp14:anchorId="10727AE0" wp14:editId="12E0A970">
                <wp:simplePos x="0" y="0"/>
                <wp:positionH relativeFrom="column">
                  <wp:posOffset>0</wp:posOffset>
                </wp:positionH>
                <wp:positionV relativeFrom="paragraph">
                  <wp:posOffset>3810</wp:posOffset>
                </wp:positionV>
                <wp:extent cx="3218688" cy="1839250"/>
                <wp:effectExtent l="0" t="0" r="1270" b="8890"/>
                <wp:wrapNone/>
                <wp:docPr id="155070987" name="Imagen 1" descr="Imagen que contiene 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11524683" name="Imagen 1" descr="Imagen que contiene Texto&#10;&#10;El contenido generado por IA puede ser incorrecto.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2528" cy="18528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5777" w:type="dxa"/>
          <w:gridSpan w:val="4"/>
          <w:vAlign w:val="center"/>
        </w:tcPr>
        <w:p w14:paraId="352C17C3" w14:textId="77777777" w:rsidR="00D1061C" w:rsidRPr="00FE5146" w:rsidRDefault="00D1061C" w:rsidP="00D1061C">
          <w:pPr>
            <w:jc w:val="right"/>
            <w:rPr>
              <w:sz w:val="144"/>
              <w:szCs w:val="144"/>
            </w:rPr>
          </w:pPr>
          <w:r w:rsidRPr="00FE5146">
            <w:rPr>
              <w:sz w:val="144"/>
              <w:szCs w:val="144"/>
            </w:rPr>
            <w:t>ENG</w:t>
          </w:r>
        </w:p>
      </w:tc>
    </w:tr>
    <w:tr w:rsidR="00D1061C" w14:paraId="683BBACE" w14:textId="77777777" w:rsidTr="000C091D">
      <w:trPr>
        <w:trHeight w:val="409"/>
        <w:jc w:val="center"/>
      </w:trPr>
      <w:tc>
        <w:tcPr>
          <w:tcW w:w="8500" w:type="dxa"/>
          <w:gridSpan w:val="2"/>
        </w:tcPr>
        <w:p w14:paraId="2BC33442" w14:textId="77777777" w:rsidR="00D1061C" w:rsidRDefault="00D1061C" w:rsidP="00D1061C">
          <w:pPr>
            <w:jc w:val="right"/>
          </w:pPr>
          <w:r>
            <w:t>Agenda Item:</w:t>
          </w:r>
        </w:p>
      </w:tc>
      <w:tc>
        <w:tcPr>
          <w:tcW w:w="2382" w:type="dxa"/>
          <w:gridSpan w:val="2"/>
        </w:tcPr>
        <w:p w14:paraId="7AB8917A" w14:textId="77777777" w:rsidR="00D1061C" w:rsidRDefault="00D1061C" w:rsidP="00D1061C">
          <w:pPr>
            <w:jc w:val="right"/>
          </w:pPr>
          <w:r>
            <w:t>ATCM 18</w:t>
          </w:r>
        </w:p>
      </w:tc>
      <w:tc>
        <w:tcPr>
          <w:tcW w:w="390" w:type="dxa"/>
        </w:tcPr>
        <w:p w14:paraId="15B1FCCB" w14:textId="77777777" w:rsidR="00D1061C" w:rsidRDefault="00D1061C" w:rsidP="00D1061C">
          <w:pPr>
            <w:jc w:val="right"/>
          </w:pPr>
        </w:p>
      </w:tc>
    </w:tr>
    <w:tr w:rsidR="00D1061C" w14:paraId="793E03FB" w14:textId="77777777" w:rsidTr="000C091D">
      <w:trPr>
        <w:trHeight w:val="397"/>
        <w:jc w:val="center"/>
      </w:trPr>
      <w:tc>
        <w:tcPr>
          <w:tcW w:w="8500" w:type="dxa"/>
          <w:gridSpan w:val="2"/>
        </w:tcPr>
        <w:p w14:paraId="567A607A" w14:textId="77777777" w:rsidR="00D1061C" w:rsidRDefault="00D1061C" w:rsidP="00D1061C">
          <w:pPr>
            <w:tabs>
              <w:tab w:val="left" w:pos="3315"/>
              <w:tab w:val="right" w:pos="8284"/>
            </w:tabs>
          </w:pPr>
          <w:r>
            <w:tab/>
          </w:r>
          <w:r>
            <w:tab/>
            <w:t>Presented by:</w:t>
          </w:r>
        </w:p>
      </w:tc>
      <w:tc>
        <w:tcPr>
          <w:tcW w:w="2382" w:type="dxa"/>
          <w:gridSpan w:val="2"/>
        </w:tcPr>
        <w:p w14:paraId="2FD41AE3" w14:textId="77777777" w:rsidR="00D1061C" w:rsidRDefault="00D1061C" w:rsidP="00D1061C">
          <w:pPr>
            <w:jc w:val="right"/>
          </w:pPr>
          <w:r>
            <w:t>Netherlands</w:t>
          </w:r>
        </w:p>
      </w:tc>
      <w:tc>
        <w:tcPr>
          <w:tcW w:w="390" w:type="dxa"/>
        </w:tcPr>
        <w:p w14:paraId="771845E3" w14:textId="77777777" w:rsidR="00D1061C" w:rsidRDefault="00D1061C" w:rsidP="00D1061C">
          <w:pPr>
            <w:jc w:val="right"/>
          </w:pPr>
        </w:p>
      </w:tc>
    </w:tr>
    <w:tr w:rsidR="00D1061C" w14:paraId="7EE7FB4F" w14:textId="77777777" w:rsidTr="000C091D">
      <w:trPr>
        <w:trHeight w:val="409"/>
        <w:jc w:val="center"/>
      </w:trPr>
      <w:tc>
        <w:tcPr>
          <w:tcW w:w="8500" w:type="dxa"/>
          <w:gridSpan w:val="2"/>
        </w:tcPr>
        <w:p w14:paraId="5B2BB163" w14:textId="77777777" w:rsidR="00D1061C" w:rsidRDefault="00D1061C" w:rsidP="00D1061C">
          <w:pPr>
            <w:jc w:val="right"/>
          </w:pPr>
          <w:r>
            <w:t>Original:</w:t>
          </w:r>
        </w:p>
      </w:tc>
      <w:tc>
        <w:tcPr>
          <w:tcW w:w="2382" w:type="dxa"/>
          <w:gridSpan w:val="2"/>
        </w:tcPr>
        <w:p w14:paraId="364110E3" w14:textId="77777777" w:rsidR="00D1061C" w:rsidRDefault="00D1061C" w:rsidP="00D1061C">
          <w:pPr>
            <w:jc w:val="right"/>
          </w:pPr>
          <w:r>
            <w:t>English</w:t>
          </w:r>
        </w:p>
      </w:tc>
      <w:tc>
        <w:tcPr>
          <w:tcW w:w="390" w:type="dxa"/>
        </w:tcPr>
        <w:p w14:paraId="793199D8" w14:textId="77777777" w:rsidR="00D1061C" w:rsidRDefault="00D1061C" w:rsidP="00D1061C">
          <w:pPr>
            <w:jc w:val="right"/>
          </w:pPr>
        </w:p>
      </w:tc>
    </w:tr>
    <w:tr w:rsidR="00D1061C" w14:paraId="0FE4FBDB" w14:textId="77777777" w:rsidTr="000C091D">
      <w:trPr>
        <w:trHeight w:val="409"/>
        <w:jc w:val="center"/>
      </w:trPr>
      <w:tc>
        <w:tcPr>
          <w:tcW w:w="8500" w:type="dxa"/>
          <w:gridSpan w:val="2"/>
        </w:tcPr>
        <w:p w14:paraId="24A1120B" w14:textId="77777777" w:rsidR="00D1061C" w:rsidRDefault="00D1061C" w:rsidP="00D1061C">
          <w:pPr>
            <w:jc w:val="right"/>
          </w:pPr>
          <w:r>
            <w:t>Submitted:</w:t>
          </w:r>
        </w:p>
      </w:tc>
      <w:tc>
        <w:tcPr>
          <w:tcW w:w="2382" w:type="dxa"/>
          <w:gridSpan w:val="2"/>
        </w:tcPr>
        <w:p w14:paraId="523DEBB7" w14:textId="77777777" w:rsidR="00D1061C" w:rsidRDefault="00D1061C" w:rsidP="00D1061C">
          <w:pPr>
            <w:jc w:val="right"/>
          </w:pPr>
          <w:r>
            <w:t>27 Mar 2026</w:t>
          </w:r>
        </w:p>
      </w:tc>
      <w:tc>
        <w:tcPr>
          <w:tcW w:w="390" w:type="dxa"/>
        </w:tcPr>
        <w:p w14:paraId="2C889C68" w14:textId="77777777" w:rsidR="00D1061C" w:rsidRDefault="00D1061C" w:rsidP="00D1061C">
          <w:pPr>
            <w:jc w:val="right"/>
          </w:pPr>
        </w:p>
      </w:tc>
    </w:tr>
    <w:tr w:rsidR="00D1061C" w14:paraId="7978200D" w14:textId="77777777" w:rsidTr="000C091D">
      <w:trPr>
        <w:trHeight w:val="409"/>
        <w:jc w:val="center"/>
      </w:trPr>
      <w:tc>
        <w:tcPr>
          <w:tcW w:w="8500" w:type="dxa"/>
          <w:gridSpan w:val="2"/>
        </w:tcPr>
        <w:p w14:paraId="5E9EAB44" w14:textId="77777777" w:rsidR="00D1061C" w:rsidRDefault="00D1061C" w:rsidP="00D1061C">
          <w:pPr>
            <w:jc w:val="right"/>
          </w:pPr>
          <w:r>
            <w:t>Revision:</w:t>
          </w:r>
        </w:p>
      </w:tc>
      <w:tc>
        <w:tcPr>
          <w:tcW w:w="2382" w:type="dxa"/>
          <w:gridSpan w:val="2"/>
        </w:tcPr>
        <w:p w14:paraId="081D3E14" w14:textId="77777777" w:rsidR="00D1061C" w:rsidRDefault="00D1061C" w:rsidP="00D1061C">
          <w:pPr>
            <w:jc w:val="right"/>
          </w:pPr>
          <w:r>
            <w:t>---</w:t>
          </w:r>
        </w:p>
      </w:tc>
      <w:tc>
        <w:tcPr>
          <w:tcW w:w="390" w:type="dxa"/>
        </w:tcPr>
        <w:p w14:paraId="64E327BB" w14:textId="77777777" w:rsidR="00D1061C" w:rsidRDefault="00D1061C" w:rsidP="00D1061C">
          <w:pPr>
            <w:jc w:val="right"/>
          </w:pPr>
        </w:p>
      </w:tc>
    </w:tr>
  </w:tbl>
  <w:p w14:paraId="19533FAC" w14:textId="77777777" w:rsidR="00DC0273" w:rsidRDefault="00DC0273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026" w:type="dxa"/>
      <w:jc w:val="center"/>
      <w:tblLook w:val="01E0" w:firstRow="1" w:lastRow="1" w:firstColumn="1" w:lastColumn="1" w:noHBand="0" w:noVBand="0"/>
    </w:tblPr>
    <w:tblGrid>
      <w:gridCol w:w="9694"/>
      <w:gridCol w:w="1332"/>
    </w:tblGrid>
    <w:tr w:rsidR="00F554D6" w14:paraId="53439DC2" w14:textId="77777777">
      <w:trPr>
        <w:trHeight w:val="354"/>
        <w:jc w:val="center"/>
      </w:trPr>
      <w:tc>
        <w:tcPr>
          <w:tcW w:w="9694" w:type="dxa"/>
        </w:tcPr>
        <w:p w14:paraId="75676EAC" w14:textId="77777777" w:rsidR="00F554D6" w:rsidRPr="00BD47E4" w:rsidRDefault="00F554D6" w:rsidP="00C26F2D">
          <w:pPr>
            <w:jc w:val="right"/>
            <w:rPr>
              <w:b/>
              <w:sz w:val="32"/>
              <w:szCs w:val="32"/>
            </w:rPr>
          </w:pPr>
          <w:r>
            <w:rPr>
              <w:b/>
              <w:sz w:val="32"/>
              <w:szCs w:val="32"/>
            </w:rPr>
            <w:t>WP</w:t>
          </w:r>
        </w:p>
      </w:tc>
      <w:tc>
        <w:tcPr>
          <w:tcW w:w="1332" w:type="dxa"/>
        </w:tcPr>
        <w:p w14:paraId="1C0DAA1B" w14:textId="6A063024" w:rsidR="00F554D6" w:rsidRPr="00BD47E4" w:rsidRDefault="00D1061C" w:rsidP="00080F4C">
          <w:pPr>
            <w:rPr>
              <w:b/>
              <w:sz w:val="32"/>
              <w:szCs w:val="32"/>
            </w:rPr>
          </w:pPr>
          <w:r>
            <w:rPr>
              <w:b/>
              <w:sz w:val="32"/>
              <w:szCs w:val="32"/>
            </w:rPr>
            <w:t>30</w:t>
          </w:r>
        </w:p>
      </w:tc>
    </w:tr>
  </w:tbl>
  <w:p w14:paraId="1F4422A5" w14:textId="77777777" w:rsidR="00F554D6" w:rsidRDefault="00F554D6"/>
  <w:p w14:paraId="13F1D715" w14:textId="77777777" w:rsidR="00F554D6" w:rsidRDefault="00F554D6"/>
  <w:p w14:paraId="3FD4EA84" w14:textId="77777777" w:rsidR="00F554D6" w:rsidRDefault="00F554D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0044987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AE0EC73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9EB63E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D9D2F9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5114CC6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E141F9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0DA274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982B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A6C13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DCC03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A226A15"/>
    <w:multiLevelType w:val="hybridMultilevel"/>
    <w:tmpl w:val="7C00AC6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DF94657"/>
    <w:multiLevelType w:val="multilevel"/>
    <w:tmpl w:val="08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126C6E19"/>
    <w:multiLevelType w:val="hybridMultilevel"/>
    <w:tmpl w:val="1B7477B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BB0893"/>
    <w:multiLevelType w:val="hybridMultilevel"/>
    <w:tmpl w:val="4F38A89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6577EA"/>
    <w:multiLevelType w:val="hybridMultilevel"/>
    <w:tmpl w:val="21A63D98"/>
    <w:lvl w:ilvl="0" w:tplc="F5AC5C12">
      <w:start w:val="1"/>
      <w:numFmt w:val="bullet"/>
      <w:pStyle w:val="ATSBullet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83C0D54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A18B66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B42D36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3E61D6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D76A4B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B65F7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38A11C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70DC337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424E45"/>
    <w:multiLevelType w:val="hybridMultilevel"/>
    <w:tmpl w:val="C94C18E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D35C15"/>
    <w:multiLevelType w:val="hybridMultilevel"/>
    <w:tmpl w:val="A8A2E45C"/>
    <w:lvl w:ilvl="0" w:tplc="B7B2CBDC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6D76C0E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3745B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B4BA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06DC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82E56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844E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72168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1E09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42F3AFA"/>
    <w:multiLevelType w:val="hybridMultilevel"/>
    <w:tmpl w:val="9DF09BE6"/>
    <w:lvl w:ilvl="0" w:tplc="E02E0A2E">
      <w:start w:val="1"/>
      <w:numFmt w:val="decimal"/>
      <w:lvlText w:val="%1."/>
      <w:lvlJc w:val="left"/>
      <w:pPr>
        <w:tabs>
          <w:tab w:val="num" w:pos="1057"/>
        </w:tabs>
        <w:ind w:left="1057" w:hanging="360"/>
      </w:pPr>
      <w:rPr>
        <w:rFonts w:hint="default"/>
      </w:rPr>
    </w:lvl>
    <w:lvl w:ilvl="1" w:tplc="DCA40E72" w:tentative="1">
      <w:start w:val="1"/>
      <w:numFmt w:val="lowerLetter"/>
      <w:lvlText w:val="%2."/>
      <w:lvlJc w:val="left"/>
      <w:pPr>
        <w:tabs>
          <w:tab w:val="num" w:pos="2137"/>
        </w:tabs>
        <w:ind w:left="2137" w:hanging="360"/>
      </w:pPr>
    </w:lvl>
    <w:lvl w:ilvl="2" w:tplc="810C40EA" w:tentative="1">
      <w:start w:val="1"/>
      <w:numFmt w:val="lowerRoman"/>
      <w:lvlText w:val="%3."/>
      <w:lvlJc w:val="right"/>
      <w:pPr>
        <w:tabs>
          <w:tab w:val="num" w:pos="2857"/>
        </w:tabs>
        <w:ind w:left="2857" w:hanging="180"/>
      </w:pPr>
    </w:lvl>
    <w:lvl w:ilvl="3" w:tplc="9E64CA2C" w:tentative="1">
      <w:start w:val="1"/>
      <w:numFmt w:val="decimal"/>
      <w:lvlText w:val="%4."/>
      <w:lvlJc w:val="left"/>
      <w:pPr>
        <w:tabs>
          <w:tab w:val="num" w:pos="3577"/>
        </w:tabs>
        <w:ind w:left="3577" w:hanging="360"/>
      </w:pPr>
    </w:lvl>
    <w:lvl w:ilvl="4" w:tplc="B87630A4" w:tentative="1">
      <w:start w:val="1"/>
      <w:numFmt w:val="lowerLetter"/>
      <w:lvlText w:val="%5."/>
      <w:lvlJc w:val="left"/>
      <w:pPr>
        <w:tabs>
          <w:tab w:val="num" w:pos="4297"/>
        </w:tabs>
        <w:ind w:left="4297" w:hanging="360"/>
      </w:pPr>
    </w:lvl>
    <w:lvl w:ilvl="5" w:tplc="62D6197C" w:tentative="1">
      <w:start w:val="1"/>
      <w:numFmt w:val="lowerRoman"/>
      <w:lvlText w:val="%6."/>
      <w:lvlJc w:val="right"/>
      <w:pPr>
        <w:tabs>
          <w:tab w:val="num" w:pos="5017"/>
        </w:tabs>
        <w:ind w:left="5017" w:hanging="180"/>
      </w:pPr>
    </w:lvl>
    <w:lvl w:ilvl="6" w:tplc="32101ACC" w:tentative="1">
      <w:start w:val="1"/>
      <w:numFmt w:val="decimal"/>
      <w:lvlText w:val="%7."/>
      <w:lvlJc w:val="left"/>
      <w:pPr>
        <w:tabs>
          <w:tab w:val="num" w:pos="5737"/>
        </w:tabs>
        <w:ind w:left="5737" w:hanging="360"/>
      </w:pPr>
    </w:lvl>
    <w:lvl w:ilvl="7" w:tplc="6B7E522C" w:tentative="1">
      <w:start w:val="1"/>
      <w:numFmt w:val="lowerLetter"/>
      <w:lvlText w:val="%8."/>
      <w:lvlJc w:val="left"/>
      <w:pPr>
        <w:tabs>
          <w:tab w:val="num" w:pos="6457"/>
        </w:tabs>
        <w:ind w:left="6457" w:hanging="360"/>
      </w:pPr>
    </w:lvl>
    <w:lvl w:ilvl="8" w:tplc="D02017AA" w:tentative="1">
      <w:start w:val="1"/>
      <w:numFmt w:val="lowerRoman"/>
      <w:lvlText w:val="%9."/>
      <w:lvlJc w:val="right"/>
      <w:pPr>
        <w:tabs>
          <w:tab w:val="num" w:pos="7177"/>
        </w:tabs>
        <w:ind w:left="7177" w:hanging="180"/>
      </w:pPr>
    </w:lvl>
  </w:abstractNum>
  <w:abstractNum w:abstractNumId="18" w15:restartNumberingAfterBreak="0">
    <w:nsid w:val="7212657C"/>
    <w:multiLevelType w:val="hybridMultilevel"/>
    <w:tmpl w:val="0A8E2A84"/>
    <w:lvl w:ilvl="0" w:tplc="1512A1C0">
      <w:start w:val="1"/>
      <w:numFmt w:val="decimal"/>
      <w:pStyle w:val="ATSNumber1"/>
      <w:lvlText w:val="%1)"/>
      <w:lvlJc w:val="left"/>
      <w:pPr>
        <w:tabs>
          <w:tab w:val="num" w:pos="720"/>
        </w:tabs>
        <w:ind w:left="720" w:hanging="360"/>
      </w:pPr>
    </w:lvl>
    <w:lvl w:ilvl="1" w:tplc="DB002D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304AC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E0A5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30CA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743A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B06E1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869A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56E98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43D2161"/>
    <w:multiLevelType w:val="hybridMultilevel"/>
    <w:tmpl w:val="B0868D9E"/>
    <w:lvl w:ilvl="0" w:tplc="E9BEADF8">
      <w:start w:val="1"/>
      <w:numFmt w:val="bullet"/>
      <w:pStyle w:val="ATSBullet2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color w:val="auto"/>
      </w:rPr>
    </w:lvl>
    <w:lvl w:ilvl="1" w:tplc="92DA305A" w:tentative="1">
      <w:start w:val="1"/>
      <w:numFmt w:val="bullet"/>
      <w:lvlText w:val="o"/>
      <w:lvlJc w:val="left"/>
      <w:pPr>
        <w:tabs>
          <w:tab w:val="num" w:pos="2517"/>
        </w:tabs>
        <w:ind w:left="2517" w:hanging="360"/>
      </w:pPr>
      <w:rPr>
        <w:rFonts w:ascii="Courier New" w:hAnsi="Courier New" w:cs="Courier New" w:hint="default"/>
      </w:rPr>
    </w:lvl>
    <w:lvl w:ilvl="2" w:tplc="38D4734E" w:tentative="1">
      <w:start w:val="1"/>
      <w:numFmt w:val="bullet"/>
      <w:lvlText w:val=""/>
      <w:lvlJc w:val="left"/>
      <w:pPr>
        <w:tabs>
          <w:tab w:val="num" w:pos="3237"/>
        </w:tabs>
        <w:ind w:left="3237" w:hanging="360"/>
      </w:pPr>
      <w:rPr>
        <w:rFonts w:ascii="Wingdings" w:hAnsi="Wingdings" w:hint="default"/>
      </w:rPr>
    </w:lvl>
    <w:lvl w:ilvl="3" w:tplc="007039DC" w:tentative="1">
      <w:start w:val="1"/>
      <w:numFmt w:val="bullet"/>
      <w:lvlText w:val=""/>
      <w:lvlJc w:val="left"/>
      <w:pPr>
        <w:tabs>
          <w:tab w:val="num" w:pos="3957"/>
        </w:tabs>
        <w:ind w:left="3957" w:hanging="360"/>
      </w:pPr>
      <w:rPr>
        <w:rFonts w:ascii="Symbol" w:hAnsi="Symbol" w:hint="default"/>
      </w:rPr>
    </w:lvl>
    <w:lvl w:ilvl="4" w:tplc="0DF82E00" w:tentative="1">
      <w:start w:val="1"/>
      <w:numFmt w:val="bullet"/>
      <w:lvlText w:val="o"/>
      <w:lvlJc w:val="left"/>
      <w:pPr>
        <w:tabs>
          <w:tab w:val="num" w:pos="4677"/>
        </w:tabs>
        <w:ind w:left="4677" w:hanging="360"/>
      </w:pPr>
      <w:rPr>
        <w:rFonts w:ascii="Courier New" w:hAnsi="Courier New" w:cs="Courier New" w:hint="default"/>
      </w:rPr>
    </w:lvl>
    <w:lvl w:ilvl="5" w:tplc="0B284406" w:tentative="1">
      <w:start w:val="1"/>
      <w:numFmt w:val="bullet"/>
      <w:lvlText w:val=""/>
      <w:lvlJc w:val="left"/>
      <w:pPr>
        <w:tabs>
          <w:tab w:val="num" w:pos="5397"/>
        </w:tabs>
        <w:ind w:left="5397" w:hanging="360"/>
      </w:pPr>
      <w:rPr>
        <w:rFonts w:ascii="Wingdings" w:hAnsi="Wingdings" w:hint="default"/>
      </w:rPr>
    </w:lvl>
    <w:lvl w:ilvl="6" w:tplc="297AA41A" w:tentative="1">
      <w:start w:val="1"/>
      <w:numFmt w:val="bullet"/>
      <w:lvlText w:val=""/>
      <w:lvlJc w:val="left"/>
      <w:pPr>
        <w:tabs>
          <w:tab w:val="num" w:pos="6117"/>
        </w:tabs>
        <w:ind w:left="6117" w:hanging="360"/>
      </w:pPr>
      <w:rPr>
        <w:rFonts w:ascii="Symbol" w:hAnsi="Symbol" w:hint="default"/>
      </w:rPr>
    </w:lvl>
    <w:lvl w:ilvl="7" w:tplc="F9E69990" w:tentative="1">
      <w:start w:val="1"/>
      <w:numFmt w:val="bullet"/>
      <w:lvlText w:val="o"/>
      <w:lvlJc w:val="left"/>
      <w:pPr>
        <w:tabs>
          <w:tab w:val="num" w:pos="6837"/>
        </w:tabs>
        <w:ind w:left="6837" w:hanging="360"/>
      </w:pPr>
      <w:rPr>
        <w:rFonts w:ascii="Courier New" w:hAnsi="Courier New" w:cs="Courier New" w:hint="default"/>
      </w:rPr>
    </w:lvl>
    <w:lvl w:ilvl="8" w:tplc="A3BAB094" w:tentative="1">
      <w:start w:val="1"/>
      <w:numFmt w:val="bullet"/>
      <w:lvlText w:val=""/>
      <w:lvlJc w:val="left"/>
      <w:pPr>
        <w:tabs>
          <w:tab w:val="num" w:pos="7557"/>
        </w:tabs>
        <w:ind w:left="7557" w:hanging="360"/>
      </w:pPr>
      <w:rPr>
        <w:rFonts w:ascii="Wingdings" w:hAnsi="Wingdings" w:hint="default"/>
      </w:rPr>
    </w:lvl>
  </w:abstractNum>
  <w:abstractNum w:abstractNumId="20" w15:restartNumberingAfterBreak="0">
    <w:nsid w:val="7C866FC0"/>
    <w:multiLevelType w:val="hybridMultilevel"/>
    <w:tmpl w:val="57EA2900"/>
    <w:lvl w:ilvl="0" w:tplc="DEA6415C">
      <w:start w:val="1"/>
      <w:numFmt w:val="decimal"/>
      <w:pStyle w:val="ATSNumber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B6CA6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3AC0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316CB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960CA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AAE69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A52EC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7AE84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EAE5F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4"/>
  </w:num>
  <w:num w:numId="12">
    <w:abstractNumId w:val="19"/>
  </w:num>
  <w:num w:numId="13">
    <w:abstractNumId w:val="18"/>
  </w:num>
  <w:num w:numId="14">
    <w:abstractNumId w:val="16"/>
  </w:num>
  <w:num w:numId="15">
    <w:abstractNumId w:val="17"/>
  </w:num>
  <w:num w:numId="16">
    <w:abstractNumId w:val="11"/>
  </w:num>
  <w:num w:numId="17">
    <w:abstractNumId w:val="14"/>
  </w:num>
  <w:num w:numId="18">
    <w:abstractNumId w:val="19"/>
  </w:num>
  <w:num w:numId="19">
    <w:abstractNumId w:val="18"/>
  </w:num>
  <w:num w:numId="20">
    <w:abstractNumId w:val="20"/>
  </w:num>
  <w:num w:numId="21">
    <w:abstractNumId w:val="15"/>
  </w:num>
  <w:num w:numId="22">
    <w:abstractNumId w:val="10"/>
  </w:num>
  <w:num w:numId="23">
    <w:abstractNumId w:val="13"/>
  </w:num>
  <w:num w:numId="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08"/>
  <w:hyphenationZone w:val="425"/>
  <w:evenAndOddHeaders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424"/>
    <w:rsid w:val="0007087B"/>
    <w:rsid w:val="004526F8"/>
    <w:rsid w:val="00A57620"/>
    <w:rsid w:val="00C84424"/>
    <w:rsid w:val="00D1061C"/>
    <w:rsid w:val="00DC0273"/>
    <w:rsid w:val="00DD3BA7"/>
    <w:rsid w:val="00F554D6"/>
    <w:rsid w:val="00FB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37AC600"/>
  <w15:chartTrackingRefBased/>
  <w15:docId w15:val="{609BBD35-9073-45F3-B317-089E7F0E5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caption" w:semiHidden="1" w:unhideWhenUs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789F"/>
    <w:rPr>
      <w:sz w:val="22"/>
      <w:szCs w:val="24"/>
      <w:lang w:val="en-GB" w:eastAsia="en-US"/>
    </w:rPr>
  </w:style>
  <w:style w:type="paragraph" w:styleId="Ttulo1">
    <w:name w:val="heading 1"/>
    <w:basedOn w:val="Normal"/>
    <w:next w:val="Normal"/>
    <w:rsid w:val="001B789F"/>
    <w:pPr>
      <w:keepNext/>
      <w:spacing w:before="180" w:after="360"/>
      <w:jc w:val="center"/>
      <w:outlineLvl w:val="0"/>
    </w:pPr>
    <w:rPr>
      <w:rFonts w:ascii="Arial" w:hAnsi="Arial"/>
      <w:b/>
      <w:kern w:val="28"/>
      <w:sz w:val="32"/>
      <w:szCs w:val="20"/>
    </w:rPr>
  </w:style>
  <w:style w:type="paragraph" w:styleId="Ttulo2">
    <w:name w:val="heading 2"/>
    <w:basedOn w:val="Normal"/>
    <w:next w:val="Normal"/>
    <w:rsid w:val="001B789F"/>
    <w:pPr>
      <w:keepNext/>
      <w:spacing w:before="120" w:after="240"/>
      <w:outlineLvl w:val="1"/>
    </w:pPr>
    <w:rPr>
      <w:b/>
      <w:i/>
      <w:sz w:val="28"/>
      <w:szCs w:val="20"/>
    </w:rPr>
  </w:style>
  <w:style w:type="paragraph" w:styleId="Ttulo3">
    <w:name w:val="heading 3"/>
    <w:basedOn w:val="Normal"/>
    <w:next w:val="Normal"/>
    <w:rsid w:val="001B789F"/>
    <w:pPr>
      <w:keepNext/>
      <w:spacing w:before="120" w:after="180"/>
      <w:outlineLvl w:val="2"/>
    </w:pPr>
    <w:rPr>
      <w:rFonts w:eastAsia="SimSun"/>
      <w:b/>
      <w:sz w:val="24"/>
      <w:szCs w:val="20"/>
      <w:lang w:eastAsia="zh-CN"/>
    </w:rPr>
  </w:style>
  <w:style w:type="paragraph" w:styleId="Ttulo4">
    <w:name w:val="heading 4"/>
    <w:basedOn w:val="Normal"/>
    <w:next w:val="Normal"/>
    <w:rsid w:val="001B789F"/>
    <w:pPr>
      <w:keepNext/>
      <w:spacing w:before="60" w:after="120"/>
      <w:outlineLvl w:val="3"/>
    </w:pPr>
    <w:rPr>
      <w:b/>
      <w:bCs/>
      <w:i/>
      <w:szCs w:val="28"/>
    </w:rPr>
  </w:style>
  <w:style w:type="paragraph" w:styleId="Ttulo5">
    <w:name w:val="heading 5"/>
    <w:basedOn w:val="Normal"/>
    <w:next w:val="Normal"/>
    <w:rsid w:val="001B789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rsid w:val="001B789F"/>
    <w:pPr>
      <w:spacing w:before="240" w:after="60"/>
      <w:outlineLvl w:val="5"/>
    </w:pPr>
    <w:rPr>
      <w:b/>
      <w:bCs/>
      <w:szCs w:val="22"/>
    </w:rPr>
  </w:style>
  <w:style w:type="paragraph" w:styleId="Ttulo7">
    <w:name w:val="heading 7"/>
    <w:basedOn w:val="Normal"/>
    <w:next w:val="Normal"/>
    <w:rsid w:val="001B789F"/>
    <w:pPr>
      <w:spacing w:before="240" w:after="60"/>
      <w:outlineLvl w:val="6"/>
    </w:pPr>
    <w:rPr>
      <w:sz w:val="24"/>
    </w:rPr>
  </w:style>
  <w:style w:type="paragraph" w:styleId="Ttulo8">
    <w:name w:val="heading 8"/>
    <w:basedOn w:val="Normal"/>
    <w:next w:val="Normal"/>
    <w:rsid w:val="001B789F"/>
    <w:pPr>
      <w:spacing w:before="240" w:after="60"/>
      <w:outlineLvl w:val="7"/>
    </w:pPr>
    <w:rPr>
      <w:i/>
      <w:iCs/>
      <w:sz w:val="24"/>
    </w:rPr>
  </w:style>
  <w:style w:type="paragraph" w:styleId="Ttulo9">
    <w:name w:val="heading 9"/>
    <w:basedOn w:val="Normal"/>
    <w:next w:val="Normal"/>
    <w:rsid w:val="001B789F"/>
    <w:pPr>
      <w:spacing w:before="240" w:after="60"/>
      <w:outlineLvl w:val="8"/>
    </w:pPr>
    <w:rPr>
      <w:rFonts w:ascii="Arial" w:hAnsi="Arial" w:cs="Arial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TSNormal">
    <w:name w:val="ATS Normal"/>
    <w:basedOn w:val="Normal"/>
    <w:qFormat/>
    <w:rsid w:val="001B789F"/>
    <w:pPr>
      <w:spacing w:before="120" w:after="120"/>
    </w:pPr>
    <w:rPr>
      <w:lang w:eastAsia="en-GB"/>
    </w:rPr>
  </w:style>
  <w:style w:type="paragraph" w:customStyle="1" w:styleId="ATSBullet1">
    <w:name w:val="ATS Bullet 1"/>
    <w:basedOn w:val="ATSNormal"/>
    <w:qFormat/>
    <w:rsid w:val="001B789F"/>
    <w:pPr>
      <w:numPr>
        <w:numId w:val="17"/>
      </w:numPr>
      <w:spacing w:before="60" w:after="0"/>
    </w:pPr>
  </w:style>
  <w:style w:type="paragraph" w:customStyle="1" w:styleId="ATSBullet2">
    <w:name w:val="ATS Bullet 2"/>
    <w:basedOn w:val="ATSNormal"/>
    <w:qFormat/>
    <w:rsid w:val="001B789F"/>
    <w:pPr>
      <w:numPr>
        <w:numId w:val="18"/>
      </w:numPr>
      <w:tabs>
        <w:tab w:val="left" w:pos="720"/>
      </w:tabs>
      <w:spacing w:before="60" w:after="0"/>
    </w:pPr>
  </w:style>
  <w:style w:type="paragraph" w:customStyle="1" w:styleId="ATSCompact">
    <w:name w:val="ATS Compact"/>
    <w:basedOn w:val="ATSNormal"/>
    <w:qFormat/>
    <w:rsid w:val="001B789F"/>
    <w:pPr>
      <w:spacing w:before="0" w:after="0"/>
    </w:pPr>
  </w:style>
  <w:style w:type="paragraph" w:customStyle="1" w:styleId="ATSHeading1">
    <w:name w:val="ATS Heading 1"/>
    <w:basedOn w:val="ATSNormal"/>
    <w:next w:val="ATSNormal"/>
    <w:qFormat/>
    <w:rsid w:val="001B789F"/>
    <w:pPr>
      <w:spacing w:before="360" w:after="360"/>
      <w:jc w:val="center"/>
    </w:pPr>
    <w:rPr>
      <w:rFonts w:ascii="Arial" w:hAnsi="Arial"/>
      <w:b/>
      <w:sz w:val="32"/>
    </w:rPr>
  </w:style>
  <w:style w:type="paragraph" w:customStyle="1" w:styleId="ATSHeading2">
    <w:name w:val="ATS Heading 2"/>
    <w:basedOn w:val="ATSNormal"/>
    <w:next w:val="ATSNormal"/>
    <w:link w:val="ATSHeading2Char"/>
    <w:qFormat/>
    <w:rsid w:val="001B789F"/>
    <w:pPr>
      <w:spacing w:before="480"/>
      <w:jc w:val="both"/>
    </w:pPr>
    <w:rPr>
      <w:rFonts w:ascii="Arial" w:hAnsi="Arial"/>
      <w:b/>
      <w:i/>
      <w:sz w:val="24"/>
      <w:szCs w:val="22"/>
    </w:rPr>
  </w:style>
  <w:style w:type="paragraph" w:customStyle="1" w:styleId="ATSHeading3">
    <w:name w:val="ATS Heading 3"/>
    <w:basedOn w:val="ATSNormal"/>
    <w:next w:val="ATSNormal"/>
    <w:qFormat/>
    <w:rsid w:val="001B789F"/>
    <w:pPr>
      <w:spacing w:before="240" w:after="60"/>
    </w:pPr>
    <w:rPr>
      <w:b/>
    </w:rPr>
  </w:style>
  <w:style w:type="paragraph" w:customStyle="1" w:styleId="ATSHeading4">
    <w:name w:val="ATS Heading 4"/>
    <w:basedOn w:val="ATSNormal"/>
    <w:next w:val="ATSNormal"/>
    <w:qFormat/>
    <w:rsid w:val="001B789F"/>
    <w:pPr>
      <w:spacing w:before="240" w:after="60"/>
    </w:pPr>
    <w:rPr>
      <w:i/>
    </w:rPr>
  </w:style>
  <w:style w:type="paragraph" w:customStyle="1" w:styleId="AtsNumber">
    <w:name w:val="Ats Number"/>
    <w:basedOn w:val="ATSNormal"/>
    <w:qFormat/>
    <w:rsid w:val="001B789F"/>
    <w:pPr>
      <w:spacing w:before="60" w:after="0"/>
    </w:pPr>
  </w:style>
  <w:style w:type="paragraph" w:customStyle="1" w:styleId="ATSNumber1">
    <w:name w:val="ATS Number 1"/>
    <w:basedOn w:val="ATSNormal"/>
    <w:qFormat/>
    <w:rsid w:val="001B789F"/>
    <w:pPr>
      <w:numPr>
        <w:numId w:val="19"/>
      </w:numPr>
      <w:spacing w:before="60" w:after="0"/>
    </w:pPr>
  </w:style>
  <w:style w:type="paragraph" w:customStyle="1" w:styleId="ATSNumber2">
    <w:name w:val="ATS Number 2"/>
    <w:basedOn w:val="ATSNormal"/>
    <w:autoRedefine/>
    <w:qFormat/>
    <w:rsid w:val="001B789F"/>
    <w:pPr>
      <w:numPr>
        <w:numId w:val="20"/>
      </w:numPr>
      <w:spacing w:after="0"/>
      <w:jc w:val="both"/>
    </w:pPr>
  </w:style>
  <w:style w:type="paragraph" w:customStyle="1" w:styleId="ATSQuote">
    <w:name w:val="ATS Quote"/>
    <w:basedOn w:val="Normal"/>
    <w:qFormat/>
    <w:rsid w:val="001B789F"/>
    <w:pPr>
      <w:ind w:left="357"/>
    </w:pPr>
    <w:rPr>
      <w:i/>
      <w:szCs w:val="18"/>
    </w:rPr>
  </w:style>
  <w:style w:type="paragraph" w:customStyle="1" w:styleId="ATSTitle">
    <w:name w:val="ATS Title"/>
    <w:basedOn w:val="Normal"/>
    <w:qFormat/>
    <w:rsid w:val="001B789F"/>
    <w:pPr>
      <w:spacing w:before="360" w:after="360"/>
      <w:contextualSpacing/>
      <w:jc w:val="center"/>
    </w:pPr>
    <w:rPr>
      <w:rFonts w:ascii="Arial" w:hAnsi="Arial"/>
      <w:b/>
      <w:sz w:val="48"/>
    </w:rPr>
  </w:style>
  <w:style w:type="paragraph" w:styleId="Textodeglobo">
    <w:name w:val="Balloon Text"/>
    <w:basedOn w:val="Normal"/>
    <w:semiHidden/>
    <w:rsid w:val="001B789F"/>
    <w:rPr>
      <w:rFonts w:ascii="Tahoma" w:hAnsi="Tahoma" w:cs="Tahoma"/>
      <w:sz w:val="16"/>
      <w:szCs w:val="16"/>
    </w:rPr>
  </w:style>
  <w:style w:type="character" w:customStyle="1" w:styleId="BodyTextChar">
    <w:name w:val="Body Text Char"/>
    <w:semiHidden/>
    <w:rsid w:val="001B789F"/>
    <w:rPr>
      <w:sz w:val="24"/>
      <w:szCs w:val="22"/>
      <w:lang w:val="en-US" w:eastAsia="zh-CN" w:bidi="ar-SA"/>
    </w:rPr>
  </w:style>
  <w:style w:type="character" w:customStyle="1" w:styleId="CharacterStyle1">
    <w:name w:val="Character Style 1"/>
    <w:semiHidden/>
    <w:rsid w:val="001B789F"/>
    <w:rPr>
      <w:sz w:val="22"/>
      <w:szCs w:val="22"/>
    </w:rPr>
  </w:style>
  <w:style w:type="character" w:customStyle="1" w:styleId="descriptions1">
    <w:name w:val="descriptions1"/>
    <w:semiHidden/>
    <w:rsid w:val="001B789F"/>
    <w:rPr>
      <w:rFonts w:ascii="Verdana" w:hAnsi="Verdana" w:hint="default"/>
      <w:b/>
      <w:bCs/>
      <w:i w:val="0"/>
      <w:iCs w:val="0"/>
      <w:caps w:val="0"/>
      <w:smallCaps w:val="0"/>
      <w:color w:val="585858"/>
      <w:sz w:val="12"/>
      <w:szCs w:val="12"/>
    </w:rPr>
  </w:style>
  <w:style w:type="paragraph" w:styleId="Mapadeldocumento">
    <w:name w:val="Document Map"/>
    <w:basedOn w:val="Normal"/>
    <w:semiHidden/>
    <w:rsid w:val="001B789F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Refdenotaalfinal">
    <w:name w:val="endnote reference"/>
    <w:semiHidden/>
    <w:rsid w:val="001B789F"/>
    <w:rPr>
      <w:vertAlign w:val="superscript"/>
    </w:rPr>
  </w:style>
  <w:style w:type="paragraph" w:styleId="Textonotaalfinal">
    <w:name w:val="endnote text"/>
    <w:basedOn w:val="Normal"/>
    <w:semiHidden/>
    <w:rsid w:val="001B789F"/>
    <w:rPr>
      <w:sz w:val="20"/>
      <w:szCs w:val="20"/>
    </w:rPr>
  </w:style>
  <w:style w:type="character" w:styleId="Hipervnculovisitado">
    <w:name w:val="FollowedHyperlink"/>
    <w:semiHidden/>
    <w:rsid w:val="001B789F"/>
    <w:rPr>
      <w:color w:val="800080"/>
      <w:u w:val="single"/>
    </w:rPr>
  </w:style>
  <w:style w:type="paragraph" w:styleId="Piedepgina">
    <w:name w:val="footer"/>
    <w:basedOn w:val="Normal"/>
    <w:semiHidden/>
    <w:rsid w:val="001B789F"/>
    <w:pPr>
      <w:tabs>
        <w:tab w:val="center" w:pos="4419"/>
        <w:tab w:val="right" w:pos="8838"/>
      </w:tabs>
    </w:pPr>
  </w:style>
  <w:style w:type="character" w:styleId="Refdenotaalpie">
    <w:name w:val="footnote reference"/>
    <w:rsid w:val="001B789F"/>
    <w:rPr>
      <w:vertAlign w:val="superscript"/>
    </w:rPr>
  </w:style>
  <w:style w:type="paragraph" w:styleId="Textonotapie">
    <w:name w:val="footnote text"/>
    <w:basedOn w:val="Normal"/>
    <w:rsid w:val="001B789F"/>
    <w:rPr>
      <w:szCs w:val="22"/>
    </w:rPr>
  </w:style>
  <w:style w:type="paragraph" w:styleId="Encabezado">
    <w:name w:val="header"/>
    <w:basedOn w:val="Normal"/>
    <w:semiHidden/>
    <w:rsid w:val="001B789F"/>
    <w:pPr>
      <w:tabs>
        <w:tab w:val="center" w:pos="4419"/>
        <w:tab w:val="right" w:pos="8838"/>
      </w:tabs>
    </w:pPr>
  </w:style>
  <w:style w:type="character" w:styleId="Hipervnculo">
    <w:name w:val="Hyperlink"/>
    <w:semiHidden/>
    <w:rsid w:val="001B789F"/>
    <w:rPr>
      <w:color w:val="660000"/>
      <w:u w:val="single"/>
    </w:rPr>
  </w:style>
  <w:style w:type="paragraph" w:styleId="NormalWeb">
    <w:name w:val="Normal (Web)"/>
    <w:basedOn w:val="Normal"/>
    <w:semiHidden/>
    <w:rsid w:val="001B789F"/>
    <w:pPr>
      <w:spacing w:before="100" w:beforeAutospacing="1" w:after="100" w:afterAutospacing="1"/>
      <w:jc w:val="both"/>
    </w:pPr>
    <w:rPr>
      <w:sz w:val="24"/>
      <w:lang w:val="en-AU" w:eastAsia="en-AU"/>
    </w:rPr>
  </w:style>
  <w:style w:type="character" w:styleId="Nmerodepgina">
    <w:name w:val="page number"/>
    <w:basedOn w:val="Fuentedeprrafopredeter"/>
    <w:semiHidden/>
    <w:rsid w:val="001B789F"/>
  </w:style>
  <w:style w:type="character" w:styleId="Textoennegrita">
    <w:name w:val="Strong"/>
    <w:rsid w:val="001B789F"/>
    <w:rPr>
      <w:b/>
      <w:bCs/>
    </w:rPr>
  </w:style>
  <w:style w:type="table" w:styleId="Tablaconcuadrcula">
    <w:name w:val="Table Grid"/>
    <w:basedOn w:val="Tablanormal"/>
    <w:semiHidden/>
    <w:rsid w:val="001B78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1">
    <w:name w:val="tag1"/>
    <w:semiHidden/>
    <w:rsid w:val="001B789F"/>
    <w:rPr>
      <w:rFonts w:ascii="Verdana" w:hAnsi="Verdana" w:hint="default"/>
      <w:b w:val="0"/>
      <w:bCs w:val="0"/>
      <w:i w:val="0"/>
      <w:iCs w:val="0"/>
      <w:caps w:val="0"/>
      <w:smallCaps w:val="0"/>
      <w:strike w:val="0"/>
      <w:dstrike w:val="0"/>
      <w:color w:val="585858"/>
      <w:sz w:val="12"/>
      <w:szCs w:val="12"/>
      <w:u w:val="none"/>
      <w:effect w:val="none"/>
    </w:rPr>
  </w:style>
  <w:style w:type="paragraph" w:customStyle="1" w:styleId="TexteFr">
    <w:name w:val="TexteFr"/>
    <w:basedOn w:val="Normal"/>
    <w:semiHidden/>
    <w:rsid w:val="001B789F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10" w:color="000000" w:fill="auto"/>
      <w:tabs>
        <w:tab w:val="left" w:pos="1711"/>
        <w:tab w:val="left" w:pos="2209"/>
        <w:tab w:val="left" w:pos="2760"/>
        <w:tab w:val="left" w:pos="5101"/>
        <w:tab w:val="left" w:pos="5886"/>
        <w:tab w:val="left" w:pos="7128"/>
      </w:tabs>
      <w:ind w:left="272" w:hanging="272"/>
      <w:jc w:val="both"/>
    </w:pPr>
    <w:rPr>
      <w:szCs w:val="22"/>
      <w:lang w:val="fr-FR" w:eastAsia="en-AU"/>
    </w:rPr>
  </w:style>
  <w:style w:type="paragraph" w:customStyle="1" w:styleId="TextEn">
    <w:name w:val="TextEn"/>
    <w:basedOn w:val="Normal"/>
    <w:semiHidden/>
    <w:rsid w:val="001B789F"/>
    <w:pPr>
      <w:spacing w:after="120"/>
    </w:pPr>
    <w:rPr>
      <w:szCs w:val="22"/>
    </w:rPr>
  </w:style>
  <w:style w:type="paragraph" w:customStyle="1" w:styleId="TextEnSingle">
    <w:name w:val="TextEnSingle"/>
    <w:basedOn w:val="TextEn"/>
    <w:semiHidden/>
    <w:rsid w:val="001B789F"/>
    <w:pPr>
      <w:spacing w:after="0"/>
    </w:pPr>
  </w:style>
  <w:style w:type="paragraph" w:customStyle="1" w:styleId="TextSp">
    <w:name w:val="TextSp"/>
    <w:basedOn w:val="Normal"/>
    <w:semiHidden/>
    <w:rsid w:val="001B789F"/>
    <w:pPr>
      <w:spacing w:after="120"/>
    </w:pPr>
    <w:rPr>
      <w:szCs w:val="22"/>
      <w:lang w:val="es-AR" w:eastAsia="es-ES"/>
    </w:rPr>
  </w:style>
  <w:style w:type="paragraph" w:styleId="TDC1">
    <w:name w:val="toc 1"/>
    <w:basedOn w:val="Normal"/>
    <w:next w:val="Normal"/>
    <w:autoRedefine/>
    <w:semiHidden/>
    <w:rsid w:val="001B789F"/>
    <w:rPr>
      <w:b/>
      <w:bCs/>
      <w:i/>
      <w:iCs/>
      <w:sz w:val="24"/>
    </w:rPr>
  </w:style>
  <w:style w:type="paragraph" w:styleId="TDC2">
    <w:name w:val="toc 2"/>
    <w:basedOn w:val="Normal"/>
    <w:next w:val="Normal"/>
    <w:autoRedefine/>
    <w:semiHidden/>
    <w:rsid w:val="001B789F"/>
    <w:pPr>
      <w:ind w:left="220"/>
    </w:pPr>
    <w:rPr>
      <w:b/>
      <w:bCs/>
      <w:szCs w:val="22"/>
    </w:rPr>
  </w:style>
  <w:style w:type="paragraph" w:styleId="TDC3">
    <w:name w:val="toc 3"/>
    <w:basedOn w:val="Normal"/>
    <w:next w:val="Normal"/>
    <w:autoRedefine/>
    <w:semiHidden/>
    <w:rsid w:val="001B789F"/>
    <w:pPr>
      <w:ind w:left="440"/>
    </w:pPr>
    <w:rPr>
      <w:sz w:val="20"/>
      <w:szCs w:val="20"/>
    </w:rPr>
  </w:style>
  <w:style w:type="paragraph" w:styleId="TDC4">
    <w:name w:val="toc 4"/>
    <w:basedOn w:val="Normal"/>
    <w:next w:val="Normal"/>
    <w:autoRedefine/>
    <w:semiHidden/>
    <w:rsid w:val="001B789F"/>
    <w:pPr>
      <w:ind w:left="660"/>
    </w:pPr>
    <w:rPr>
      <w:sz w:val="20"/>
      <w:szCs w:val="20"/>
    </w:rPr>
  </w:style>
  <w:style w:type="paragraph" w:styleId="TDC5">
    <w:name w:val="toc 5"/>
    <w:basedOn w:val="Normal"/>
    <w:next w:val="Normal"/>
    <w:autoRedefine/>
    <w:semiHidden/>
    <w:rsid w:val="001B789F"/>
    <w:pPr>
      <w:ind w:left="880"/>
    </w:pPr>
    <w:rPr>
      <w:sz w:val="20"/>
      <w:szCs w:val="20"/>
    </w:rPr>
  </w:style>
  <w:style w:type="paragraph" w:styleId="TDC6">
    <w:name w:val="toc 6"/>
    <w:basedOn w:val="Normal"/>
    <w:next w:val="Normal"/>
    <w:autoRedefine/>
    <w:semiHidden/>
    <w:rsid w:val="001B789F"/>
    <w:pPr>
      <w:ind w:left="1100"/>
    </w:pPr>
    <w:rPr>
      <w:sz w:val="20"/>
      <w:szCs w:val="20"/>
    </w:rPr>
  </w:style>
  <w:style w:type="paragraph" w:styleId="TDC7">
    <w:name w:val="toc 7"/>
    <w:basedOn w:val="Normal"/>
    <w:next w:val="Normal"/>
    <w:autoRedefine/>
    <w:semiHidden/>
    <w:rsid w:val="001B789F"/>
    <w:pPr>
      <w:ind w:left="1320"/>
    </w:pPr>
    <w:rPr>
      <w:sz w:val="20"/>
      <w:szCs w:val="20"/>
    </w:rPr>
  </w:style>
  <w:style w:type="paragraph" w:styleId="TDC8">
    <w:name w:val="toc 8"/>
    <w:basedOn w:val="Normal"/>
    <w:next w:val="Normal"/>
    <w:autoRedefine/>
    <w:semiHidden/>
    <w:rsid w:val="001B789F"/>
    <w:pPr>
      <w:ind w:left="1540"/>
    </w:pPr>
    <w:rPr>
      <w:sz w:val="20"/>
      <w:szCs w:val="20"/>
    </w:rPr>
  </w:style>
  <w:style w:type="paragraph" w:styleId="TDC9">
    <w:name w:val="toc 9"/>
    <w:basedOn w:val="Normal"/>
    <w:next w:val="Normal"/>
    <w:autoRedefine/>
    <w:semiHidden/>
    <w:rsid w:val="001B789F"/>
    <w:pPr>
      <w:ind w:left="1760"/>
    </w:pPr>
    <w:rPr>
      <w:sz w:val="20"/>
      <w:szCs w:val="20"/>
    </w:rPr>
  </w:style>
  <w:style w:type="paragraph" w:customStyle="1" w:styleId="TytApp">
    <w:name w:val="Tyt. App."/>
    <w:basedOn w:val="Normal"/>
    <w:autoRedefine/>
    <w:semiHidden/>
    <w:rsid w:val="001B789F"/>
    <w:pPr>
      <w:widowControl w:val="0"/>
      <w:numPr>
        <w:ilvl w:val="12"/>
      </w:numPr>
      <w:tabs>
        <w:tab w:val="left" w:pos="90"/>
        <w:tab w:val="left" w:pos="737"/>
        <w:tab w:val="left" w:pos="2835"/>
      </w:tabs>
      <w:spacing w:before="180" w:after="40" w:line="260" w:lineRule="exact"/>
      <w:jc w:val="center"/>
    </w:pPr>
    <w:rPr>
      <w:b/>
      <w:snapToGrid w:val="0"/>
      <w:color w:val="000000"/>
      <w:sz w:val="24"/>
      <w:szCs w:val="20"/>
      <w:lang w:eastAsia="es-ES"/>
    </w:rPr>
  </w:style>
  <w:style w:type="paragraph" w:styleId="Prrafodelista">
    <w:name w:val="List Paragraph"/>
    <w:basedOn w:val="Normal"/>
    <w:uiPriority w:val="34"/>
    <w:rsid w:val="00BF077B"/>
    <w:pPr>
      <w:ind w:left="720"/>
    </w:pPr>
  </w:style>
  <w:style w:type="character" w:styleId="Ttulodellibro">
    <w:name w:val="Book Title"/>
    <w:uiPriority w:val="33"/>
    <w:rsid w:val="00BF077B"/>
    <w:rPr>
      <w:b/>
      <w:bCs/>
      <w:smallCaps/>
      <w:spacing w:val="5"/>
    </w:rPr>
  </w:style>
  <w:style w:type="paragraph" w:customStyle="1" w:styleId="ATSMeasureEmphasis">
    <w:name w:val="ATS Measure Emphasis"/>
    <w:basedOn w:val="Normal"/>
    <w:qFormat/>
    <w:rsid w:val="009E64FE"/>
    <w:pPr>
      <w:spacing w:before="120" w:after="360"/>
    </w:pPr>
    <w:rPr>
      <w:b/>
      <w:sz w:val="24"/>
      <w:lang w:eastAsia="en-GB"/>
    </w:rPr>
  </w:style>
  <w:style w:type="character" w:customStyle="1" w:styleId="ATSHeading2Char">
    <w:name w:val="ATS Heading 2 Char"/>
    <w:link w:val="ATSHeading2"/>
    <w:locked/>
    <w:rsid w:val="00F554D6"/>
    <w:rPr>
      <w:rFonts w:ascii="Arial" w:hAnsi="Arial"/>
      <w:b/>
      <w:i/>
      <w:sz w:val="24"/>
      <w:szCs w:val="22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7D6A62-F981-4292-A123-1E093CC7E4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1753</Words>
  <Characters>9646</Characters>
  <Application>Microsoft Office Word</Application>
  <DocSecurity>0</DocSecurity>
  <Lines>80</Lines>
  <Paragraphs>22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(Paper title:)</vt:lpstr>
      <vt:lpstr>(Paper title:)</vt:lpstr>
    </vt:vector>
  </TitlesOfParts>
  <Company>ATS</Company>
  <LinksUpToDate>false</LinksUpToDate>
  <CharactersWithSpaces>11377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(Paper title:)</dc:title>
  <dc:creator>Mauro</dc:creator>
  <cp:lastModifiedBy>Lepe Zamora Rodrigo</cp:lastModifiedBy>
  <cp:revision>2</cp:revision>
  <cp:lastPrinted>2008-01-22T18:20:00Z</cp:lastPrinted>
  <dcterms:created xsi:type="dcterms:W3CDTF">2026-04-24T12:04:00Z</dcterms:created>
  <dcterms:modified xsi:type="dcterms:W3CDTF">2026-04-24T12:04:00Z</dcterms:modified>
</cp:coreProperties>
</file>