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AF5" w:rsidRDefault="00783AF5" w:rsidP="00783AF5">
      <w:pPr>
        <w:jc w:val="center"/>
      </w:pPr>
    </w:p>
    <w:p w:rsidR="00783AF5" w:rsidRDefault="00783AF5" w:rsidP="00783AF5">
      <w:pPr>
        <w:jc w:val="center"/>
      </w:pPr>
    </w:p>
    <w:p w:rsidR="00B60068" w:rsidRPr="00071197" w:rsidRDefault="00B60068" w:rsidP="00783AF5">
      <w:pPr>
        <w:jc w:val="center"/>
        <w:rPr>
          <w:rStyle w:val="Ttulodellibro"/>
          <w:sz w:val="44"/>
        </w:rPr>
      </w:pPr>
      <w:r w:rsidRPr="00071197">
        <w:rPr>
          <w:rStyle w:val="Ttulodellibro"/>
          <w:sz w:val="44"/>
        </w:rPr>
        <w:t>Trabajo de Investigación: El Transporte Marítimo de Contenedores</w:t>
      </w:r>
    </w:p>
    <w:p w:rsidR="00783AF5" w:rsidRDefault="00673FA7" w:rsidP="00B60068">
      <w:pPr>
        <w:rPr>
          <w:sz w:val="28"/>
          <w:szCs w:val="28"/>
          <w:u w:val="single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1312" behindDoc="0" locked="0" layoutInCell="1" allowOverlap="1" wp14:anchorId="4239962E" wp14:editId="36434970">
            <wp:simplePos x="0" y="0"/>
            <wp:positionH relativeFrom="margin">
              <wp:align>center</wp:align>
            </wp:positionH>
            <wp:positionV relativeFrom="paragraph">
              <wp:posOffset>533788</wp:posOffset>
            </wp:positionV>
            <wp:extent cx="5847080" cy="4060825"/>
            <wp:effectExtent l="152400" t="152400" r="363220" b="358775"/>
            <wp:wrapTopAndBottom/>
            <wp:docPr id="5" name="Imagen 5" descr="Transporte Marítimo En Contenedores - Grupo Marítima Sure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ransporte Marítimo En Contenedores - Grupo Marítima Sures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80" cy="4060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3AF5" w:rsidRDefault="00783AF5" w:rsidP="00B60068">
      <w:pPr>
        <w:rPr>
          <w:sz w:val="28"/>
          <w:szCs w:val="28"/>
          <w:u w:val="single"/>
        </w:rPr>
      </w:pPr>
    </w:p>
    <w:p w:rsidR="00472E8B" w:rsidRPr="00254212" w:rsidRDefault="00472E8B" w:rsidP="00B60068">
      <w:pPr>
        <w:rPr>
          <w:rFonts w:ascii="Arial" w:hAnsi="Arial" w:cs="Arial"/>
          <w:sz w:val="28"/>
          <w:szCs w:val="28"/>
          <w:u w:val="single"/>
        </w:rPr>
      </w:pPr>
    </w:p>
    <w:p w:rsidR="00783AF5" w:rsidRPr="00071197" w:rsidRDefault="00254212" w:rsidP="00071197">
      <w:pPr>
        <w:pStyle w:val="Subttulo"/>
        <w:jc w:val="right"/>
        <w:rPr>
          <w:color w:val="000000" w:themeColor="text1"/>
          <w:sz w:val="24"/>
          <w:szCs w:val="24"/>
        </w:rPr>
      </w:pPr>
      <w:r w:rsidRPr="00071197">
        <w:rPr>
          <w:color w:val="000000" w:themeColor="text1"/>
          <w:sz w:val="24"/>
          <w:szCs w:val="24"/>
        </w:rPr>
        <w:t>Benjamín</w:t>
      </w:r>
      <w:r w:rsidR="00783AF5" w:rsidRPr="00071197">
        <w:rPr>
          <w:color w:val="000000" w:themeColor="text1"/>
          <w:sz w:val="24"/>
          <w:szCs w:val="24"/>
        </w:rPr>
        <w:t xml:space="preserve"> </w:t>
      </w:r>
      <w:r w:rsidRPr="00071197">
        <w:rPr>
          <w:color w:val="000000" w:themeColor="text1"/>
          <w:sz w:val="24"/>
          <w:szCs w:val="24"/>
        </w:rPr>
        <w:t>Ramírez</w:t>
      </w:r>
      <w:r w:rsidR="00783AF5" w:rsidRPr="00071197">
        <w:rPr>
          <w:color w:val="000000" w:themeColor="text1"/>
          <w:sz w:val="24"/>
          <w:szCs w:val="24"/>
        </w:rPr>
        <w:t xml:space="preserve"> Letelier </w:t>
      </w:r>
    </w:p>
    <w:p w:rsidR="00783AF5" w:rsidRPr="00071197" w:rsidRDefault="00783AF5" w:rsidP="00071197">
      <w:pPr>
        <w:pStyle w:val="Subttulo"/>
        <w:jc w:val="right"/>
        <w:rPr>
          <w:color w:val="000000" w:themeColor="text1"/>
          <w:sz w:val="24"/>
          <w:szCs w:val="24"/>
        </w:rPr>
      </w:pPr>
      <w:r w:rsidRPr="00071197">
        <w:rPr>
          <w:color w:val="000000" w:themeColor="text1"/>
          <w:sz w:val="24"/>
          <w:szCs w:val="24"/>
        </w:rPr>
        <w:t>3°Lima</w:t>
      </w:r>
    </w:p>
    <w:p w:rsidR="00783AF5" w:rsidRPr="00071197" w:rsidRDefault="00183FEE" w:rsidP="00071197">
      <w:pPr>
        <w:pStyle w:val="Subttulo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E</w:t>
      </w:r>
      <w:r w:rsidRPr="00071197">
        <w:rPr>
          <w:color w:val="000000" w:themeColor="text1"/>
          <w:sz w:val="24"/>
          <w:szCs w:val="24"/>
        </w:rPr>
        <w:t>stabilidad y estiba</w:t>
      </w:r>
    </w:p>
    <w:p w:rsidR="00783AF5" w:rsidRPr="00254212" w:rsidRDefault="00783AF5" w:rsidP="00B60068">
      <w:pPr>
        <w:rPr>
          <w:rFonts w:ascii="Arial" w:hAnsi="Arial" w:cs="Arial"/>
          <w:sz w:val="28"/>
          <w:szCs w:val="28"/>
          <w:u w:val="single"/>
        </w:rPr>
      </w:pPr>
    </w:p>
    <w:p w:rsidR="00783AF5" w:rsidRDefault="00783AF5" w:rsidP="00B60068">
      <w:pPr>
        <w:rPr>
          <w:sz w:val="28"/>
          <w:szCs w:val="28"/>
          <w:u w:val="single"/>
        </w:rPr>
      </w:pPr>
    </w:p>
    <w:p w:rsidR="00922857" w:rsidRDefault="00B60068" w:rsidP="00922857">
      <w:pPr>
        <w:pStyle w:val="Ttulo2"/>
        <w:rPr>
          <w:rStyle w:val="Referenciaintensa"/>
          <w:sz w:val="32"/>
        </w:rPr>
      </w:pPr>
      <w:r w:rsidRPr="00D2410C">
        <w:rPr>
          <w:rStyle w:val="Referenciaintensa"/>
          <w:sz w:val="32"/>
        </w:rPr>
        <w:lastRenderedPageBreak/>
        <w:t>Origen y Evolución de los Contened</w:t>
      </w:r>
      <w:r w:rsidR="00AB41FD" w:rsidRPr="00D2410C">
        <w:rPr>
          <w:rStyle w:val="Referenciaintensa"/>
          <w:sz w:val="32"/>
        </w:rPr>
        <w:t>ores y Buques Portacontenedores</w:t>
      </w:r>
    </w:p>
    <w:p w:rsidR="00922857" w:rsidRPr="00922857" w:rsidRDefault="00922857" w:rsidP="00922857"/>
    <w:p w:rsidR="00B60068" w:rsidRDefault="00B60068" w:rsidP="008E2C0C">
      <w:pPr>
        <w:jc w:val="both"/>
      </w:pPr>
      <w:r>
        <w:t xml:space="preserve">La idea moderna del contenedor intermodal se le atribuye a </w:t>
      </w:r>
      <w:proofErr w:type="spellStart"/>
      <w:r>
        <w:t>Malcom</w:t>
      </w:r>
      <w:proofErr w:type="spellEnd"/>
      <w:r>
        <w:t xml:space="preserve"> </w:t>
      </w:r>
      <w:proofErr w:type="spellStart"/>
      <w:r>
        <w:t>McLean</w:t>
      </w:r>
      <w:proofErr w:type="spellEnd"/>
      <w:r>
        <w:t>, un camionero estadounidense. En 1956, buscando una forma más eficiente y económica de transportar mercancías sin tener que cargar y descargar repetidamente la carga de los camiones a los barcos, reconvirtió un buque tanquero, el Ideal-X, para que pudiera transportar 58 contenedores en su cubierta. Este hecho marcó</w:t>
      </w:r>
      <w:r w:rsidR="00783AF5">
        <w:t xml:space="preserve"> el</w:t>
      </w:r>
      <w:r w:rsidR="00F27D8F">
        <w:t xml:space="preserve"> inicio de la era del contenedor</w:t>
      </w:r>
      <w:r>
        <w:t>, una revolución que redujo drásticamente los tiempos de estancia en</w:t>
      </w:r>
      <w:r w:rsidR="00922857">
        <w:t xml:space="preserve"> puerto y los costos de transporte</w:t>
      </w:r>
      <w:r>
        <w:t>.</w:t>
      </w:r>
    </w:p>
    <w:p w:rsidR="00B60068" w:rsidRPr="00673FA7" w:rsidRDefault="00B60068" w:rsidP="00673FA7">
      <w:pPr>
        <w:pStyle w:val="Ttulo2"/>
        <w:rPr>
          <w:rStyle w:val="nfasis"/>
          <w:sz w:val="24"/>
        </w:rPr>
      </w:pPr>
      <w:r w:rsidRPr="00673FA7">
        <w:rPr>
          <w:rStyle w:val="nfasis"/>
          <w:sz w:val="24"/>
        </w:rPr>
        <w:t>Evolución de los Buques Portacontenedores:</w:t>
      </w:r>
    </w:p>
    <w:p w:rsidR="00B60068" w:rsidRDefault="00B60068" w:rsidP="008E2C0C">
      <w:pPr>
        <w:jc w:val="both"/>
      </w:pPr>
      <w:r>
        <w:t>Décadas de 1950-1960: Primera generación.</w:t>
      </w:r>
      <w:r w:rsidR="00D334B6">
        <w:t xml:space="preserve"> </w:t>
      </w:r>
      <w:proofErr w:type="spellStart"/>
      <w:r w:rsidR="00D334B6">
        <w:t>Early</w:t>
      </w:r>
      <w:proofErr w:type="spellEnd"/>
      <w:r w:rsidR="00D334B6">
        <w:t xml:space="preserve"> </w:t>
      </w:r>
      <w:proofErr w:type="spellStart"/>
      <w:r w:rsidR="00D334B6">
        <w:t>containerships</w:t>
      </w:r>
      <w:proofErr w:type="spellEnd"/>
      <w:r>
        <w:t xml:space="preserve"> Buques adaptados con capacidad de unos 500-800 TEU. Eran buques modificados, no diseñados desde cero para este fin.</w:t>
      </w:r>
    </w:p>
    <w:p w:rsidR="00B60068" w:rsidRDefault="00B60068" w:rsidP="008E2C0C">
      <w:pPr>
        <w:jc w:val="both"/>
      </w:pPr>
      <w:r>
        <w:t xml:space="preserve">Décadas de 1970-1980: Segunda generación. Se construyen los primeros buques celulares (con guías en las bodegas), diseñados específicamente para contenedores. Aparecen los buques de clase </w:t>
      </w:r>
      <w:proofErr w:type="spellStart"/>
      <w:r>
        <w:t>Panamax</w:t>
      </w:r>
      <w:proofErr w:type="spellEnd"/>
      <w:r>
        <w:t xml:space="preserve"> (hasta 5,000 TEU), que eran los más grandes que podían cruzar el Canal de Panamá.</w:t>
      </w:r>
    </w:p>
    <w:p w:rsidR="00B60068" w:rsidRDefault="00B60068" w:rsidP="008E2C0C">
      <w:pPr>
        <w:jc w:val="both"/>
      </w:pPr>
      <w:r>
        <w:t>Décadas de 1990-2000: Tercera generación. Surgen los Post-</w:t>
      </w:r>
      <w:proofErr w:type="spellStart"/>
      <w:r>
        <w:t>Panamax</w:t>
      </w:r>
      <w:proofErr w:type="spellEnd"/>
      <w:r>
        <w:t xml:space="preserve"> (más de 5,000 TEU), con un ancho mayor. La capacidad no dejó de crecer, llegando a buques de más de 10,000 TEU.</w:t>
      </w:r>
      <w:bookmarkStart w:id="0" w:name="_GoBack"/>
      <w:bookmarkEnd w:id="0"/>
    </w:p>
    <w:p w:rsidR="00673FA7" w:rsidRPr="00673FA7" w:rsidRDefault="00472E8B" w:rsidP="008E2C0C">
      <w:pPr>
        <w:jc w:val="both"/>
      </w:pPr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265DD8C" wp14:editId="68F106EB">
                <wp:simplePos x="0" y="0"/>
                <wp:positionH relativeFrom="margin">
                  <wp:posOffset>3959874</wp:posOffset>
                </wp:positionH>
                <wp:positionV relativeFrom="paragraph">
                  <wp:posOffset>1123477</wp:posOffset>
                </wp:positionV>
                <wp:extent cx="1221740" cy="2795905"/>
                <wp:effectExtent l="0" t="0" r="16510" b="2349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740" cy="27959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B6" w:rsidRPr="00D334B6" w:rsidRDefault="00D334B6">
                            <w:pPr>
                              <w:rPr>
                                <w:b/>
                                <w:i/>
                              </w:rPr>
                            </w:pPr>
                            <w:r w:rsidRPr="00D334B6">
                              <w:rPr>
                                <w:b/>
                                <w:i/>
                              </w:rPr>
                              <w:t>En la presente imagen se puede identificar la evolución de cada generación de contenedores y como su capacidad fue ampliamente mayor con el pasar de los años.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65DD8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11.8pt;margin-top:88.45pt;width:96.2pt;height:220.1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B9NRgIAAMkEAAAOAAAAZHJzL2Uyb0RvYy54bWysVNuO0zAQfUfiHyy/s2mjlqXRpqulCwhp&#10;uYiFD5j60libeILtNilfv2MnzVaA9gHxYtmZOWfO3HJ13Tc1OyjnDdqSzy9mnCkrUBq7K/mP7+9f&#10;veHMB7ASarSq5Efl+fX65Yurri1UjhXWUjlGJNYXXVvyKoS2yDIvKtWAv8BWWTJqdA0EerpdJh10&#10;xN7UWT6bvc46dLJ1KJT39PV2MPJ14tdaifBFa68Cq0tO2kI6XTq38czWV1DsHLSVEaMM+AcVDRhL&#10;QSeqWwjA9s78QdUY4dCjDhcCmwy1NkKlHCib+ey3bO4raFXKhYrj26lM/v/Ris+Hr44ZWfJ8fsmZ&#10;hYaatNmDdMikYkH1AVkey9S1viDv+5b8Q/8We2p3Stm3dygePLO4qcDu1I1z2FUKJMmcR2R2Bh14&#10;fCTZdp9QUjTYB0xEvXZNrCFVhRE7tes4tYh0MBFD5qRzQSZBtvxytVzNlikGFCd463z4oLBh8VJy&#10;RzOQ6OFw50OUA8XJJUarbTyj3ndWpnEIYOrhTq7RnBKImkf14VirAfpNaSreUyni2KpN7dgBaOBA&#10;CGXDUIPIRN4Rpk1dT8B8qOFzwNE/QlUa6Qk8NuA58IRIkdGGCdwYi+5v0eXDSbIe/E8VGPKO3Qz9&#10;th9nYovySN10OOwW/QvoUqH7xVlHe1Vy/3MPTnFWf7Q0Eav5IrYvpMdieZnTw51btucWsIKoSh44&#10;G66bkJY3JmPxhiZHm9TTKGpQMoqlfUmtHnc7LuT5O3k9/YHWjwAAAP//AwBQSwMEFAAGAAgAAAAh&#10;ACCsNJXdAAAACwEAAA8AAABkcnMvZG93bnJldi54bWxMj8tOwzAQRfdI/IM1SOyokyDcNsSpEKKb&#10;7iivrRsPcSAeR7HbpH/PsILl6B7dObfazL4XJxxjF0hDvshAIDXBdtRqeH3Z3qxAxGTImj4Qajhj&#10;hE19eVGZ0oaJnvG0T63gEoql0eBSGkopY+PQm7gIAxJnn2H0JvE5ttKOZuJy38siy5T0piP+4MyA&#10;jw6b7/3Ra5jWbyp9fJ3Hrbuj3XvR2qddTFpfX80P9yASzukPhl99VoeanQ7hSDaKXoMqbhWjHCzV&#10;GgQTq1zxugNH+bIAWVfy/4b6BwAA//8DAFBLAQItABQABgAIAAAAIQC2gziS/gAAAOEBAAATAAAA&#10;AAAAAAAAAAAAAAAAAABbQ29udGVudF9UeXBlc10ueG1sUEsBAi0AFAAGAAgAAAAhADj9If/WAAAA&#10;lAEAAAsAAAAAAAAAAAAAAAAALwEAAF9yZWxzLy5yZWxzUEsBAi0AFAAGAAgAAAAhAIH4H01GAgAA&#10;yQQAAA4AAAAAAAAAAAAAAAAALgIAAGRycy9lMm9Eb2MueG1sUEsBAi0AFAAGAAgAAAAhACCsNJXd&#10;AAAACwEAAA8AAAAAAAAAAAAAAAAAoAQAAGRycy9kb3ducmV2LnhtbFBLBQYAAAAABAAEAPMAAACq&#10;BQAAAAA=&#10;" fillcolor="#6dcaed [2068]" strokecolor="#1cade4 [3204]">
                <v:fill color2="#2eb3e6 [2964]" rotate="t" focus="100%" type="gradient">
                  <o:fill v:ext="view" type="gradientUnscaled"/>
                </v:fill>
                <v:stroke endcap="round"/>
                <v:textbox>
                  <w:txbxContent>
                    <w:p w:rsidR="00D334B6" w:rsidRPr="00D334B6" w:rsidRDefault="00D334B6">
                      <w:pPr>
                        <w:rPr>
                          <w:b/>
                          <w:i/>
                        </w:rPr>
                      </w:pPr>
                      <w:r w:rsidRPr="00D334B6">
                        <w:rPr>
                          <w:b/>
                          <w:i/>
                        </w:rPr>
                        <w:t>En la presente imagen se puede identificar la evolución de cada generación de contenedores y como su capacidad fue ampliamente mayor con el pasar de los años.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s-ES" w:eastAsia="es-ES"/>
        </w:rPr>
        <w:drawing>
          <wp:anchor distT="0" distB="0" distL="114300" distR="114300" simplePos="0" relativeHeight="251664384" behindDoc="0" locked="0" layoutInCell="1" allowOverlap="1" wp14:anchorId="61E4E052" wp14:editId="247E9C0F">
            <wp:simplePos x="0" y="0"/>
            <wp:positionH relativeFrom="margin">
              <wp:posOffset>322935</wp:posOffset>
            </wp:positionH>
            <wp:positionV relativeFrom="paragraph">
              <wp:posOffset>1120243</wp:posOffset>
            </wp:positionV>
            <wp:extent cx="3266440" cy="2816860"/>
            <wp:effectExtent l="190500" t="190500" r="181610" b="193040"/>
            <wp:wrapTopAndBottom/>
            <wp:docPr id="9" name="Imagen 9" descr="https://revistamarina.cl/storage/app/media/container%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revistamarina.cl/storage/app/media/container%2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440" cy="2816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212">
        <w:t>2013</w:t>
      </w:r>
      <w:r w:rsidR="00B60068">
        <w:t xml:space="preserve">-Presente: Cuarta generación. Los Ultra </w:t>
      </w:r>
      <w:proofErr w:type="spellStart"/>
      <w:r w:rsidR="00B60068">
        <w:t>Large</w:t>
      </w:r>
      <w:proofErr w:type="spellEnd"/>
      <w:r w:rsidR="00B60068">
        <w:t xml:space="preserve"> </w:t>
      </w:r>
      <w:proofErr w:type="spellStart"/>
      <w:r w:rsidR="00B60068">
        <w:t>Container</w:t>
      </w:r>
      <w:proofErr w:type="spellEnd"/>
      <w:r w:rsidR="00B60068">
        <w:t xml:space="preserve"> </w:t>
      </w:r>
      <w:proofErr w:type="spellStart"/>
      <w:r w:rsidR="00B60068">
        <w:t>Vessels</w:t>
      </w:r>
      <w:proofErr w:type="spellEnd"/>
      <w:r w:rsidR="00B60068">
        <w:t xml:space="preserve"> (ULCV) o clase Triple E (como los de </w:t>
      </w:r>
      <w:proofErr w:type="spellStart"/>
      <w:r w:rsidR="00B60068">
        <w:t>Maersk</w:t>
      </w:r>
      <w:proofErr w:type="spellEnd"/>
      <w:r w:rsidR="00B60068">
        <w:t>), con capacidades que supera</w:t>
      </w:r>
      <w:r w:rsidR="00F27D8F">
        <w:t>n los 24,000 TEU. Estos buques</w:t>
      </w:r>
      <w:r w:rsidR="00D334B6">
        <w:t xml:space="preserve"> </w:t>
      </w:r>
      <w:r w:rsidR="00B60068">
        <w:t>optimizan el consumo de combustible y reducen</w:t>
      </w:r>
      <w:r w:rsidR="00922857">
        <w:t xml:space="preserve"> </w:t>
      </w:r>
      <w:r w:rsidR="00B60068">
        <w:t>las emisiones por contenedor transportado, pero requieren puertos con profundidades y grúas especializadas.</w:t>
      </w:r>
    </w:p>
    <w:p w:rsidR="00B60068" w:rsidRPr="00922857" w:rsidRDefault="00B60068" w:rsidP="00673FA7">
      <w:pPr>
        <w:pStyle w:val="Ttulo2"/>
        <w:rPr>
          <w:rStyle w:val="Referenciaintensa"/>
          <w:sz w:val="32"/>
        </w:rPr>
      </w:pPr>
      <w:r w:rsidRPr="00922857">
        <w:rPr>
          <w:rStyle w:val="Referenciaintensa"/>
          <w:sz w:val="32"/>
        </w:rPr>
        <w:lastRenderedPageBreak/>
        <w:t>Tipos de Contenedores y sus Usos</w:t>
      </w:r>
    </w:p>
    <w:p w:rsidR="00783AF5" w:rsidRPr="00922857" w:rsidRDefault="00B60068" w:rsidP="00673FA7">
      <w:pPr>
        <w:jc w:val="both"/>
        <w:rPr>
          <w:sz w:val="20"/>
        </w:rPr>
      </w:pPr>
      <w:r w:rsidRPr="00922857">
        <w:rPr>
          <w:sz w:val="20"/>
        </w:rPr>
        <w:t>Existe una variedad de contenedores diseñados para tipos específicos de</w:t>
      </w:r>
      <w:r w:rsidR="00783AF5" w:rsidRPr="00922857">
        <w:rPr>
          <w:sz w:val="20"/>
        </w:rPr>
        <w:t xml:space="preserve"> carga a </w:t>
      </w:r>
      <w:r w:rsidR="00673FA7" w:rsidRPr="00922857">
        <w:rPr>
          <w:sz w:val="20"/>
        </w:rPr>
        <w:t>continuación</w:t>
      </w:r>
      <w:r w:rsidR="00783AF5" w:rsidRPr="00922857">
        <w:rPr>
          <w:sz w:val="20"/>
        </w:rPr>
        <w:t xml:space="preserve"> este listado menciona la gran mayoría de contenedores existentes en el comercio marítimo</w:t>
      </w:r>
      <w:r w:rsidR="00D334B6" w:rsidRPr="00922857">
        <w:rPr>
          <w:sz w:val="20"/>
        </w:rPr>
        <w:t xml:space="preserve"> y su uso en particular</w:t>
      </w:r>
      <w:r w:rsidR="00783AF5" w:rsidRPr="00922857">
        <w:rPr>
          <w:sz w:val="20"/>
        </w:rPr>
        <w:t>:</w:t>
      </w:r>
    </w:p>
    <w:p w:rsidR="00B60068" w:rsidRPr="00D2410C" w:rsidRDefault="00783AF5" w:rsidP="00673FA7">
      <w:pPr>
        <w:jc w:val="both"/>
        <w:rPr>
          <w:sz w:val="20"/>
        </w:rPr>
      </w:pPr>
      <w:proofErr w:type="spellStart"/>
      <w:r w:rsidRPr="00D2410C">
        <w:rPr>
          <w:b/>
          <w:sz w:val="20"/>
        </w:rPr>
        <w:t>Dry</w:t>
      </w:r>
      <w:proofErr w:type="spellEnd"/>
      <w:r w:rsidRPr="00D2410C">
        <w:rPr>
          <w:b/>
          <w:sz w:val="20"/>
        </w:rPr>
        <w:t xml:space="preserve"> Van / High Cube</w:t>
      </w:r>
      <w:r w:rsidRPr="00D2410C">
        <w:rPr>
          <w:sz w:val="20"/>
        </w:rPr>
        <w:t xml:space="preserve">: </w:t>
      </w:r>
      <w:r w:rsidR="00B60068" w:rsidRPr="00D2410C">
        <w:rPr>
          <w:sz w:val="20"/>
        </w:rPr>
        <w:t xml:space="preserve">Contenedor estándar cerrado, para carga seca general (cajas, </w:t>
      </w:r>
      <w:proofErr w:type="spellStart"/>
      <w:r w:rsidR="00B60068" w:rsidRPr="00D2410C">
        <w:rPr>
          <w:sz w:val="20"/>
        </w:rPr>
        <w:t>palets</w:t>
      </w:r>
      <w:proofErr w:type="spellEnd"/>
      <w:r w:rsidR="00B60068" w:rsidRPr="00D2410C">
        <w:rPr>
          <w:sz w:val="20"/>
        </w:rPr>
        <w:t>, bolsas). El "High Cube</w:t>
      </w:r>
      <w:r w:rsidR="00E90433" w:rsidRPr="00D2410C">
        <w:rPr>
          <w:sz w:val="20"/>
        </w:rPr>
        <w:t xml:space="preserve">" (HC) es 1 pie más alto </w:t>
      </w:r>
      <w:r w:rsidR="00B60068" w:rsidRPr="00D2410C">
        <w:rPr>
          <w:sz w:val="20"/>
        </w:rPr>
        <w:t xml:space="preserve">que el estándar </w:t>
      </w:r>
      <w:r w:rsidR="00E90433" w:rsidRPr="00D2410C">
        <w:rPr>
          <w:sz w:val="20"/>
        </w:rPr>
        <w:t>es de 8,5 pies</w:t>
      </w:r>
      <w:r w:rsidR="00B60068" w:rsidRPr="00D2410C">
        <w:rPr>
          <w:sz w:val="20"/>
        </w:rPr>
        <w:t>, ofreciendo mayor capacidad cúbica.</w:t>
      </w:r>
    </w:p>
    <w:p w:rsidR="00B60068" w:rsidRPr="00D2410C" w:rsidRDefault="00783AF5" w:rsidP="00673FA7">
      <w:pPr>
        <w:jc w:val="both"/>
        <w:rPr>
          <w:sz w:val="20"/>
        </w:rPr>
      </w:pPr>
      <w:r w:rsidRPr="00D2410C">
        <w:rPr>
          <w:b/>
          <w:sz w:val="20"/>
        </w:rPr>
        <w:t>Open Top:</w:t>
      </w:r>
      <w:r w:rsidRPr="00D2410C">
        <w:rPr>
          <w:sz w:val="20"/>
        </w:rPr>
        <w:t xml:space="preserve"> </w:t>
      </w:r>
      <w:r w:rsidR="00B60068" w:rsidRPr="00D2410C">
        <w:rPr>
          <w:sz w:val="20"/>
        </w:rPr>
        <w:t>Carece de techo fijo, que es reemplazado por una lona. Ideal para carga de dimensiones excepcionales que deben ser cargadas desde arriba (por grúa) o que sobresalen.</w:t>
      </w:r>
    </w:p>
    <w:p w:rsidR="00B60068" w:rsidRPr="00D2410C" w:rsidRDefault="00B60068" w:rsidP="00673FA7">
      <w:pPr>
        <w:jc w:val="both"/>
        <w:rPr>
          <w:sz w:val="20"/>
        </w:rPr>
      </w:pPr>
      <w:r w:rsidRPr="00D2410C">
        <w:rPr>
          <w:b/>
          <w:sz w:val="20"/>
        </w:rPr>
        <w:t>Flat R</w:t>
      </w:r>
      <w:r w:rsidR="002235FC" w:rsidRPr="00D2410C">
        <w:rPr>
          <w:b/>
          <w:sz w:val="20"/>
        </w:rPr>
        <w:t>ack:</w:t>
      </w:r>
      <w:r w:rsidR="002235FC" w:rsidRPr="00D2410C">
        <w:rPr>
          <w:sz w:val="20"/>
        </w:rPr>
        <w:t xml:space="preserve"> </w:t>
      </w:r>
      <w:r w:rsidRPr="00D2410C">
        <w:rPr>
          <w:sz w:val="20"/>
        </w:rPr>
        <w:t>Sin paredes laterales y, a veces, sin frontales. Se usa para carga pesada, maquinaria,</w:t>
      </w:r>
      <w:r w:rsidR="00254212" w:rsidRPr="00D2410C">
        <w:rPr>
          <w:sz w:val="20"/>
        </w:rPr>
        <w:t xml:space="preserve"> </w:t>
      </w:r>
      <w:r w:rsidRPr="00D2410C">
        <w:rPr>
          <w:sz w:val="20"/>
        </w:rPr>
        <w:t xml:space="preserve"> vehículos o mercancías de dimensiones no estándar.</w:t>
      </w:r>
    </w:p>
    <w:p w:rsidR="00B60068" w:rsidRPr="00D2410C" w:rsidRDefault="002235FC" w:rsidP="00673FA7">
      <w:pPr>
        <w:jc w:val="both"/>
        <w:rPr>
          <w:sz w:val="20"/>
        </w:rPr>
      </w:pPr>
      <w:proofErr w:type="spellStart"/>
      <w:r w:rsidRPr="00D2410C">
        <w:rPr>
          <w:b/>
          <w:sz w:val="20"/>
        </w:rPr>
        <w:t>Reefer</w:t>
      </w:r>
      <w:proofErr w:type="spellEnd"/>
      <w:r w:rsidRPr="00D2410C">
        <w:rPr>
          <w:b/>
          <w:sz w:val="20"/>
        </w:rPr>
        <w:t>:</w:t>
      </w:r>
      <w:r w:rsidRPr="00D2410C">
        <w:rPr>
          <w:sz w:val="20"/>
        </w:rPr>
        <w:t xml:space="preserve"> </w:t>
      </w:r>
      <w:r w:rsidR="00B60068" w:rsidRPr="00D2410C">
        <w:rPr>
          <w:sz w:val="20"/>
        </w:rPr>
        <w:t>Contenedor refrigerado con un sistema de control de temperatura integrado. Esencial para transportar productos perecederos (alimentos, medicamentos) a temperatura constante, a menudo bajo cero.</w:t>
      </w:r>
    </w:p>
    <w:p w:rsidR="00B60068" w:rsidRPr="00D2410C" w:rsidRDefault="00254212" w:rsidP="00673FA7">
      <w:pPr>
        <w:jc w:val="both"/>
        <w:rPr>
          <w:sz w:val="20"/>
        </w:rPr>
      </w:pPr>
      <w:r w:rsidRPr="00D2410C">
        <w:rPr>
          <w:b/>
          <w:sz w:val="20"/>
        </w:rPr>
        <w:t xml:space="preserve">Contenedor </w:t>
      </w:r>
      <w:proofErr w:type="spellStart"/>
      <w:r w:rsidRPr="00D2410C">
        <w:rPr>
          <w:b/>
          <w:sz w:val="20"/>
        </w:rPr>
        <w:t>Tank</w:t>
      </w:r>
      <w:proofErr w:type="spellEnd"/>
      <w:r w:rsidR="002235FC" w:rsidRPr="00D2410C">
        <w:rPr>
          <w:b/>
          <w:sz w:val="20"/>
        </w:rPr>
        <w:t>:</w:t>
      </w:r>
      <w:r w:rsidR="002235FC" w:rsidRPr="00D2410C">
        <w:rPr>
          <w:sz w:val="20"/>
        </w:rPr>
        <w:t xml:space="preserve"> </w:t>
      </w:r>
      <w:r w:rsidR="00B60068" w:rsidRPr="00D2410C">
        <w:rPr>
          <w:sz w:val="20"/>
        </w:rPr>
        <w:t>Diseñado para transportar líquidos o gases a granel (productos químicos, alimentos líquidos, combustibles). Tiene la estructura de un contenedor de 20 pies con un tanque en su interior.</w:t>
      </w:r>
    </w:p>
    <w:p w:rsidR="00673FA7" w:rsidRPr="00D2410C" w:rsidRDefault="002235FC" w:rsidP="00673FA7">
      <w:pPr>
        <w:jc w:val="both"/>
        <w:rPr>
          <w:sz w:val="20"/>
        </w:rPr>
      </w:pPr>
      <w:r w:rsidRPr="00D2410C">
        <w:rPr>
          <w:b/>
          <w:sz w:val="20"/>
        </w:rPr>
        <w:t>Pallet Wide:</w:t>
      </w:r>
      <w:r w:rsidRPr="00D2410C">
        <w:rPr>
          <w:sz w:val="20"/>
        </w:rPr>
        <w:t xml:space="preserve"> </w:t>
      </w:r>
      <w:r w:rsidR="00B60068" w:rsidRPr="00D2410C">
        <w:rPr>
          <w:sz w:val="20"/>
        </w:rPr>
        <w:t xml:space="preserve">Ligeramente más ancho que el contenedor estándar, permitiendo acomodar </w:t>
      </w:r>
      <w:proofErr w:type="spellStart"/>
      <w:r w:rsidR="00B60068" w:rsidRPr="00D2410C">
        <w:rPr>
          <w:sz w:val="20"/>
        </w:rPr>
        <w:t>palets</w:t>
      </w:r>
      <w:proofErr w:type="spellEnd"/>
      <w:r w:rsidR="00B60068" w:rsidRPr="00D2410C">
        <w:rPr>
          <w:sz w:val="20"/>
        </w:rPr>
        <w:t xml:space="preserve"> europeos de forma más eficiente, m</w:t>
      </w:r>
      <w:r w:rsidR="00673FA7" w:rsidRPr="00D2410C">
        <w:rPr>
          <w:sz w:val="20"/>
        </w:rPr>
        <w:t>aximizando el espacio interior.</w:t>
      </w:r>
    </w:p>
    <w:p w:rsidR="00B60068" w:rsidRPr="00D2410C" w:rsidRDefault="002235FC" w:rsidP="00673FA7">
      <w:pPr>
        <w:jc w:val="both"/>
        <w:rPr>
          <w:sz w:val="20"/>
        </w:rPr>
      </w:pPr>
      <w:r w:rsidRPr="00D2410C">
        <w:rPr>
          <w:b/>
          <w:sz w:val="20"/>
        </w:rPr>
        <w:t xml:space="preserve">Jaula (o </w:t>
      </w:r>
      <w:proofErr w:type="spellStart"/>
      <w:r w:rsidRPr="00D2410C">
        <w:rPr>
          <w:b/>
          <w:sz w:val="20"/>
        </w:rPr>
        <w:t>Platform</w:t>
      </w:r>
      <w:proofErr w:type="spellEnd"/>
      <w:r w:rsidRPr="00D2410C">
        <w:rPr>
          <w:b/>
          <w:sz w:val="20"/>
        </w:rPr>
        <w:t>):</w:t>
      </w:r>
      <w:r w:rsidRPr="00D2410C">
        <w:rPr>
          <w:sz w:val="20"/>
        </w:rPr>
        <w:t xml:space="preserve"> </w:t>
      </w:r>
      <w:r w:rsidR="00B60068" w:rsidRPr="00D2410C">
        <w:rPr>
          <w:sz w:val="20"/>
        </w:rPr>
        <w:t xml:space="preserve">De estructura abierta con laterales de malla. Originalmente para </w:t>
      </w:r>
      <w:r w:rsidR="008E2C0C" w:rsidRPr="00D2410C">
        <w:rPr>
          <w:sz w:val="20"/>
        </w:rPr>
        <w:t xml:space="preserve"> </w:t>
      </w:r>
      <w:r w:rsidR="00B60068" w:rsidRPr="00D2410C">
        <w:rPr>
          <w:sz w:val="20"/>
        </w:rPr>
        <w:t>plátanos, ahora se usa para chatarra, madera o cualquier carga que necesite ventilación y fácil acceso.</w:t>
      </w:r>
    </w:p>
    <w:p w:rsidR="00254212" w:rsidRPr="00673FA7" w:rsidRDefault="00254212" w:rsidP="00D2410C">
      <w:pPr>
        <w:pStyle w:val="Ttulo4"/>
      </w:pPr>
      <w:r w:rsidRPr="00673FA7">
        <w:t>Imagen referencial de cada tipo de contenedor:</w:t>
      </w:r>
    </w:p>
    <w:p w:rsidR="00254212" w:rsidRDefault="00D2410C" w:rsidP="008E2C0C">
      <w:pPr>
        <w:jc w:val="both"/>
      </w:pPr>
      <w:r w:rsidRPr="00673FA7">
        <w:rPr>
          <w:noProof/>
          <w:lang w:val="es-ES" w:eastAsia="es-ES"/>
        </w:rPr>
        <w:drawing>
          <wp:anchor distT="0" distB="0" distL="114300" distR="114300" simplePos="0" relativeHeight="251663360" behindDoc="0" locked="0" layoutInCell="1" allowOverlap="1" wp14:anchorId="5E7BFAD3" wp14:editId="55526876">
            <wp:simplePos x="0" y="0"/>
            <wp:positionH relativeFrom="margin">
              <wp:align>center</wp:align>
            </wp:positionH>
            <wp:positionV relativeFrom="paragraph">
              <wp:posOffset>179070</wp:posOffset>
            </wp:positionV>
            <wp:extent cx="5283200" cy="2879090"/>
            <wp:effectExtent l="19050" t="0" r="12700" b="835660"/>
            <wp:wrapTopAndBottom/>
            <wp:docPr id="8" name="Imagen 8" descr="Tipos de Contenedores y Todas sus Dimensiones | iContain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ipos de Contenedores y Todas sus Dimensiones | iContaine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28790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2857" w:rsidRDefault="00B60068" w:rsidP="008E2C0C">
      <w:pPr>
        <w:jc w:val="both"/>
        <w:rPr>
          <w:rStyle w:val="Referenciaintensa"/>
        </w:rPr>
      </w:pPr>
      <w:r w:rsidRPr="00673FA7">
        <w:rPr>
          <w:rStyle w:val="Referenciaintensa"/>
          <w:sz w:val="32"/>
        </w:rPr>
        <w:lastRenderedPageBreak/>
        <w:t>Identificación de un Contenedor</w:t>
      </w:r>
    </w:p>
    <w:p w:rsidR="00B60068" w:rsidRPr="00922857" w:rsidRDefault="00B60068" w:rsidP="008E2C0C">
      <w:pPr>
        <w:jc w:val="both"/>
        <w:rPr>
          <w:b/>
          <w:bCs/>
          <w:smallCaps/>
          <w:color w:val="1CADE4" w:themeColor="accent1"/>
          <w:spacing w:val="5"/>
        </w:rPr>
      </w:pPr>
      <w:r>
        <w:t xml:space="preserve">Cada contenedor tiene una identificación única mediante un código alfanumérico de 11 dígitos, como se muestra </w:t>
      </w:r>
      <w:r w:rsidR="00922857">
        <w:t>en la imagen: BICU-123456-7</w:t>
      </w:r>
    </w:p>
    <w:p w:rsidR="00B60068" w:rsidRDefault="00B60068" w:rsidP="008E2C0C">
      <w:pPr>
        <w:jc w:val="both"/>
      </w:pPr>
      <w:r>
        <w:t>Primeras 3 letras (Código del propietario): Identifican a la co</w:t>
      </w:r>
      <w:r w:rsidR="00D2410C">
        <w:t>mpañía propietaria (</w:t>
      </w:r>
      <w:proofErr w:type="spellStart"/>
      <w:r w:rsidR="00D2410C">
        <w:t>ej</w:t>
      </w:r>
      <w:proofErr w:type="spellEnd"/>
      <w:r w:rsidR="00D2410C">
        <w:t>: "B</w:t>
      </w:r>
      <w:r w:rsidR="00922857">
        <w:t>IC</w:t>
      </w:r>
      <w:r w:rsidR="002235FC">
        <w:t>").</w:t>
      </w:r>
    </w:p>
    <w:p w:rsidR="00B60068" w:rsidRDefault="00EC011D" w:rsidP="008E2C0C">
      <w:pPr>
        <w:jc w:val="both"/>
      </w:pPr>
      <w:r>
        <w:rPr>
          <w:noProof/>
          <w:lang w:val="es-ES" w:eastAsia="es-ES"/>
        </w:rPr>
        <w:drawing>
          <wp:anchor distT="0" distB="0" distL="114300" distR="114300" simplePos="0" relativeHeight="251662336" behindDoc="0" locked="0" layoutInCell="1" allowOverlap="1" wp14:anchorId="72C5031A" wp14:editId="0B14F0AA">
            <wp:simplePos x="0" y="0"/>
            <wp:positionH relativeFrom="margin">
              <wp:posOffset>2481580</wp:posOffset>
            </wp:positionH>
            <wp:positionV relativeFrom="paragraph">
              <wp:posOffset>317500</wp:posOffset>
            </wp:positionV>
            <wp:extent cx="2923540" cy="1499870"/>
            <wp:effectExtent l="0" t="0" r="0" b="5080"/>
            <wp:wrapSquare wrapText="bothSides"/>
            <wp:docPr id="7" name="Imagen 7" descr="Números de contenedores marítim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úmeros de contenedores marítimo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212">
        <w:t>4ta</w:t>
      </w:r>
      <w:r w:rsidR="00B60068">
        <w:t xml:space="preserve"> letra (Identificador de categoría de equipo): Indica el tipo de contenedor (</w:t>
      </w:r>
      <w:proofErr w:type="spellStart"/>
      <w:r w:rsidR="00B60068">
        <w:t>ej</w:t>
      </w:r>
      <w:proofErr w:type="spellEnd"/>
      <w:r w:rsidR="00B60068">
        <w:t>: "U" para contenedor de carga se</w:t>
      </w:r>
      <w:r w:rsidR="002235FC">
        <w:t>ca).</w:t>
      </w:r>
    </w:p>
    <w:p w:rsidR="00B60068" w:rsidRDefault="00B60068" w:rsidP="008E2C0C">
      <w:pPr>
        <w:jc w:val="both"/>
      </w:pPr>
      <w:r>
        <w:t>6 dígitos siguientes (Número de serie): Número úni</w:t>
      </w:r>
      <w:r w:rsidR="002235FC">
        <w:t>co asignado por el propietario</w:t>
      </w:r>
      <w:proofErr w:type="gramStart"/>
      <w:r w:rsidR="002235FC">
        <w:t>.</w:t>
      </w:r>
      <w:r w:rsidR="00922857">
        <w:t>(</w:t>
      </w:r>
      <w:proofErr w:type="gramEnd"/>
      <w:r w:rsidR="00922857">
        <w:t>ej:123456)</w:t>
      </w:r>
    </w:p>
    <w:p w:rsidR="00254212" w:rsidRDefault="00B60068" w:rsidP="008E2C0C">
      <w:pPr>
        <w:jc w:val="both"/>
      </w:pPr>
      <w:r>
        <w:t>Último dígito (Dígito de control): Se calcula mediante un algoritmo matemático para verificar que el código anterior es correcto y evit</w:t>
      </w:r>
      <w:r w:rsidR="002235FC">
        <w:t>ar errores en la documentación</w:t>
      </w:r>
      <w:r w:rsidR="00922857">
        <w:t xml:space="preserve"> (</w:t>
      </w:r>
      <w:proofErr w:type="spellStart"/>
      <w:r w:rsidR="00922857">
        <w:t>ej</w:t>
      </w:r>
      <w:proofErr w:type="spellEnd"/>
      <w:r w:rsidR="00922857">
        <w:t>: 7)</w:t>
      </w:r>
      <w:r w:rsidR="002235FC">
        <w:t>.</w:t>
      </w:r>
    </w:p>
    <w:p w:rsidR="00B60068" w:rsidRPr="00673FA7" w:rsidRDefault="00B60068" w:rsidP="008E2C0C">
      <w:pPr>
        <w:jc w:val="both"/>
        <w:rPr>
          <w:rStyle w:val="Referenciaintensa"/>
          <w:sz w:val="32"/>
        </w:rPr>
      </w:pPr>
      <w:r w:rsidRPr="00673FA7">
        <w:rPr>
          <w:rStyle w:val="Referenciaintensa"/>
          <w:sz w:val="32"/>
        </w:rPr>
        <w:t>Asegu</w:t>
      </w:r>
      <w:r w:rsidR="00AB41FD" w:rsidRPr="00673FA7">
        <w:rPr>
          <w:rStyle w:val="Referenciaintensa"/>
          <w:sz w:val="32"/>
        </w:rPr>
        <w:t>ramiento o trinca de los contenedores a b</w:t>
      </w:r>
      <w:r w:rsidRPr="00673FA7">
        <w:rPr>
          <w:rStyle w:val="Referenciaintensa"/>
          <w:sz w:val="32"/>
        </w:rPr>
        <w:t>ordo</w:t>
      </w:r>
    </w:p>
    <w:p w:rsidR="00B60068" w:rsidRDefault="00B60068" w:rsidP="008E2C0C">
      <w:pPr>
        <w:jc w:val="both"/>
      </w:pPr>
      <w:r>
        <w:t xml:space="preserve">El aseguramiento </w:t>
      </w:r>
      <w:r w:rsidR="00B131A6">
        <w:t>o trinca dependerá siempre</w:t>
      </w:r>
      <w:r>
        <w:t xml:space="preserve"> de si el contenedo</w:t>
      </w:r>
      <w:r w:rsidR="00AB41FD">
        <w:t>r está en bodega o en cubierta siendo estas las únicas dos variables en el transporte de contenedores.</w:t>
      </w:r>
    </w:p>
    <w:p w:rsidR="00B60068" w:rsidRPr="00AB41FD" w:rsidRDefault="00B60068" w:rsidP="008E2C0C">
      <w:pPr>
        <w:jc w:val="both"/>
        <w:rPr>
          <w:b/>
          <w:i/>
          <w:sz w:val="24"/>
        </w:rPr>
      </w:pPr>
      <w:r w:rsidRPr="00AB41FD">
        <w:rPr>
          <w:b/>
          <w:i/>
          <w:sz w:val="24"/>
        </w:rPr>
        <w:t>Sistema e</w:t>
      </w:r>
      <w:r w:rsidR="002235FC" w:rsidRPr="00AB41FD">
        <w:rPr>
          <w:b/>
          <w:i/>
          <w:sz w:val="24"/>
        </w:rPr>
        <w:t>n Bodega (con Guías Celulares):</w:t>
      </w:r>
    </w:p>
    <w:p w:rsidR="00B60068" w:rsidRDefault="00AB41FD" w:rsidP="008E2C0C">
      <w:pPr>
        <w:jc w:val="both"/>
      </w:pPr>
      <w:r>
        <w:rPr>
          <w:noProof/>
          <w:lang w:val="es-ES" w:eastAsia="es-ES"/>
        </w:rPr>
        <w:drawing>
          <wp:anchor distT="0" distB="0" distL="114300" distR="114300" simplePos="0" relativeHeight="251667456" behindDoc="0" locked="0" layoutInCell="1" allowOverlap="1" wp14:anchorId="13836AB2" wp14:editId="33A0DA0C">
            <wp:simplePos x="0" y="0"/>
            <wp:positionH relativeFrom="margin">
              <wp:posOffset>2904490</wp:posOffset>
            </wp:positionH>
            <wp:positionV relativeFrom="paragraph">
              <wp:posOffset>457318</wp:posOffset>
            </wp:positionV>
            <wp:extent cx="2495550" cy="1350010"/>
            <wp:effectExtent l="0" t="0" r="0" b="2540"/>
            <wp:wrapSquare wrapText="bothSides"/>
            <wp:docPr id="10" name="Imagen 10" descr="El contenedor, la caja que cambió al mundo | Revista de Mar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l contenedor, la caja que cambió al mundo | Revista de Marin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B131A6">
        <w:rPr>
          <w:b/>
        </w:rPr>
        <w:t>Sistema:</w:t>
      </w:r>
      <w:r w:rsidR="00B60068">
        <w:t xml:space="preserve"> Las bodegas están equipadas con guías celulares, una estructura de raíles vertic</w:t>
      </w:r>
      <w:r w:rsidR="002235FC">
        <w:t>ales que forman celdas</w:t>
      </w:r>
      <w:r w:rsidR="00B131A6">
        <w:t xml:space="preserve"> al igual a las que se pueden ver en terminales portuarios</w:t>
      </w:r>
      <w:r w:rsidR="002235FC">
        <w:t>.</w:t>
      </w:r>
      <w:r w:rsidRPr="00AB41FD">
        <w:t xml:space="preserve"> </w:t>
      </w:r>
    </w:p>
    <w:p w:rsidR="00B60068" w:rsidRDefault="00B60068" w:rsidP="008E2C0C">
      <w:pPr>
        <w:jc w:val="both"/>
      </w:pPr>
      <w:r w:rsidRPr="00B131A6">
        <w:rPr>
          <w:b/>
        </w:rPr>
        <w:t>Aseguramiento:</w:t>
      </w:r>
      <w:r>
        <w:t xml:space="preserve"> Los contenedores se deslizan dentro de estas celdas, que los mantienen alineados y resisten los esfuerzos laterales. El </w:t>
      </w:r>
      <w:proofErr w:type="spellStart"/>
      <w:r>
        <w:t>trincaje</w:t>
      </w:r>
      <w:proofErr w:type="spellEnd"/>
      <w:r>
        <w:t xml:space="preserve"> es mínimo, utilizando conos de estiba en las esquineras inferiores para evitar el movim</w:t>
      </w:r>
      <w:r w:rsidR="002235FC">
        <w:t>iento vertical.</w:t>
      </w:r>
    </w:p>
    <w:p w:rsidR="00B60068" w:rsidRPr="00AB41FD" w:rsidRDefault="00B60068" w:rsidP="008E2C0C">
      <w:pPr>
        <w:jc w:val="both"/>
        <w:rPr>
          <w:b/>
          <w:i/>
          <w:sz w:val="24"/>
        </w:rPr>
      </w:pPr>
      <w:r w:rsidRPr="00AB41FD">
        <w:rPr>
          <w:b/>
          <w:i/>
          <w:sz w:val="24"/>
        </w:rPr>
        <w:t xml:space="preserve">Sistema en </w:t>
      </w:r>
      <w:r w:rsidR="002235FC" w:rsidRPr="00AB41FD">
        <w:rPr>
          <w:b/>
          <w:i/>
          <w:sz w:val="24"/>
        </w:rPr>
        <w:t>Cubierta (sin Guías Celulares):</w:t>
      </w:r>
    </w:p>
    <w:p w:rsidR="00B60068" w:rsidRDefault="00B60068" w:rsidP="00D2410C">
      <w:pPr>
        <w:pStyle w:val="Ttulo4"/>
      </w:pPr>
      <w:r>
        <w:t>Sistema de Trinca (Fijación entre contenedores y con el buque):</w:t>
      </w:r>
    </w:p>
    <w:p w:rsidR="00472E8B" w:rsidRDefault="00472E8B" w:rsidP="008E2C0C">
      <w:pPr>
        <w:jc w:val="both"/>
        <w:rPr>
          <w:b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8480" behindDoc="0" locked="0" layoutInCell="1" allowOverlap="1" wp14:anchorId="5674AD01" wp14:editId="551DE437">
            <wp:simplePos x="0" y="0"/>
            <wp:positionH relativeFrom="margin">
              <wp:align>right</wp:align>
            </wp:positionH>
            <wp:positionV relativeFrom="paragraph">
              <wp:posOffset>152134</wp:posOffset>
            </wp:positionV>
            <wp:extent cx="1900555" cy="1083945"/>
            <wp:effectExtent l="0" t="0" r="4445" b="1905"/>
            <wp:wrapSquare wrapText="bothSides"/>
            <wp:docPr id="11" name="Imagen 11" descr="Comprender los bloqueos de giro de contenedores: importancia, aplicaciones  y casos re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omprender los bloqueos de giro de contenedores: importancia, aplicaciones  y casos real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0068" w:rsidRDefault="00B60068" w:rsidP="008E2C0C">
      <w:pPr>
        <w:jc w:val="both"/>
      </w:pPr>
      <w:proofErr w:type="spellStart"/>
      <w:r w:rsidRPr="00B131A6">
        <w:rPr>
          <w:b/>
        </w:rPr>
        <w:t>Twistlocks</w:t>
      </w:r>
      <w:proofErr w:type="spellEnd"/>
      <w:r w:rsidRPr="00B131A6">
        <w:rPr>
          <w:b/>
        </w:rPr>
        <w:t>:</w:t>
      </w:r>
      <w:r>
        <w:t xml:space="preserve"> Dispositivos que se encajan en las esquineras superiores de un contenedor y en las inferiores del que va encima, o en las bases de la cubierta (fundamentos). Bloq</w:t>
      </w:r>
      <w:r w:rsidR="002235FC">
        <w:t>uean los contenedores entre sí.</w:t>
      </w:r>
      <w:r w:rsidR="00AB41FD" w:rsidRPr="00AB41FD">
        <w:t xml:space="preserve"> </w:t>
      </w:r>
      <w:r w:rsidR="00AB41FD">
        <w:t>(Ejemplo en la imagen).</w:t>
      </w:r>
    </w:p>
    <w:p w:rsidR="00D2410C" w:rsidRDefault="00D2410C" w:rsidP="008E2C0C">
      <w:pPr>
        <w:jc w:val="both"/>
        <w:rPr>
          <w:b/>
        </w:rPr>
      </w:pPr>
    </w:p>
    <w:p w:rsidR="00AB41FD" w:rsidRDefault="00B60068" w:rsidP="008E2C0C">
      <w:pPr>
        <w:jc w:val="both"/>
      </w:pPr>
      <w:r w:rsidRPr="00B131A6">
        <w:rPr>
          <w:b/>
        </w:rPr>
        <w:lastRenderedPageBreak/>
        <w:t>Picos de Loro</w:t>
      </w:r>
      <w:r>
        <w:t>: Se utilizan específicamente para fijar contenedores de 20 pies a la cubier</w:t>
      </w:r>
      <w:r w:rsidR="002235FC">
        <w:t>ta o a contenedores de 40 pies.</w:t>
      </w:r>
    </w:p>
    <w:p w:rsidR="00B60068" w:rsidRDefault="00B60068" w:rsidP="008E2C0C">
      <w:pPr>
        <w:jc w:val="both"/>
      </w:pPr>
      <w:r w:rsidRPr="00B131A6">
        <w:rPr>
          <w:b/>
        </w:rPr>
        <w:t xml:space="preserve">Conos </w:t>
      </w:r>
      <w:proofErr w:type="spellStart"/>
      <w:r w:rsidRPr="00B131A6">
        <w:rPr>
          <w:b/>
        </w:rPr>
        <w:t>Autoposicionadores</w:t>
      </w:r>
      <w:proofErr w:type="spellEnd"/>
      <w:r>
        <w:t>: Ayudan a guiar y fijar los c</w:t>
      </w:r>
      <w:r w:rsidR="002235FC">
        <w:t>ontenedores durante la estiba.</w:t>
      </w:r>
    </w:p>
    <w:p w:rsidR="00B60068" w:rsidRDefault="00B60068" w:rsidP="00D2410C">
      <w:pPr>
        <w:pStyle w:val="Ttulo4"/>
      </w:pPr>
      <w:r>
        <w:t>Sistema de Tensores (Resistencia a</w:t>
      </w:r>
      <w:r w:rsidR="002235FC">
        <w:t xml:space="preserve"> fuerzas de balance y cabeceo):</w:t>
      </w:r>
    </w:p>
    <w:p w:rsidR="00F27D8F" w:rsidRDefault="00F27D8F" w:rsidP="008E2C0C">
      <w:pPr>
        <w:jc w:val="both"/>
        <w:rPr>
          <w:noProof/>
          <w:lang w:val="es-ES" w:eastAsia="es-ES"/>
        </w:rPr>
      </w:pPr>
    </w:p>
    <w:p w:rsidR="00B60068" w:rsidRDefault="00F27D8F" w:rsidP="008E2C0C">
      <w:pPr>
        <w:jc w:val="both"/>
      </w:pPr>
      <w:r>
        <w:rPr>
          <w:noProof/>
          <w:lang w:val="es-ES" w:eastAsia="es-ES"/>
        </w:rPr>
        <w:drawing>
          <wp:anchor distT="0" distB="0" distL="114300" distR="114300" simplePos="0" relativeHeight="251669504" behindDoc="0" locked="0" layoutInCell="1" allowOverlap="1" wp14:anchorId="44A00FE9" wp14:editId="4B8F366F">
            <wp:simplePos x="0" y="0"/>
            <wp:positionH relativeFrom="margin">
              <wp:align>right</wp:align>
            </wp:positionH>
            <wp:positionV relativeFrom="paragraph">
              <wp:posOffset>268458</wp:posOffset>
            </wp:positionV>
            <wp:extent cx="2374900" cy="1435100"/>
            <wp:effectExtent l="0" t="0" r="6350" b="0"/>
            <wp:wrapSquare wrapText="bothSides"/>
            <wp:docPr id="14" name="Imagen 14" descr="Loose Container Fittings - MacGrego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oose Container Fittings - MacGregor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2" t="-2514" r="-1194" b="35285"/>
                    <a:stretch/>
                  </pic:blipFill>
                  <pic:spPr bwMode="auto">
                    <a:xfrm>
                      <a:off x="0" y="0"/>
                      <a:ext cx="23749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B131A6">
        <w:rPr>
          <w:b/>
        </w:rPr>
        <w:t xml:space="preserve">Barras de </w:t>
      </w:r>
      <w:proofErr w:type="spellStart"/>
      <w:r w:rsidR="00B60068" w:rsidRPr="00B131A6">
        <w:rPr>
          <w:b/>
        </w:rPr>
        <w:t>Trincaje</w:t>
      </w:r>
      <w:proofErr w:type="spellEnd"/>
      <w:r w:rsidR="00B60068">
        <w:t xml:space="preserve">: Son barras metálicas con un extremo que se fija a una esquina del contenedor y el otro </w:t>
      </w:r>
      <w:r w:rsidR="002235FC">
        <w:t>a un punto fijo en la cubierta.</w:t>
      </w:r>
      <w:r w:rsidR="00AB41FD" w:rsidRPr="00AB41FD">
        <w:t xml:space="preserve"> </w:t>
      </w:r>
    </w:p>
    <w:p w:rsidR="00B131A6" w:rsidRDefault="00B60068" w:rsidP="008E2C0C">
      <w:pPr>
        <w:jc w:val="both"/>
      </w:pPr>
      <w:r w:rsidRPr="00B131A6">
        <w:rPr>
          <w:b/>
        </w:rPr>
        <w:t>Tensores</w:t>
      </w:r>
      <w:r>
        <w:t xml:space="preserve">: Se acoplan a las barras de </w:t>
      </w:r>
      <w:proofErr w:type="spellStart"/>
      <w:r>
        <w:t>trincaje</w:t>
      </w:r>
      <w:proofErr w:type="spellEnd"/>
      <w:r>
        <w:t>. Son mecanismos (normalmente de tuerca y tornillo) que permiten aplicar y mantener la tensión necesaria para que el conjunto de c</w:t>
      </w:r>
      <w:r w:rsidR="00D334B6">
        <w:t>ontenedores no se mueva.</w:t>
      </w:r>
      <w:r w:rsidR="00AB41FD">
        <w:t xml:space="preserve"> (Imagen muestra los dos sistemas).</w:t>
      </w:r>
    </w:p>
    <w:p w:rsidR="00B60068" w:rsidRPr="00673FA7" w:rsidRDefault="00B60068" w:rsidP="008E2C0C">
      <w:pPr>
        <w:jc w:val="both"/>
        <w:rPr>
          <w:rStyle w:val="Referenciaintensa"/>
          <w:sz w:val="32"/>
        </w:rPr>
      </w:pPr>
      <w:r w:rsidRPr="00673FA7">
        <w:rPr>
          <w:rStyle w:val="Referenciaintensa"/>
          <w:sz w:val="32"/>
        </w:rPr>
        <w:t>Accidentes en el Transporte de Contenedores</w:t>
      </w:r>
    </w:p>
    <w:p w:rsidR="00B60068" w:rsidRDefault="00B60068" w:rsidP="008E2C0C">
      <w:pPr>
        <w:jc w:val="both"/>
      </w:pPr>
      <w:r>
        <w:t>La mala estiba, el</w:t>
      </w:r>
      <w:r w:rsidR="00AB41FD">
        <w:t xml:space="preserve"> mal tiempo y los defectos en la trinca</w:t>
      </w:r>
      <w:r>
        <w:t xml:space="preserve"> pueden te</w:t>
      </w:r>
      <w:r w:rsidR="002235FC">
        <w:t>ner consecuencias catastróficas las cuales pueden ser determinantes de una buena navegación</w:t>
      </w:r>
      <w:r w:rsidR="008606BC">
        <w:t>, causas las cuales pareciera que no son posibles pero ocurren más veces de lo que se piensa</w:t>
      </w:r>
      <w:r w:rsidR="002235FC">
        <w:t xml:space="preserve"> algunas de las causas de estos incidentes son las siguientes.</w:t>
      </w:r>
    </w:p>
    <w:p w:rsidR="00D2410C" w:rsidRDefault="008606BC" w:rsidP="008E2C0C">
      <w:pPr>
        <w:jc w:val="both"/>
      </w:pPr>
      <w:r>
        <w:rPr>
          <w:noProof/>
          <w:lang w:val="es-ES" w:eastAsia="es-ES"/>
        </w:rPr>
        <w:drawing>
          <wp:anchor distT="0" distB="0" distL="114300" distR="114300" simplePos="0" relativeHeight="251660288" behindDoc="0" locked="0" layoutInCell="1" allowOverlap="1" wp14:anchorId="0F2437A2" wp14:editId="7B770462">
            <wp:simplePos x="0" y="0"/>
            <wp:positionH relativeFrom="margin">
              <wp:align>center</wp:align>
            </wp:positionH>
            <wp:positionV relativeFrom="paragraph">
              <wp:posOffset>1069754</wp:posOffset>
            </wp:positionV>
            <wp:extent cx="4013961" cy="3009013"/>
            <wp:effectExtent l="76200" t="76200" r="139065" b="134620"/>
            <wp:wrapTopAndBottom/>
            <wp:docPr id="4" name="Imagen 4" descr="ONE APUS: Se han desembarcado 232 contenedores colapsados desde la cubierta  de la nave - MundoMariti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NE APUS: Se han desembarcado 232 contenedores colapsados desde la cubierta  de la nave - MundoMaritim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961" cy="300901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8606BC">
        <w:rPr>
          <w:b/>
        </w:rPr>
        <w:t>Pérdida de Contenedores por Ma</w:t>
      </w:r>
      <w:r w:rsidR="00AB41FD" w:rsidRPr="008606BC">
        <w:rPr>
          <w:b/>
        </w:rPr>
        <w:t xml:space="preserve">l Tiempo y Trinca </w:t>
      </w:r>
      <w:r w:rsidRPr="008606BC">
        <w:rPr>
          <w:b/>
        </w:rPr>
        <w:t xml:space="preserve">Inadecuado </w:t>
      </w:r>
      <w:r w:rsidR="00B60068" w:rsidRPr="008606BC">
        <w:rPr>
          <w:b/>
        </w:rPr>
        <w:t xml:space="preserve">Caso: ONE </w:t>
      </w:r>
      <w:proofErr w:type="spellStart"/>
      <w:r w:rsidR="00B60068" w:rsidRPr="008606BC">
        <w:rPr>
          <w:b/>
        </w:rPr>
        <w:t>Apus</w:t>
      </w:r>
      <w:proofErr w:type="spellEnd"/>
      <w:r w:rsidR="00B60068" w:rsidRPr="008606BC">
        <w:rPr>
          <w:b/>
        </w:rPr>
        <w:t xml:space="preserve"> (2020).</w:t>
      </w:r>
      <w:r w:rsidR="00B60068">
        <w:t xml:space="preserve"> En medio de una tormenta en el Pacífico, el buque perdió 1,816 contenedores por la fuerza de las olas y un posible fallo en el sis</w:t>
      </w:r>
      <w:r w:rsidR="00071197">
        <w:t>tema de trinca</w:t>
      </w:r>
      <w:r w:rsidR="00B60068">
        <w:t>. La imagen muestra la cubierta del barco, devastada y con pi</w:t>
      </w:r>
      <w:r w:rsidR="00673FA7">
        <w:t>las de contenedores colapsadas.</w:t>
      </w:r>
    </w:p>
    <w:p w:rsidR="00A21164" w:rsidRDefault="00A21164" w:rsidP="008E2C0C">
      <w:pPr>
        <w:jc w:val="both"/>
      </w:pPr>
      <w:r>
        <w:rPr>
          <w:noProof/>
          <w:lang w:val="es-ES" w:eastAsia="es-ES"/>
        </w:rPr>
        <w:lastRenderedPageBreak/>
        <w:drawing>
          <wp:anchor distT="0" distB="0" distL="114300" distR="114300" simplePos="0" relativeHeight="251659264" behindDoc="0" locked="0" layoutInCell="1" allowOverlap="1" wp14:anchorId="0D29D6DD" wp14:editId="192494A2">
            <wp:simplePos x="0" y="0"/>
            <wp:positionH relativeFrom="margin">
              <wp:align>center</wp:align>
            </wp:positionH>
            <wp:positionV relativeFrom="paragraph">
              <wp:posOffset>992180</wp:posOffset>
            </wp:positionV>
            <wp:extent cx="3853815" cy="2891790"/>
            <wp:effectExtent l="76200" t="76200" r="127635" b="137160"/>
            <wp:wrapTopAndBottom/>
            <wp:docPr id="3" name="Imagen 3" descr="In remembrance: MSC FLAMINIA - 14th July 2012 - NSB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 remembrance: MSC FLAMINIA - 14th July 2012 - NSB Grou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28917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8606BC">
        <w:rPr>
          <w:b/>
        </w:rPr>
        <w:t>Incendios por Mala Declar</w:t>
      </w:r>
      <w:r w:rsidR="008606BC" w:rsidRPr="008606BC">
        <w:rPr>
          <w:b/>
        </w:rPr>
        <w:t>ación de Mercancías Peligrosas-</w:t>
      </w:r>
      <w:r w:rsidR="00B60068" w:rsidRPr="008606BC">
        <w:rPr>
          <w:b/>
        </w:rPr>
        <w:t xml:space="preserve">MSC </w:t>
      </w:r>
      <w:proofErr w:type="spellStart"/>
      <w:r w:rsidR="00B60068" w:rsidRPr="008606BC">
        <w:rPr>
          <w:b/>
        </w:rPr>
        <w:t>Flaminia</w:t>
      </w:r>
      <w:proofErr w:type="spellEnd"/>
      <w:r w:rsidR="00B60068" w:rsidRPr="008606BC">
        <w:rPr>
          <w:b/>
        </w:rPr>
        <w:t xml:space="preserve"> (2012</w:t>
      </w:r>
      <w:r w:rsidR="00B60068" w:rsidRPr="00AB41FD">
        <w:rPr>
          <w:b/>
        </w:rPr>
        <w:t>).</w:t>
      </w:r>
      <w:r w:rsidR="00B60068">
        <w:t xml:space="preserve"> Una explosión y posterior incendio, causado por la </w:t>
      </w:r>
      <w:proofErr w:type="spellStart"/>
      <w:r w:rsidR="00B60068">
        <w:t>autocombustión</w:t>
      </w:r>
      <w:proofErr w:type="spellEnd"/>
      <w:r w:rsidR="00B60068">
        <w:t xml:space="preserve"> de mercancías peligrosas mal declaradas, provocó la muerte de 3 tripulantes y la pérdida total de la carga. El buque q</w:t>
      </w:r>
      <w:r>
        <w:t>uedó a la deriva e inutilizado.</w:t>
      </w:r>
    </w:p>
    <w:p w:rsidR="00B60068" w:rsidRDefault="00B60068" w:rsidP="008E2C0C">
      <w:pPr>
        <w:jc w:val="both"/>
      </w:pPr>
    </w:p>
    <w:p w:rsidR="00071197" w:rsidRDefault="008606BC" w:rsidP="008E2C0C">
      <w:pPr>
        <w:jc w:val="both"/>
      </w:pPr>
      <w:r w:rsidRPr="008606BC">
        <w:rPr>
          <w:b/>
          <w:noProof/>
          <w:lang w:val="es-ES" w:eastAsia="es-ES"/>
        </w:rPr>
        <w:drawing>
          <wp:anchor distT="0" distB="0" distL="114300" distR="114300" simplePos="0" relativeHeight="251658240" behindDoc="1" locked="0" layoutInCell="1" allowOverlap="1" wp14:anchorId="7B850D11" wp14:editId="3A533425">
            <wp:simplePos x="0" y="0"/>
            <wp:positionH relativeFrom="margin">
              <wp:align>center</wp:align>
            </wp:positionH>
            <wp:positionV relativeFrom="paragraph">
              <wp:posOffset>1172210</wp:posOffset>
            </wp:positionV>
            <wp:extent cx="4033520" cy="2508885"/>
            <wp:effectExtent l="76200" t="76200" r="138430" b="139065"/>
            <wp:wrapTopAndBottom/>
            <wp:docPr id="2" name="Imagen 2" descr="MOL Comfort un «incidente que genera gran preocupación» – Presidente de la  IACS | Grúas y Transpor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L Comfort un «incidente que genera gran preocupación» – Presidente de la  IACS | Grúas y Transport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520" cy="250888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8606BC">
        <w:rPr>
          <w:b/>
        </w:rPr>
        <w:t>Colapso Estructural por</w:t>
      </w:r>
      <w:r w:rsidRPr="008606BC">
        <w:rPr>
          <w:b/>
        </w:rPr>
        <w:t xml:space="preserve"> Mala Distribución de la Carga-</w:t>
      </w:r>
      <w:r w:rsidR="00B60068" w:rsidRPr="008606BC">
        <w:rPr>
          <w:b/>
        </w:rPr>
        <w:t xml:space="preserve">MOL </w:t>
      </w:r>
      <w:proofErr w:type="spellStart"/>
      <w:r w:rsidR="00B60068" w:rsidRPr="008606BC">
        <w:rPr>
          <w:b/>
        </w:rPr>
        <w:t>Comfort</w:t>
      </w:r>
      <w:proofErr w:type="spellEnd"/>
      <w:r w:rsidR="00B60068" w:rsidRPr="008606BC">
        <w:rPr>
          <w:b/>
        </w:rPr>
        <w:t xml:space="preserve"> (2013).</w:t>
      </w:r>
      <w:r w:rsidR="00B60068">
        <w:t xml:space="preserve"> El buque se partió en dos en el Océano Índico debido, presuntamente, a un error de diseño y a una combinación de fuerzas de olas y una distribución de la carga que generó tensiones excesivas en el casco. Se perdieron todos los contenedores</w:t>
      </w:r>
      <w:r>
        <w:t xml:space="preserve"> trayendo consecuencias catastróficas</w:t>
      </w:r>
      <w:r w:rsidR="00673FA7">
        <w:t>.</w:t>
      </w:r>
    </w:p>
    <w:p w:rsidR="00071197" w:rsidRDefault="00071197" w:rsidP="008E2C0C">
      <w:pPr>
        <w:jc w:val="both"/>
      </w:pPr>
    </w:p>
    <w:p w:rsidR="00D2410C" w:rsidRDefault="00D2410C" w:rsidP="008E2C0C">
      <w:pPr>
        <w:jc w:val="both"/>
        <w:rPr>
          <w:rStyle w:val="Referenciaintensa"/>
          <w:sz w:val="32"/>
        </w:rPr>
      </w:pPr>
    </w:p>
    <w:p w:rsidR="00B60068" w:rsidRPr="00673FA7" w:rsidRDefault="00B60068" w:rsidP="008E2C0C">
      <w:pPr>
        <w:jc w:val="both"/>
        <w:rPr>
          <w:rStyle w:val="Referenciaintensa"/>
          <w:sz w:val="32"/>
        </w:rPr>
      </w:pPr>
      <w:r w:rsidRPr="00673FA7">
        <w:rPr>
          <w:rStyle w:val="Referenciaintensa"/>
          <w:sz w:val="32"/>
        </w:rPr>
        <w:lastRenderedPageBreak/>
        <w:t>Apreciación Personal sobre la Evolución Futura</w:t>
      </w:r>
    </w:p>
    <w:p w:rsidR="00B60068" w:rsidRPr="00A21164" w:rsidRDefault="00B60068" w:rsidP="008E2C0C">
      <w:pPr>
        <w:jc w:val="both"/>
        <w:rPr>
          <w:sz w:val="24"/>
        </w:rPr>
      </w:pPr>
      <w:r w:rsidRPr="00A21164">
        <w:rPr>
          <w:sz w:val="24"/>
        </w:rPr>
        <w:t>El transporte marítimo de contened</w:t>
      </w:r>
      <w:r w:rsidR="00922857" w:rsidRPr="00A21164">
        <w:rPr>
          <w:sz w:val="24"/>
        </w:rPr>
        <w:t>ores se encuentra en cercana a iniciar</w:t>
      </w:r>
      <w:r w:rsidRPr="00A21164">
        <w:rPr>
          <w:sz w:val="24"/>
        </w:rPr>
        <w:t xml:space="preserve"> una nueva revolución impulsada por la digi</w:t>
      </w:r>
      <w:r w:rsidR="008E2C0C" w:rsidRPr="00A21164">
        <w:rPr>
          <w:sz w:val="24"/>
        </w:rPr>
        <w:t>talización y la sostenibilidad</w:t>
      </w:r>
      <w:r w:rsidR="00922857" w:rsidRPr="00A21164">
        <w:rPr>
          <w:sz w:val="24"/>
        </w:rPr>
        <w:t xml:space="preserve"> con grandes avances tecnológicos</w:t>
      </w:r>
      <w:r w:rsidR="008E2C0C" w:rsidRPr="00A21164">
        <w:rPr>
          <w:sz w:val="24"/>
        </w:rPr>
        <w:t>.</w:t>
      </w:r>
    </w:p>
    <w:p w:rsidR="00071197" w:rsidRPr="00A21164" w:rsidRDefault="00B60068" w:rsidP="008E2C0C">
      <w:pPr>
        <w:jc w:val="both"/>
        <w:rPr>
          <w:sz w:val="24"/>
        </w:rPr>
      </w:pPr>
      <w:r w:rsidRPr="00A21164">
        <w:rPr>
          <w:b/>
          <w:sz w:val="24"/>
        </w:rPr>
        <w:t xml:space="preserve">Digitalización y "Smart </w:t>
      </w:r>
      <w:proofErr w:type="spellStart"/>
      <w:r w:rsidRPr="00A21164">
        <w:rPr>
          <w:b/>
          <w:sz w:val="24"/>
        </w:rPr>
        <w:t>Containers</w:t>
      </w:r>
      <w:proofErr w:type="spellEnd"/>
      <w:r w:rsidRPr="00A21164">
        <w:rPr>
          <w:sz w:val="24"/>
        </w:rPr>
        <w:t xml:space="preserve">": Los contenedores evolucionarán hacia dispositivos inteligentes. Equipados con sensores </w:t>
      </w:r>
      <w:proofErr w:type="spellStart"/>
      <w:r w:rsidRPr="00A21164">
        <w:rPr>
          <w:sz w:val="24"/>
        </w:rPr>
        <w:t>IoT</w:t>
      </w:r>
      <w:proofErr w:type="spellEnd"/>
      <w:r w:rsidRPr="00A21164">
        <w:rPr>
          <w:sz w:val="24"/>
        </w:rPr>
        <w:t>, podrán reportar en tiempo real su ubicación, estado (temperatura, humedad, golpes) e incluso si han sido abiertos. Esto mejorará radicalmente la seguridad (detección temprana de incendios), la gestión de la cadena de frío y la visibilidad de la cadena d</w:t>
      </w:r>
      <w:r w:rsidR="008E2C0C" w:rsidRPr="00A21164">
        <w:rPr>
          <w:sz w:val="24"/>
        </w:rPr>
        <w:t>e suministro para los clientes</w:t>
      </w:r>
      <w:r w:rsidR="00A21164">
        <w:rPr>
          <w:sz w:val="24"/>
        </w:rPr>
        <w:t xml:space="preserve"> en tiempo real</w:t>
      </w:r>
      <w:r w:rsidR="008E2C0C" w:rsidRPr="00A21164">
        <w:rPr>
          <w:sz w:val="24"/>
        </w:rPr>
        <w:t>.</w:t>
      </w:r>
    </w:p>
    <w:p w:rsidR="00071197" w:rsidRPr="00A21164" w:rsidRDefault="00071197" w:rsidP="008E2C0C">
      <w:pPr>
        <w:jc w:val="both"/>
        <w:rPr>
          <w:sz w:val="24"/>
        </w:rPr>
      </w:pPr>
      <w:r w:rsidRPr="00A21164">
        <w:rPr>
          <w:noProof/>
          <w:sz w:val="24"/>
          <w:lang w:val="es-ES" w:eastAsia="es-ES"/>
        </w:rPr>
        <w:drawing>
          <wp:anchor distT="0" distB="0" distL="114300" distR="114300" simplePos="0" relativeHeight="251670528" behindDoc="0" locked="0" layoutInCell="1" allowOverlap="1" wp14:anchorId="045D49DF" wp14:editId="09E7B3AD">
            <wp:simplePos x="0" y="0"/>
            <wp:positionH relativeFrom="margin">
              <wp:align>right</wp:align>
            </wp:positionH>
            <wp:positionV relativeFrom="paragraph">
              <wp:posOffset>741680</wp:posOffset>
            </wp:positionV>
            <wp:extent cx="3586480" cy="2292985"/>
            <wp:effectExtent l="0" t="0" r="0" b="0"/>
            <wp:wrapSquare wrapText="bothSides"/>
            <wp:docPr id="15" name="Imagen 15" descr="Puertos inteligentes: la transformación del sector portua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uertos inteligentes: la transformación del sector portuari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0068" w:rsidRPr="00A21164">
        <w:rPr>
          <w:b/>
          <w:sz w:val="24"/>
        </w:rPr>
        <w:t>Sostenibilidad y Diseño</w:t>
      </w:r>
      <w:r w:rsidR="00A21164">
        <w:rPr>
          <w:sz w:val="24"/>
        </w:rPr>
        <w:t>: los problemas medioambientales</w:t>
      </w:r>
      <w:r w:rsidR="00B60068" w:rsidRPr="00A21164">
        <w:rPr>
          <w:sz w:val="24"/>
        </w:rPr>
        <w:t xml:space="preserve"> impulsará el</w:t>
      </w:r>
      <w:r w:rsidR="00A21164">
        <w:rPr>
          <w:sz w:val="24"/>
        </w:rPr>
        <w:t xml:space="preserve"> uso de materiales más verdes y</w:t>
      </w:r>
      <w:r w:rsidR="00B60068" w:rsidRPr="00A21164">
        <w:rPr>
          <w:sz w:val="24"/>
        </w:rPr>
        <w:t xml:space="preserve"> resistentes para aumentar la eficiencia energética</w:t>
      </w:r>
      <w:r w:rsidR="00A21164">
        <w:rPr>
          <w:sz w:val="24"/>
        </w:rPr>
        <w:t xml:space="preserve"> en el caso de los reffer</w:t>
      </w:r>
      <w:r w:rsidR="00B60068" w:rsidRPr="00A21164">
        <w:rPr>
          <w:sz w:val="24"/>
        </w:rPr>
        <w:t>. Se explorarán diseños aerodinámicos para los propios contenedores cuando van en cubierta, reduciendo la resistencia al viento</w:t>
      </w:r>
      <w:r w:rsidR="00A21164">
        <w:rPr>
          <w:sz w:val="24"/>
        </w:rPr>
        <w:t xml:space="preserve"> sacando mayor partido tanto al rendimiento del buque como a la reducción de tiempos de espera</w:t>
      </w:r>
      <w:r w:rsidR="00B60068" w:rsidRPr="00A21164">
        <w:rPr>
          <w:sz w:val="24"/>
        </w:rPr>
        <w:t>. Además, la necesidad de una logística más verde promoverá contenedores plegables o de "retorno compartido" para reducir los viajes vacíos, uno de los</w:t>
      </w:r>
      <w:r w:rsidR="00A21164">
        <w:rPr>
          <w:sz w:val="24"/>
        </w:rPr>
        <w:t xml:space="preserve"> mayores problemas de logística</w:t>
      </w:r>
      <w:r w:rsidR="00B60068" w:rsidRPr="00A21164">
        <w:rPr>
          <w:sz w:val="24"/>
        </w:rPr>
        <w:t xml:space="preserve"> en la i</w:t>
      </w:r>
      <w:r w:rsidR="008E2C0C" w:rsidRPr="00A21164">
        <w:rPr>
          <w:sz w:val="24"/>
        </w:rPr>
        <w:t>ndustria.</w:t>
      </w:r>
    </w:p>
    <w:p w:rsidR="00B60068" w:rsidRPr="00A21164" w:rsidRDefault="00B60068" w:rsidP="008E2C0C">
      <w:pPr>
        <w:jc w:val="both"/>
        <w:rPr>
          <w:sz w:val="24"/>
        </w:rPr>
      </w:pPr>
      <w:r w:rsidRPr="00A21164">
        <w:rPr>
          <w:b/>
          <w:sz w:val="24"/>
        </w:rPr>
        <w:t>Automatización en Puertos y Buques:</w:t>
      </w:r>
      <w:r w:rsidRPr="00A21164">
        <w:rPr>
          <w:sz w:val="24"/>
        </w:rPr>
        <w:t xml:space="preserve"> La interacción entre buques y terminales será cada vez más automatizada. Los buques podrían estar diseñados para una interfaz más directa con grúas robóticas, y los sistemas de </w:t>
      </w:r>
      <w:proofErr w:type="spellStart"/>
      <w:r w:rsidRPr="00A21164">
        <w:rPr>
          <w:sz w:val="24"/>
        </w:rPr>
        <w:t>trincaje</w:t>
      </w:r>
      <w:proofErr w:type="spellEnd"/>
      <w:r w:rsidRPr="00A21164">
        <w:rPr>
          <w:sz w:val="24"/>
        </w:rPr>
        <w:t xml:space="preserve"> en cubierta podrían volverse </w:t>
      </w:r>
      <w:proofErr w:type="spellStart"/>
      <w:r w:rsidRPr="00A21164">
        <w:rPr>
          <w:sz w:val="24"/>
        </w:rPr>
        <w:t>semi</w:t>
      </w:r>
      <w:proofErr w:type="spellEnd"/>
      <w:r w:rsidRPr="00A21164">
        <w:rPr>
          <w:sz w:val="24"/>
        </w:rPr>
        <w:t>-automáticos o más rápidos de instalar y retirar, reduciendo el tiempo en puerto y los ries</w:t>
      </w:r>
      <w:r w:rsidR="00B131A6" w:rsidRPr="00A21164">
        <w:rPr>
          <w:sz w:val="24"/>
        </w:rPr>
        <w:t>gos para la tripulación</w:t>
      </w:r>
      <w:r w:rsidR="00F27D8F">
        <w:rPr>
          <w:sz w:val="24"/>
        </w:rPr>
        <w:t xml:space="preserve"> además de disminuir la cantidad de personas necesarias a la hora de estibar o desestibar una nave</w:t>
      </w:r>
      <w:r w:rsidR="00B131A6" w:rsidRPr="00A21164">
        <w:rPr>
          <w:sz w:val="24"/>
        </w:rPr>
        <w:t>.</w:t>
      </w:r>
    </w:p>
    <w:p w:rsidR="007E2911" w:rsidRPr="00A21164" w:rsidRDefault="00B60068" w:rsidP="008E2C0C">
      <w:pPr>
        <w:jc w:val="both"/>
        <w:rPr>
          <w:sz w:val="24"/>
        </w:rPr>
      </w:pPr>
      <w:r w:rsidRPr="00A21164">
        <w:rPr>
          <w:sz w:val="24"/>
        </w:rPr>
        <w:t>En conclusión, el futuro del contenedor no es solo ser</w:t>
      </w:r>
      <w:r w:rsidR="00A21164">
        <w:rPr>
          <w:sz w:val="24"/>
        </w:rPr>
        <w:t xml:space="preserve"> una caja, sino un núcleo</w:t>
      </w:r>
      <w:r w:rsidRPr="00A21164">
        <w:rPr>
          <w:sz w:val="24"/>
        </w:rPr>
        <w:t xml:space="preserve"> inteligente y sostenible dentr</w:t>
      </w:r>
      <w:r w:rsidR="00F27D8F">
        <w:rPr>
          <w:sz w:val="24"/>
        </w:rPr>
        <w:t>o de una cadena logística</w:t>
      </w:r>
      <w:r w:rsidRPr="00A21164">
        <w:rPr>
          <w:sz w:val="24"/>
        </w:rPr>
        <w:t xml:space="preserve"> cada vez más interconectada y automatizada</w:t>
      </w:r>
      <w:r w:rsidR="00A21164">
        <w:rPr>
          <w:sz w:val="24"/>
        </w:rPr>
        <w:t xml:space="preserve"> tenie</w:t>
      </w:r>
      <w:r w:rsidR="00F27D8F">
        <w:rPr>
          <w:sz w:val="24"/>
        </w:rPr>
        <w:t>ndo como principal objetivo el r</w:t>
      </w:r>
      <w:r w:rsidR="00A21164">
        <w:rPr>
          <w:sz w:val="24"/>
        </w:rPr>
        <w:t>educir tiempos de espera y ser más eficientes.</w:t>
      </w:r>
    </w:p>
    <w:sectPr w:rsidR="007E2911" w:rsidRPr="00A211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068"/>
    <w:rsid w:val="00071197"/>
    <w:rsid w:val="00183FEE"/>
    <w:rsid w:val="002235FC"/>
    <w:rsid w:val="00254212"/>
    <w:rsid w:val="00472E8B"/>
    <w:rsid w:val="00503F41"/>
    <w:rsid w:val="00673FA7"/>
    <w:rsid w:val="00783AF5"/>
    <w:rsid w:val="007E2911"/>
    <w:rsid w:val="008606BC"/>
    <w:rsid w:val="008E2C0C"/>
    <w:rsid w:val="00922857"/>
    <w:rsid w:val="009A258B"/>
    <w:rsid w:val="00A21164"/>
    <w:rsid w:val="00AB41FD"/>
    <w:rsid w:val="00B131A6"/>
    <w:rsid w:val="00B60068"/>
    <w:rsid w:val="00D2410C"/>
    <w:rsid w:val="00D334B6"/>
    <w:rsid w:val="00E90433"/>
    <w:rsid w:val="00EC011D"/>
    <w:rsid w:val="00F2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89A4C-C990-4838-9BD3-C239A156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paragraph" w:styleId="Ttulo1">
    <w:name w:val="heading 1"/>
    <w:basedOn w:val="Normal"/>
    <w:link w:val="Ttulo1Car"/>
    <w:uiPriority w:val="9"/>
    <w:qFormat/>
    <w:rsid w:val="00783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73F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481AB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73F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5571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241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1481AB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3AF5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paragraph" w:styleId="Prrafodelista">
    <w:name w:val="List Paragraph"/>
    <w:basedOn w:val="Normal"/>
    <w:uiPriority w:val="34"/>
    <w:qFormat/>
    <w:rsid w:val="00783AF5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071197"/>
    <w:rPr>
      <w:b/>
      <w:bCs/>
      <w:i/>
      <w:iCs/>
      <w:spacing w:val="5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19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071197"/>
    <w:rPr>
      <w:rFonts w:eastAsiaTheme="minorEastAsia"/>
      <w:color w:val="5A5A5A" w:themeColor="text1" w:themeTint="A5"/>
      <w:spacing w:val="15"/>
      <w:lang w:val="es-CL"/>
    </w:rPr>
  </w:style>
  <w:style w:type="character" w:styleId="Referenciaintensa">
    <w:name w:val="Intense Reference"/>
    <w:basedOn w:val="Fuentedeprrafopredeter"/>
    <w:uiPriority w:val="32"/>
    <w:qFormat/>
    <w:rsid w:val="00673FA7"/>
    <w:rPr>
      <w:b/>
      <w:bCs/>
      <w:smallCaps/>
      <w:color w:val="1CADE4" w:themeColor="accent1"/>
      <w:spacing w:val="5"/>
    </w:rPr>
  </w:style>
  <w:style w:type="character" w:styleId="nfasis">
    <w:name w:val="Emphasis"/>
    <w:basedOn w:val="Fuentedeprrafopredeter"/>
    <w:uiPriority w:val="20"/>
    <w:qFormat/>
    <w:rsid w:val="00673FA7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673FA7"/>
    <w:rPr>
      <w:rFonts w:asciiTheme="majorHAnsi" w:eastAsiaTheme="majorEastAsia" w:hAnsiTheme="majorHAnsi" w:cstheme="majorBidi"/>
      <w:color w:val="1481AB" w:themeColor="accent1" w:themeShade="BF"/>
      <w:sz w:val="26"/>
      <w:szCs w:val="26"/>
      <w:lang w:val="es-CL"/>
    </w:rPr>
  </w:style>
  <w:style w:type="character" w:customStyle="1" w:styleId="Ttulo3Car">
    <w:name w:val="Título 3 Car"/>
    <w:basedOn w:val="Fuentedeprrafopredeter"/>
    <w:link w:val="Ttulo3"/>
    <w:uiPriority w:val="9"/>
    <w:rsid w:val="00673FA7"/>
    <w:rPr>
      <w:rFonts w:asciiTheme="majorHAnsi" w:eastAsiaTheme="majorEastAsia" w:hAnsiTheme="majorHAnsi" w:cstheme="majorBidi"/>
      <w:color w:val="0D5571" w:themeColor="accent1" w:themeShade="7F"/>
      <w:sz w:val="24"/>
      <w:szCs w:val="24"/>
      <w:lang w:val="es-CL"/>
    </w:rPr>
  </w:style>
  <w:style w:type="character" w:customStyle="1" w:styleId="Ttulo4Car">
    <w:name w:val="Título 4 Car"/>
    <w:basedOn w:val="Fuentedeprrafopredeter"/>
    <w:link w:val="Ttulo4"/>
    <w:uiPriority w:val="9"/>
    <w:rsid w:val="00D2410C"/>
    <w:rPr>
      <w:rFonts w:asciiTheme="majorHAnsi" w:eastAsiaTheme="majorEastAsia" w:hAnsiTheme="majorHAnsi" w:cstheme="majorBidi"/>
      <w:i/>
      <w:iCs/>
      <w:color w:val="1481AB" w:themeColor="accent1" w:themeShade="BF"/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4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410C"/>
    <w:rPr>
      <w:rFonts w:ascii="Segoe UI" w:hAnsi="Segoe UI" w:cs="Segoe UI"/>
      <w:sz w:val="18"/>
      <w:szCs w:val="18"/>
      <w:lang w:val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4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2.jpeg"/></Relationships>
</file>

<file path=word/theme/theme1.xml><?xml version="1.0" encoding="utf-8"?>
<a:theme xmlns:a="http://schemas.openxmlformats.org/drawingml/2006/main" name="Ion">
  <a:themeElements>
    <a:clrScheme name="Azul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B2F93-6ABF-4237-BBC3-57997D71E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7</Pages>
  <Words>1373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15</cp:revision>
  <dcterms:created xsi:type="dcterms:W3CDTF">2025-10-09T00:17:00Z</dcterms:created>
  <dcterms:modified xsi:type="dcterms:W3CDTF">2025-10-09T19:53:00Z</dcterms:modified>
</cp:coreProperties>
</file>