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8ADE6F" w14:textId="4439109E" w:rsidR="0091586D" w:rsidRDefault="0091586D" w:rsidP="0091586D">
      <w:pPr>
        <w:ind w:left="2832"/>
        <w:rPr>
          <w:lang w:val="es-419"/>
        </w:rPr>
      </w:pPr>
      <w:r>
        <w:rPr>
          <w:lang w:val="es-419"/>
        </w:rPr>
        <w:t xml:space="preserve">TRABAJO DE ESTABILIDAD </w:t>
      </w:r>
      <w:r w:rsidR="00F12526">
        <w:rPr>
          <w:lang w:val="es-419"/>
        </w:rPr>
        <w:t>CUC</w:t>
      </w:r>
    </w:p>
    <w:p w14:paraId="569F9240" w14:textId="77777777" w:rsidR="00793AF6" w:rsidRPr="008156A4" w:rsidRDefault="00793AF6" w:rsidP="00793AF6">
      <w:pPr>
        <w:spacing w:after="100" w:afterAutospacing="1" w:line="240" w:lineRule="auto"/>
        <w:rPr>
          <w:rFonts w:cs="Segoe UI"/>
          <w:color w:val="1D2125"/>
          <w:kern w:val="0"/>
          <w14:ligatures w14:val="none"/>
        </w:rPr>
      </w:pPr>
      <w:r w:rsidRPr="008156A4">
        <w:rPr>
          <w:rFonts w:cs="Segoe UI"/>
          <w:color w:val="1D2125"/>
          <w:kern w:val="0"/>
          <w14:ligatures w14:val="none"/>
        </w:rPr>
        <w:t>Explique qué es el permiso de agua dulce (Fresh Water Allowance) en un buque con marca de Plimsoll en sus costados y qué significa Permiso de agua de puerto (Dock Water Allowance).</w:t>
      </w:r>
    </w:p>
    <w:p w14:paraId="42BA7339" w14:textId="77777777" w:rsidR="00793AF6" w:rsidRPr="008156A4" w:rsidRDefault="00793AF6" w:rsidP="00793AF6">
      <w:pPr>
        <w:spacing w:after="100" w:afterAutospacing="1" w:line="240" w:lineRule="auto"/>
        <w:rPr>
          <w:rFonts w:cs="Segoe UI"/>
          <w:color w:val="1D2125"/>
          <w:kern w:val="0"/>
          <w14:ligatures w14:val="none"/>
        </w:rPr>
      </w:pPr>
      <w:r w:rsidRPr="008156A4">
        <w:rPr>
          <w:rFonts w:cs="Segoe UI"/>
          <w:color w:val="1D2125"/>
          <w:kern w:val="0"/>
          <w14:ligatures w14:val="none"/>
        </w:rPr>
        <w:t>En su respuesta indiqiue cómo se relacionan las líneas de carga y la marca de Plimsoll con los permisos mencionados para la fiscalización de un zarpe, y qué riesgos operacionales y legales implica que un buque no respete estas marcas y autorizaciones.</w:t>
      </w:r>
    </w:p>
    <w:p w14:paraId="37025557" w14:textId="50731892" w:rsidR="00793AF6" w:rsidRPr="008156A4" w:rsidRDefault="00793AF6" w:rsidP="00793AF6">
      <w:pPr>
        <w:spacing w:after="100" w:afterAutospacing="1" w:line="240" w:lineRule="auto"/>
        <w:rPr>
          <w:rFonts w:cs="Segoe UI"/>
          <w:color w:val="1D2125"/>
          <w:kern w:val="0"/>
          <w:sz w:val="26"/>
          <w:szCs w:val="26"/>
          <w14:ligatures w14:val="none"/>
        </w:rPr>
      </w:pPr>
      <w:r w:rsidRPr="008156A4">
        <w:rPr>
          <w:rFonts w:cs="Segoe UI"/>
          <w:color w:val="1D2125"/>
          <w:kern w:val="0"/>
          <w:sz w:val="26"/>
          <w:szCs w:val="26"/>
          <w14:ligatures w14:val="none"/>
        </w:rPr>
        <w:t xml:space="preserve">Respuesta: </w:t>
      </w:r>
    </w:p>
    <w:p w14:paraId="08E91474" w14:textId="77777777" w:rsidR="004D5DB2" w:rsidRPr="008156A4" w:rsidRDefault="004D5DB2">
      <w:pPr>
        <w:pStyle w:val="NormalWeb"/>
        <w:rPr>
          <w:rFonts w:asciiTheme="minorHAnsi" w:hAnsiTheme="minorHAnsi" w:cs="Arial"/>
          <w:color w:val="000000" w:themeColor="text1"/>
        </w:rPr>
      </w:pPr>
      <w:r w:rsidRPr="008156A4">
        <w:rPr>
          <w:rFonts w:asciiTheme="minorHAnsi" w:hAnsiTheme="minorHAnsi" w:cs="Arial"/>
          <w:color w:val="000000" w:themeColor="text1"/>
        </w:rPr>
        <w:t>El </w:t>
      </w:r>
      <w:r w:rsidRPr="008934B7">
        <w:rPr>
          <w:rStyle w:val="Fuerte"/>
          <w:rFonts w:asciiTheme="minorHAnsi" w:hAnsiTheme="minorHAnsi" w:cs="Arial"/>
          <w:b w:val="0"/>
          <w:bCs w:val="0"/>
          <w:color w:val="000000" w:themeColor="text1"/>
          <w:bdr w:val="none" w:sz="0" w:space="0" w:color="auto" w:frame="1"/>
        </w:rPr>
        <w:t>permiso de agua dulce (Fresh Water Allowance, FWA)</w:t>
      </w:r>
      <w:r w:rsidRPr="008934B7">
        <w:rPr>
          <w:rFonts w:asciiTheme="minorHAnsi" w:hAnsiTheme="minorHAnsi" w:cs="Arial"/>
          <w:b/>
          <w:bCs/>
          <w:color w:val="000000" w:themeColor="text1"/>
        </w:rPr>
        <w:t> </w:t>
      </w:r>
      <w:r w:rsidRPr="008934B7">
        <w:rPr>
          <w:rFonts w:asciiTheme="minorHAnsi" w:hAnsiTheme="minorHAnsi" w:cs="Arial"/>
          <w:color w:val="000000" w:themeColor="text1"/>
        </w:rPr>
        <w:t>y el </w:t>
      </w:r>
      <w:r w:rsidRPr="008934B7">
        <w:rPr>
          <w:rStyle w:val="Fuerte"/>
          <w:rFonts w:asciiTheme="minorHAnsi" w:hAnsiTheme="minorHAnsi" w:cs="Arial"/>
          <w:b w:val="0"/>
          <w:bCs w:val="0"/>
          <w:color w:val="000000" w:themeColor="text1"/>
          <w:bdr w:val="none" w:sz="0" w:space="0" w:color="auto" w:frame="1"/>
        </w:rPr>
        <w:t>permiso de agua de puerto (Dock Water Allowance, DWA)</w:t>
      </w:r>
      <w:r w:rsidRPr="008156A4">
        <w:rPr>
          <w:rFonts w:asciiTheme="minorHAnsi" w:hAnsiTheme="minorHAnsi" w:cs="Arial"/>
          <w:color w:val="000000" w:themeColor="text1"/>
        </w:rPr>
        <w:t> son conceptos esenciales en la operación segura de un buque y están estrechamente vinculados con las </w:t>
      </w:r>
      <w:r w:rsidRPr="009A0C92">
        <w:rPr>
          <w:rStyle w:val="Fuerte"/>
          <w:rFonts w:asciiTheme="minorHAnsi" w:hAnsiTheme="minorHAnsi" w:cs="Arial"/>
          <w:b w:val="0"/>
          <w:bCs w:val="0"/>
          <w:color w:val="000000" w:themeColor="text1"/>
          <w:bdr w:val="none" w:sz="0" w:space="0" w:color="auto" w:frame="1"/>
        </w:rPr>
        <w:t>líneas de carga</w:t>
      </w:r>
      <w:r w:rsidRPr="009A0C92">
        <w:rPr>
          <w:rFonts w:asciiTheme="minorHAnsi" w:hAnsiTheme="minorHAnsi" w:cs="Arial"/>
          <w:b/>
          <w:bCs/>
          <w:color w:val="000000" w:themeColor="text1"/>
        </w:rPr>
        <w:t> </w:t>
      </w:r>
      <w:r w:rsidRPr="007339F6">
        <w:rPr>
          <w:rFonts w:asciiTheme="minorHAnsi" w:hAnsiTheme="minorHAnsi" w:cs="Arial"/>
          <w:color w:val="000000" w:themeColor="text1"/>
        </w:rPr>
        <w:t>y la </w:t>
      </w:r>
      <w:r w:rsidRPr="009A0C92">
        <w:rPr>
          <w:rStyle w:val="Fuerte"/>
          <w:rFonts w:asciiTheme="minorHAnsi" w:hAnsiTheme="minorHAnsi" w:cs="Arial"/>
          <w:b w:val="0"/>
          <w:bCs w:val="0"/>
          <w:color w:val="000000" w:themeColor="text1"/>
          <w:bdr w:val="none" w:sz="0" w:space="0" w:color="auto" w:frame="1"/>
        </w:rPr>
        <w:t>marca de Plimsoll</w:t>
      </w:r>
      <w:r w:rsidRPr="009A0C92">
        <w:rPr>
          <w:rFonts w:asciiTheme="minorHAnsi" w:hAnsiTheme="minorHAnsi" w:cs="Arial"/>
          <w:b/>
          <w:bCs/>
          <w:color w:val="000000" w:themeColor="text1"/>
        </w:rPr>
        <w:t xml:space="preserve">, </w:t>
      </w:r>
      <w:r w:rsidRPr="008156A4">
        <w:rPr>
          <w:rFonts w:asciiTheme="minorHAnsi" w:hAnsiTheme="minorHAnsi" w:cs="Arial"/>
          <w:color w:val="000000" w:themeColor="text1"/>
        </w:rPr>
        <w:t>que se encuentran pintadas en los costados de la nave para indicar su límite máximo de carga permitido.</w:t>
      </w:r>
    </w:p>
    <w:p w14:paraId="696B114A" w14:textId="77777777" w:rsidR="004D5DB2" w:rsidRPr="008156A4" w:rsidRDefault="004D5DB2">
      <w:pPr>
        <w:pStyle w:val="NormalWeb"/>
        <w:rPr>
          <w:rFonts w:asciiTheme="minorHAnsi" w:hAnsiTheme="minorHAnsi" w:cs="Arial"/>
          <w:color w:val="000000" w:themeColor="text1"/>
        </w:rPr>
      </w:pPr>
      <w:r w:rsidRPr="008156A4">
        <w:rPr>
          <w:rFonts w:asciiTheme="minorHAnsi" w:hAnsiTheme="minorHAnsi" w:cs="Arial"/>
          <w:color w:val="000000" w:themeColor="text1"/>
        </w:rPr>
        <w:t>El </w:t>
      </w:r>
      <w:r w:rsidRPr="008934B7">
        <w:rPr>
          <w:rStyle w:val="Fuerte"/>
          <w:rFonts w:asciiTheme="minorHAnsi" w:hAnsiTheme="minorHAnsi" w:cs="Arial"/>
          <w:b w:val="0"/>
          <w:bCs w:val="0"/>
          <w:color w:val="000000" w:themeColor="text1"/>
          <w:bdr w:val="none" w:sz="0" w:space="0" w:color="auto" w:frame="1"/>
        </w:rPr>
        <w:t>Fresh Water Allowance (FWA)</w:t>
      </w:r>
      <w:r w:rsidRPr="008934B7">
        <w:rPr>
          <w:rFonts w:asciiTheme="minorHAnsi" w:hAnsiTheme="minorHAnsi" w:cs="Arial"/>
          <w:b/>
          <w:bCs/>
          <w:color w:val="000000" w:themeColor="text1"/>
        </w:rPr>
        <w:t> </w:t>
      </w:r>
      <w:r w:rsidRPr="008156A4">
        <w:rPr>
          <w:rFonts w:asciiTheme="minorHAnsi" w:hAnsiTheme="minorHAnsi" w:cs="Arial"/>
          <w:color w:val="000000" w:themeColor="text1"/>
        </w:rPr>
        <w:t>es la medida que indica cuánto se incrementa el calado de un buque cuando pasa de navegar en agua salada a agua dulce. Esto ocurre porque el agua dulce tiene menor densidad, lo que provoca que el buque se hunda más para un mismo peso. El FWA, por tanto, permite calcular cuánto puede cargarse el buque en agua dulce sin sobrepasar los límites de seguridad establecidos por la marca de Plimsoll. En términos prácticos, autoriza una mayor inmersión momentánea en agua dulce, siempre que al pasar a agua salada el buque vuelva a una condición segura respecto a su línea de carga.</w:t>
      </w:r>
    </w:p>
    <w:p w14:paraId="4B832105" w14:textId="68F4682E" w:rsidR="004D5DB2" w:rsidRPr="008156A4" w:rsidRDefault="004D5DB2">
      <w:pPr>
        <w:pStyle w:val="NormalWeb"/>
        <w:rPr>
          <w:rFonts w:asciiTheme="minorHAnsi" w:hAnsiTheme="minorHAnsi" w:cs="Arial"/>
          <w:color w:val="000000" w:themeColor="text1"/>
        </w:rPr>
      </w:pPr>
      <w:r w:rsidRPr="008156A4">
        <w:rPr>
          <w:rFonts w:asciiTheme="minorHAnsi" w:hAnsiTheme="minorHAnsi" w:cs="Arial"/>
          <w:color w:val="000000" w:themeColor="text1"/>
        </w:rPr>
        <w:t>Por otro lado, el </w:t>
      </w:r>
      <w:r w:rsidRPr="00A977F2">
        <w:rPr>
          <w:rStyle w:val="Fuerte"/>
          <w:rFonts w:asciiTheme="minorHAnsi" w:hAnsiTheme="minorHAnsi" w:cs="Arial"/>
          <w:b w:val="0"/>
          <w:bCs w:val="0"/>
          <w:color w:val="000000" w:themeColor="text1"/>
          <w:bdr w:val="none" w:sz="0" w:space="0" w:color="auto" w:frame="1"/>
        </w:rPr>
        <w:t>Dock Water Allowance (DWA)</w:t>
      </w:r>
      <w:r w:rsidRPr="008156A4">
        <w:rPr>
          <w:rFonts w:asciiTheme="minorHAnsi" w:hAnsiTheme="minorHAnsi" w:cs="Arial"/>
          <w:color w:val="000000" w:themeColor="text1"/>
        </w:rPr>
        <w:t> se refiere a un ajuste similar, pero aplicado a condiciones específicas de puerto, donde</w:t>
      </w:r>
      <w:r w:rsidR="003B50DE">
        <w:rPr>
          <w:rFonts w:asciiTheme="minorHAnsi" w:hAnsiTheme="minorHAnsi" w:cs="Arial"/>
          <w:color w:val="000000" w:themeColor="text1"/>
        </w:rPr>
        <w:t xml:space="preserve"> hay </w:t>
      </w:r>
      <w:r w:rsidRPr="008156A4">
        <w:rPr>
          <w:rFonts w:asciiTheme="minorHAnsi" w:hAnsiTheme="minorHAnsi" w:cs="Arial"/>
          <w:color w:val="000000" w:themeColor="text1"/>
        </w:rPr>
        <w:t>mezcla de agua dulce y salada</w:t>
      </w:r>
      <w:r w:rsidR="003B50DE">
        <w:rPr>
          <w:rFonts w:asciiTheme="minorHAnsi" w:hAnsiTheme="minorHAnsi" w:cs="Arial"/>
          <w:color w:val="000000" w:themeColor="text1"/>
        </w:rPr>
        <w:t xml:space="preserve"> </w:t>
      </w:r>
      <w:r w:rsidRPr="008156A4">
        <w:rPr>
          <w:rFonts w:asciiTheme="minorHAnsi" w:hAnsiTheme="minorHAnsi" w:cs="Arial"/>
          <w:color w:val="000000" w:themeColor="text1"/>
        </w:rPr>
        <w:t>y su densidad varía. El DWA permite corregir el calado observado del buque en función de la densidad real del agua en el puerto al momento de la carga, asegurando que no se excedan los límites estructurales y de flotabilidad.</w:t>
      </w:r>
    </w:p>
    <w:p w14:paraId="00968E31" w14:textId="77777777" w:rsidR="004D5DB2" w:rsidRPr="008156A4" w:rsidRDefault="004D5DB2">
      <w:pPr>
        <w:pStyle w:val="NormalWeb"/>
        <w:rPr>
          <w:rFonts w:asciiTheme="minorHAnsi" w:hAnsiTheme="minorHAnsi" w:cs="Arial"/>
          <w:color w:val="000000" w:themeColor="text1"/>
        </w:rPr>
      </w:pPr>
      <w:r w:rsidRPr="008156A4">
        <w:rPr>
          <w:rFonts w:asciiTheme="minorHAnsi" w:hAnsiTheme="minorHAnsi" w:cs="Arial"/>
          <w:color w:val="000000" w:themeColor="text1"/>
        </w:rPr>
        <w:t>Ambos conceptos se relacionan directamente con las </w:t>
      </w:r>
      <w:r w:rsidRPr="00A977F2">
        <w:rPr>
          <w:rStyle w:val="Fuerte"/>
          <w:rFonts w:asciiTheme="minorHAnsi" w:hAnsiTheme="minorHAnsi" w:cs="Arial"/>
          <w:b w:val="0"/>
          <w:bCs w:val="0"/>
          <w:color w:val="000000" w:themeColor="text1"/>
          <w:bdr w:val="none" w:sz="0" w:space="0" w:color="auto" w:frame="1"/>
        </w:rPr>
        <w:t>líneas de carga</w:t>
      </w:r>
      <w:r w:rsidRPr="00A977F2">
        <w:rPr>
          <w:rFonts w:asciiTheme="minorHAnsi" w:hAnsiTheme="minorHAnsi" w:cs="Arial"/>
          <w:b/>
          <w:bCs/>
          <w:color w:val="000000" w:themeColor="text1"/>
        </w:rPr>
        <w:t>,</w:t>
      </w:r>
      <w:r w:rsidRPr="008156A4">
        <w:rPr>
          <w:rFonts w:asciiTheme="minorHAnsi" w:hAnsiTheme="minorHAnsi" w:cs="Arial"/>
          <w:color w:val="000000" w:themeColor="text1"/>
        </w:rPr>
        <w:t xml:space="preserve"> ya que estas están definidas para condiciones estándar de agua salada. Cuando el buque se encuentra en agua de menor densidad, como en ríos o puertos, es necesario aplicar las correcciones de FWA o DWA para interpretar correctamente si el buque está dentro de los límites permitidos. Durante la </w:t>
      </w:r>
      <w:r w:rsidRPr="00A977F2">
        <w:rPr>
          <w:rStyle w:val="Fuerte"/>
          <w:rFonts w:asciiTheme="minorHAnsi" w:hAnsiTheme="minorHAnsi" w:cs="Arial"/>
          <w:b w:val="0"/>
          <w:bCs w:val="0"/>
          <w:color w:val="000000" w:themeColor="text1"/>
          <w:bdr w:val="none" w:sz="0" w:space="0" w:color="auto" w:frame="1"/>
        </w:rPr>
        <w:t>fiscalización previa al zarpe</w:t>
      </w:r>
      <w:r w:rsidRPr="00A977F2">
        <w:rPr>
          <w:rFonts w:asciiTheme="minorHAnsi" w:hAnsiTheme="minorHAnsi" w:cs="Arial"/>
          <w:b/>
          <w:bCs/>
          <w:color w:val="000000" w:themeColor="text1"/>
        </w:rPr>
        <w:t xml:space="preserve">, </w:t>
      </w:r>
      <w:r w:rsidRPr="008156A4">
        <w:rPr>
          <w:rFonts w:asciiTheme="minorHAnsi" w:hAnsiTheme="minorHAnsi" w:cs="Arial"/>
          <w:color w:val="000000" w:themeColor="text1"/>
        </w:rPr>
        <w:t>la autoridad marítima verifica que el buque no solo respete visualmente la marca de Plimsoll, sino también que haya considerado correctamente la densidad del agua y aplicado estos permisos en su cálculo de carga y calado.</w:t>
      </w:r>
    </w:p>
    <w:p w14:paraId="2AD9AB52" w14:textId="77777777" w:rsidR="004D5DB2" w:rsidRPr="008156A4" w:rsidRDefault="004D5DB2">
      <w:pPr>
        <w:pStyle w:val="NormalWeb"/>
        <w:rPr>
          <w:rFonts w:asciiTheme="minorHAnsi" w:hAnsiTheme="minorHAnsi" w:cs="Arial"/>
          <w:color w:val="000000" w:themeColor="text1"/>
        </w:rPr>
      </w:pPr>
      <w:r w:rsidRPr="008156A4">
        <w:rPr>
          <w:rFonts w:asciiTheme="minorHAnsi" w:hAnsiTheme="minorHAnsi" w:cs="Arial"/>
          <w:color w:val="000000" w:themeColor="text1"/>
        </w:rPr>
        <w:t>El incumplimiento de estas disposiciones implica</w:t>
      </w:r>
      <w:r w:rsidRPr="00580120">
        <w:rPr>
          <w:rFonts w:asciiTheme="minorHAnsi" w:hAnsiTheme="minorHAnsi" w:cs="Arial"/>
          <w:b/>
          <w:bCs/>
          <w:color w:val="000000" w:themeColor="text1"/>
        </w:rPr>
        <w:t> </w:t>
      </w:r>
      <w:r w:rsidRPr="00580120">
        <w:rPr>
          <w:rStyle w:val="Fuerte"/>
          <w:rFonts w:asciiTheme="minorHAnsi" w:hAnsiTheme="minorHAnsi" w:cs="Arial"/>
          <w:b w:val="0"/>
          <w:bCs w:val="0"/>
          <w:color w:val="000000" w:themeColor="text1"/>
          <w:bdr w:val="none" w:sz="0" w:space="0" w:color="auto" w:frame="1"/>
        </w:rPr>
        <w:t>riesgos operacionales significativos</w:t>
      </w:r>
      <w:r w:rsidRPr="00580120">
        <w:rPr>
          <w:rFonts w:asciiTheme="minorHAnsi" w:hAnsiTheme="minorHAnsi" w:cs="Arial"/>
          <w:b/>
          <w:bCs/>
          <w:color w:val="000000" w:themeColor="text1"/>
        </w:rPr>
        <w:t>.</w:t>
      </w:r>
      <w:r w:rsidRPr="008156A4">
        <w:rPr>
          <w:rFonts w:asciiTheme="minorHAnsi" w:hAnsiTheme="minorHAnsi" w:cs="Arial"/>
          <w:color w:val="000000" w:themeColor="text1"/>
        </w:rPr>
        <w:t xml:space="preserve"> Un buque que excede su calado permitido puede tener un francobordo insuficiente, lo que aumenta el riesgo de embarque de agua, pérdida de estabilidad, esfuerzos estructurales excesivos e incluso hundimiento. Además, </w:t>
      </w:r>
      <w:r w:rsidRPr="008156A4">
        <w:rPr>
          <w:rFonts w:asciiTheme="minorHAnsi" w:hAnsiTheme="minorHAnsi" w:cs="Arial"/>
          <w:color w:val="000000" w:themeColor="text1"/>
        </w:rPr>
        <w:lastRenderedPageBreak/>
        <w:t>un calado mayor al permitido puede provocar varaduras o dificultades en la maniobrabilidad.</w:t>
      </w:r>
    </w:p>
    <w:p w14:paraId="7B8E2122" w14:textId="77777777" w:rsidR="004D5DB2" w:rsidRPr="008156A4" w:rsidRDefault="004D5DB2">
      <w:pPr>
        <w:pStyle w:val="NormalWeb"/>
        <w:rPr>
          <w:rFonts w:asciiTheme="minorHAnsi" w:hAnsiTheme="minorHAnsi" w:cs="Arial"/>
          <w:color w:val="000000" w:themeColor="text1"/>
        </w:rPr>
      </w:pPr>
      <w:r w:rsidRPr="008156A4">
        <w:rPr>
          <w:rFonts w:asciiTheme="minorHAnsi" w:hAnsiTheme="minorHAnsi" w:cs="Arial"/>
          <w:color w:val="000000" w:themeColor="text1"/>
        </w:rPr>
        <w:t>Desde el punto de vista </w:t>
      </w:r>
      <w:r w:rsidRPr="00D5201A">
        <w:rPr>
          <w:rStyle w:val="Fuerte"/>
          <w:rFonts w:asciiTheme="minorHAnsi" w:hAnsiTheme="minorHAnsi" w:cs="Arial"/>
          <w:b w:val="0"/>
          <w:bCs w:val="0"/>
          <w:color w:val="000000" w:themeColor="text1"/>
          <w:bdr w:val="none" w:sz="0" w:space="0" w:color="auto" w:frame="1"/>
        </w:rPr>
        <w:t>legal</w:t>
      </w:r>
      <w:r w:rsidRPr="008156A4">
        <w:rPr>
          <w:rFonts w:asciiTheme="minorHAnsi" w:hAnsiTheme="minorHAnsi" w:cs="Arial"/>
          <w:color w:val="000000" w:themeColor="text1"/>
        </w:rPr>
        <w:t>, no respetar la marca de Plimsoll ni aplicar correctamente el FWA o DWA constituye una infracción a la normativa internacional de seguridad marítima. Esto puede resultar en sanciones como multas, detención del buque, responsabilidades para el capitán y el armador, y la posible invalidación de seguros en caso de accidente. En situaciones más graves, puede implicar responsabilidad civil o penal, especialmente si se generan daños a personas, carga o al medio ambiente.</w:t>
      </w:r>
    </w:p>
    <w:p w14:paraId="29B1B115" w14:textId="77777777" w:rsidR="00793AF6" w:rsidRPr="008156A4" w:rsidRDefault="00793AF6" w:rsidP="00793AF6">
      <w:pPr>
        <w:spacing w:after="100" w:afterAutospacing="1" w:line="240" w:lineRule="auto"/>
        <w:rPr>
          <w:rFonts w:cs="Segoe UI"/>
          <w:color w:val="1D2125"/>
          <w:kern w:val="0"/>
          <w14:ligatures w14:val="none"/>
        </w:rPr>
      </w:pPr>
    </w:p>
    <w:p w14:paraId="05E3209C" w14:textId="77777777" w:rsidR="00793AF6" w:rsidRPr="008156A4" w:rsidRDefault="00793AF6" w:rsidP="00793AF6">
      <w:pPr>
        <w:spacing w:after="0" w:line="240" w:lineRule="auto"/>
        <w:rPr>
          <w:rFonts w:eastAsia="Times New Roman" w:cs="Times New Roman"/>
          <w:kern w:val="0"/>
          <w14:ligatures w14:val="none"/>
        </w:rPr>
      </w:pPr>
    </w:p>
    <w:p w14:paraId="72E46119" w14:textId="77777777" w:rsidR="00793AF6" w:rsidRPr="008156A4" w:rsidRDefault="00793AF6" w:rsidP="0091586D">
      <w:pPr>
        <w:ind w:left="2832"/>
        <w:rPr>
          <w:lang w:val="es-419"/>
        </w:rPr>
      </w:pPr>
    </w:p>
    <w:p w14:paraId="04B7D433" w14:textId="77777777" w:rsidR="00F12526" w:rsidRPr="008156A4" w:rsidRDefault="00F12526" w:rsidP="0091586D">
      <w:pPr>
        <w:ind w:left="2832"/>
        <w:rPr>
          <w:lang w:val="es-419"/>
        </w:rPr>
      </w:pPr>
    </w:p>
    <w:p w14:paraId="3D8432CC" w14:textId="77777777" w:rsidR="0091586D" w:rsidRPr="008156A4" w:rsidRDefault="0091586D" w:rsidP="0091586D">
      <w:pPr>
        <w:ind w:left="2832"/>
        <w:rPr>
          <w:lang w:val="es-419"/>
        </w:rPr>
      </w:pPr>
    </w:p>
    <w:sectPr w:rsidR="0091586D" w:rsidRPr="008156A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1"/>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86D"/>
    <w:rsid w:val="001103DE"/>
    <w:rsid w:val="001D5C2D"/>
    <w:rsid w:val="00263E61"/>
    <w:rsid w:val="002F1678"/>
    <w:rsid w:val="003B50DE"/>
    <w:rsid w:val="00401E3B"/>
    <w:rsid w:val="004370B7"/>
    <w:rsid w:val="004D5DB2"/>
    <w:rsid w:val="00580120"/>
    <w:rsid w:val="007339F6"/>
    <w:rsid w:val="007775C8"/>
    <w:rsid w:val="007823BB"/>
    <w:rsid w:val="00785D38"/>
    <w:rsid w:val="00793AF6"/>
    <w:rsid w:val="007C686A"/>
    <w:rsid w:val="007D6C33"/>
    <w:rsid w:val="00803A4E"/>
    <w:rsid w:val="008156A4"/>
    <w:rsid w:val="00827313"/>
    <w:rsid w:val="00887ED7"/>
    <w:rsid w:val="008934B7"/>
    <w:rsid w:val="0091586D"/>
    <w:rsid w:val="0097381F"/>
    <w:rsid w:val="009A0C92"/>
    <w:rsid w:val="009A2DDB"/>
    <w:rsid w:val="009C61B5"/>
    <w:rsid w:val="00A2731D"/>
    <w:rsid w:val="00A977F2"/>
    <w:rsid w:val="00AF4141"/>
    <w:rsid w:val="00B143EB"/>
    <w:rsid w:val="00B31451"/>
    <w:rsid w:val="00B723FD"/>
    <w:rsid w:val="00B87B33"/>
    <w:rsid w:val="00BD0B00"/>
    <w:rsid w:val="00C77DA8"/>
    <w:rsid w:val="00D3786E"/>
    <w:rsid w:val="00D5201A"/>
    <w:rsid w:val="00DC67E9"/>
    <w:rsid w:val="00DE4A6F"/>
    <w:rsid w:val="00EE7768"/>
    <w:rsid w:val="00F12526"/>
    <w:rsid w:val="00F5044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4:docId w14:val="7AC03214"/>
  <w15:chartTrackingRefBased/>
  <w15:docId w15:val="{1F2319F5-2CEA-984F-939B-41034E123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L" w:eastAsia="es-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158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158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1586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1586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1586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1586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1586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1586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1586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1586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1586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1586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1586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1586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1586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1586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1586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1586D"/>
    <w:rPr>
      <w:rFonts w:eastAsiaTheme="majorEastAsia" w:cstheme="majorBidi"/>
      <w:color w:val="272727" w:themeColor="text1" w:themeTint="D8"/>
    </w:rPr>
  </w:style>
  <w:style w:type="paragraph" w:styleId="Ttulo">
    <w:name w:val="Title"/>
    <w:basedOn w:val="Normal"/>
    <w:next w:val="Normal"/>
    <w:link w:val="TtuloCar"/>
    <w:uiPriority w:val="10"/>
    <w:qFormat/>
    <w:rsid w:val="009158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1586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1586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1586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1586D"/>
    <w:pPr>
      <w:spacing w:before="160"/>
      <w:jc w:val="center"/>
    </w:pPr>
    <w:rPr>
      <w:i/>
      <w:iCs/>
      <w:color w:val="404040" w:themeColor="text1" w:themeTint="BF"/>
    </w:rPr>
  </w:style>
  <w:style w:type="character" w:customStyle="1" w:styleId="CitaCar">
    <w:name w:val="Cita Car"/>
    <w:basedOn w:val="Fuentedeprrafopredeter"/>
    <w:link w:val="Cita"/>
    <w:uiPriority w:val="29"/>
    <w:rsid w:val="0091586D"/>
    <w:rPr>
      <w:i/>
      <w:iCs/>
      <w:color w:val="404040" w:themeColor="text1" w:themeTint="BF"/>
    </w:rPr>
  </w:style>
  <w:style w:type="paragraph" w:styleId="Prrafodelista">
    <w:name w:val="List Paragraph"/>
    <w:basedOn w:val="Normal"/>
    <w:uiPriority w:val="34"/>
    <w:qFormat/>
    <w:rsid w:val="0091586D"/>
    <w:pPr>
      <w:ind w:left="720"/>
      <w:contextualSpacing/>
    </w:pPr>
  </w:style>
  <w:style w:type="character" w:styleId="nfasisintenso">
    <w:name w:val="Intense Emphasis"/>
    <w:basedOn w:val="Fuentedeprrafopredeter"/>
    <w:uiPriority w:val="21"/>
    <w:qFormat/>
    <w:rsid w:val="0091586D"/>
    <w:rPr>
      <w:i/>
      <w:iCs/>
      <w:color w:val="0F4761" w:themeColor="accent1" w:themeShade="BF"/>
    </w:rPr>
  </w:style>
  <w:style w:type="paragraph" w:styleId="Citadestacada">
    <w:name w:val="Intense Quote"/>
    <w:basedOn w:val="Normal"/>
    <w:next w:val="Normal"/>
    <w:link w:val="CitadestacadaCar"/>
    <w:uiPriority w:val="30"/>
    <w:qFormat/>
    <w:rsid w:val="009158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1586D"/>
    <w:rPr>
      <w:i/>
      <w:iCs/>
      <w:color w:val="0F4761" w:themeColor="accent1" w:themeShade="BF"/>
    </w:rPr>
  </w:style>
  <w:style w:type="character" w:styleId="Referenciaintensa">
    <w:name w:val="Intense Reference"/>
    <w:basedOn w:val="Fuentedeprrafopredeter"/>
    <w:uiPriority w:val="32"/>
    <w:qFormat/>
    <w:rsid w:val="0091586D"/>
    <w:rPr>
      <w:b/>
      <w:bCs/>
      <w:smallCaps/>
      <w:color w:val="0F4761" w:themeColor="accent1" w:themeShade="BF"/>
      <w:spacing w:val="5"/>
    </w:rPr>
  </w:style>
  <w:style w:type="paragraph" w:styleId="NormalWeb">
    <w:name w:val="Normal (Web)"/>
    <w:basedOn w:val="Normal"/>
    <w:uiPriority w:val="99"/>
    <w:semiHidden/>
    <w:unhideWhenUsed/>
    <w:rsid w:val="00793AF6"/>
    <w:pPr>
      <w:spacing w:before="100" w:beforeAutospacing="1" w:after="100" w:afterAutospacing="1" w:line="240" w:lineRule="auto"/>
    </w:pPr>
    <w:rPr>
      <w:rFonts w:ascii="Times New Roman" w:hAnsi="Times New Roman" w:cs="Times New Roman"/>
      <w:kern w:val="0"/>
      <w14:ligatures w14:val="none"/>
    </w:rPr>
  </w:style>
  <w:style w:type="character" w:styleId="Fuerte">
    <w:name w:val="Strong"/>
    <w:basedOn w:val="Fuentedeprrafopredeter"/>
    <w:uiPriority w:val="22"/>
    <w:qFormat/>
    <w:rsid w:val="00793A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515</Words>
  <Characters>2833</Characters>
  <Application>Microsoft Office Word</Application>
  <DocSecurity>0</DocSecurity>
  <Lines>23</Lines>
  <Paragraphs>6</Paragraphs>
  <ScaleCrop>false</ScaleCrop>
  <Company/>
  <LinksUpToDate>false</LinksUpToDate>
  <CharactersWithSpaces>3342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Ricartes</dc:creator>
  <cp:keywords/>
  <dc:description/>
  <cp:lastModifiedBy>Valentina Ricartes</cp:lastModifiedBy>
  <cp:revision>2</cp:revision>
  <dcterms:created xsi:type="dcterms:W3CDTF">2026-03-31T00:23:00Z</dcterms:created>
  <dcterms:modified xsi:type="dcterms:W3CDTF">2026-03-31T00:23:00Z</dcterms:modified>
</cp:coreProperties>
</file>